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6D71" w:rsidRPr="00CB2DDE" w:rsidRDefault="00314E41" w:rsidP="00314E41">
      <w:pPr>
        <w:spacing w:beforeLines="1" w:before="2" w:afterLines="1" w:after="2"/>
        <w:outlineLvl w:val="2"/>
        <w:rPr>
          <w:rFonts w:ascii="Times" w:hAnsi="Times"/>
          <w:b/>
          <w:szCs w:val="20"/>
          <w:lang w:val="en-US"/>
        </w:rPr>
      </w:pPr>
      <w:r w:rsidRPr="00CB2DDE">
        <w:rPr>
          <w:rFonts w:ascii="Times" w:hAnsi="Times"/>
          <w:b/>
          <w:szCs w:val="20"/>
          <w:lang w:val="en-US"/>
        </w:rPr>
        <w:fldChar w:fldCharType="begin"/>
      </w:r>
      <w:r w:rsidR="002B6D71" w:rsidRPr="00CB2DDE">
        <w:rPr>
          <w:rFonts w:ascii="Times" w:hAnsi="Times"/>
          <w:b/>
          <w:szCs w:val="20"/>
          <w:lang w:val="en-US"/>
        </w:rPr>
        <w:instrText xml:space="preserve"> HYPERLINK "http://libraryeuroparl.wordpress.com/" </w:instrText>
      </w:r>
      <w:r w:rsidRPr="00CB2DDE">
        <w:rPr>
          <w:rFonts w:ascii="Times" w:hAnsi="Times"/>
          <w:b/>
          <w:szCs w:val="20"/>
          <w:lang w:val="en-US"/>
        </w:rPr>
        <w:fldChar w:fldCharType="separate"/>
      </w:r>
      <w:r w:rsidR="002B6D71" w:rsidRPr="00CB2DDE">
        <w:rPr>
          <w:rFonts w:ascii="Times" w:hAnsi="Times"/>
          <w:b/>
          <w:color w:val="0000FF"/>
          <w:szCs w:val="20"/>
          <w:u w:val="single"/>
          <w:lang w:val="en-US"/>
        </w:rPr>
        <w:t>Library of the European Parliament</w:t>
      </w:r>
      <w:r w:rsidRPr="00CB2DDE">
        <w:rPr>
          <w:rFonts w:ascii="Times" w:hAnsi="Times"/>
          <w:b/>
          <w:szCs w:val="20"/>
          <w:lang w:val="en-US"/>
        </w:rPr>
        <w:fldChar w:fldCharType="end"/>
      </w:r>
      <w:r w:rsidR="002B6D71" w:rsidRPr="00CB2DDE">
        <w:rPr>
          <w:rFonts w:ascii="Times" w:hAnsi="Times"/>
          <w:b/>
          <w:szCs w:val="20"/>
          <w:lang w:val="en-US"/>
        </w:rPr>
        <w:t xml:space="preserve"> </w:t>
      </w:r>
    </w:p>
    <w:p w:rsidR="009C14DF" w:rsidRDefault="009C14DF" w:rsidP="00314E41">
      <w:pPr>
        <w:spacing w:beforeLines="1" w:before="2" w:afterLines="1" w:after="2"/>
        <w:outlineLvl w:val="0"/>
        <w:rPr>
          <w:rFonts w:ascii="Times" w:hAnsi="Times"/>
          <w:b/>
          <w:kern w:val="36"/>
          <w:szCs w:val="20"/>
          <w:lang w:val="en-US"/>
        </w:rPr>
      </w:pPr>
    </w:p>
    <w:p w:rsidR="002B6D71" w:rsidRPr="00CB2DDE" w:rsidRDefault="002B6D71" w:rsidP="00314E41">
      <w:pPr>
        <w:spacing w:beforeLines="1" w:before="2" w:afterLines="1" w:after="2"/>
        <w:outlineLvl w:val="0"/>
        <w:rPr>
          <w:rFonts w:ascii="Times" w:hAnsi="Times"/>
          <w:b/>
          <w:kern w:val="36"/>
          <w:szCs w:val="20"/>
          <w:lang w:val="en-US"/>
        </w:rPr>
      </w:pPr>
      <w:r w:rsidRPr="00CB2DDE">
        <w:rPr>
          <w:rFonts w:ascii="Times" w:hAnsi="Times"/>
          <w:b/>
          <w:kern w:val="36"/>
          <w:szCs w:val="20"/>
          <w:lang w:val="en-US"/>
        </w:rPr>
        <w:t>Article 7 TEU: a mechanism to protect EU values</w:t>
      </w:r>
    </w:p>
    <w:p w:rsidR="002B6D71" w:rsidRPr="00CB2DDE" w:rsidRDefault="002B6D71" w:rsidP="002B6D71">
      <w:pPr>
        <w:rPr>
          <w:rFonts w:ascii="Times" w:hAnsi="Times"/>
          <w:szCs w:val="20"/>
          <w:lang w:val="en-US"/>
        </w:rPr>
      </w:pPr>
      <w:r w:rsidRPr="00CB2DDE">
        <w:rPr>
          <w:rFonts w:ascii="Times" w:hAnsi="Times"/>
          <w:szCs w:val="20"/>
          <w:lang w:val="en-US"/>
        </w:rPr>
        <w:t xml:space="preserve">Posted by </w:t>
      </w:r>
      <w:hyperlink r:id="rId5" w:history="1">
        <w:proofErr w:type="spellStart"/>
        <w:r w:rsidRPr="00CB2DDE">
          <w:rPr>
            <w:rFonts w:ascii="Times" w:hAnsi="Times"/>
            <w:color w:val="0000FF"/>
            <w:szCs w:val="20"/>
            <w:u w:val="single"/>
            <w:lang w:val="en-US"/>
          </w:rPr>
          <w:t>andreiaghimis</w:t>
        </w:r>
        <w:proofErr w:type="spellEnd"/>
      </w:hyperlink>
      <w:r w:rsidRPr="00CB2DDE">
        <w:rPr>
          <w:rFonts w:ascii="Times" w:hAnsi="Times"/>
          <w:szCs w:val="20"/>
          <w:lang w:val="en-US"/>
        </w:rPr>
        <w:t xml:space="preserve"> </w:t>
      </w:r>
      <w:r w:rsidRPr="00CB2DDE">
        <w:rPr>
          <w:rFonts w:ascii="Menlo Regular" w:hAnsi="Menlo Regular" w:cs="Menlo Regular"/>
          <w:szCs w:val="20"/>
          <w:lang w:val="en-US"/>
        </w:rPr>
        <w:t>⋅</w:t>
      </w:r>
      <w:r w:rsidRPr="00CB2DDE">
        <w:rPr>
          <w:rFonts w:ascii="Times" w:hAnsi="Times"/>
          <w:szCs w:val="20"/>
          <w:lang w:val="en-US"/>
        </w:rPr>
        <w:t xml:space="preserve"> October 7, 2013 </w:t>
      </w:r>
      <w:r w:rsidRPr="00CB2DDE">
        <w:rPr>
          <w:rFonts w:ascii="Menlo Regular" w:hAnsi="Menlo Regular" w:cs="Menlo Regular"/>
          <w:szCs w:val="20"/>
          <w:lang w:val="en-US"/>
        </w:rPr>
        <w:t>⋅</w:t>
      </w:r>
      <w:r w:rsidRPr="00CB2DDE">
        <w:rPr>
          <w:rFonts w:ascii="Times" w:hAnsi="Times"/>
          <w:szCs w:val="20"/>
          <w:lang w:val="en-US"/>
        </w:rPr>
        <w:t xml:space="preserve"> </w:t>
      </w:r>
      <w:hyperlink r:id="rId6" w:anchor="respond" w:history="1">
        <w:r w:rsidRPr="00CB2DDE">
          <w:rPr>
            <w:rFonts w:ascii="Times" w:hAnsi="Times"/>
            <w:color w:val="0000FF"/>
            <w:szCs w:val="20"/>
            <w:u w:val="single"/>
            <w:lang w:val="en-US"/>
          </w:rPr>
          <w:t>Leave a Comment</w:t>
        </w:r>
      </w:hyperlink>
      <w:r w:rsidRPr="00CB2DDE">
        <w:rPr>
          <w:rFonts w:ascii="Times" w:hAnsi="Times"/>
          <w:szCs w:val="20"/>
          <w:lang w:val="en-US"/>
        </w:rPr>
        <w:t xml:space="preserve"> </w:t>
      </w:r>
    </w:p>
    <w:p w:rsidR="002B6D71" w:rsidRPr="00CB2DDE" w:rsidRDefault="002B6D71" w:rsidP="002B6D71">
      <w:pPr>
        <w:rPr>
          <w:rFonts w:ascii="Times" w:hAnsi="Times"/>
          <w:szCs w:val="20"/>
          <w:lang w:val="en-US"/>
        </w:rPr>
      </w:pPr>
      <w:r w:rsidRPr="00CB2DDE">
        <w:rPr>
          <w:rFonts w:ascii="Times" w:hAnsi="Times"/>
          <w:b/>
          <w:szCs w:val="20"/>
          <w:lang w:val="en-US"/>
        </w:rPr>
        <w:t>Filed Under</w:t>
      </w:r>
      <w:r w:rsidRPr="00CB2DDE">
        <w:rPr>
          <w:rFonts w:ascii="Times" w:hAnsi="Times"/>
          <w:szCs w:val="20"/>
          <w:lang w:val="en-US"/>
        </w:rPr>
        <w:t xml:space="preserve">  </w:t>
      </w:r>
      <w:hyperlink r:id="rId7" w:history="1">
        <w:r w:rsidRPr="00CB2DDE">
          <w:rPr>
            <w:rFonts w:ascii="Times" w:hAnsi="Times"/>
            <w:color w:val="0000FF"/>
            <w:szCs w:val="20"/>
            <w:u w:val="single"/>
            <w:lang w:val="en-US"/>
          </w:rPr>
          <w:t>democracy</w:t>
        </w:r>
      </w:hyperlink>
      <w:r w:rsidRPr="00CB2DDE">
        <w:rPr>
          <w:rFonts w:ascii="Times" w:hAnsi="Times"/>
          <w:szCs w:val="20"/>
          <w:lang w:val="en-US"/>
        </w:rPr>
        <w:t xml:space="preserve">, </w:t>
      </w:r>
      <w:hyperlink r:id="rId8" w:history="1">
        <w:r w:rsidRPr="00CB2DDE">
          <w:rPr>
            <w:rFonts w:ascii="Times" w:hAnsi="Times"/>
            <w:color w:val="0000FF"/>
            <w:szCs w:val="20"/>
            <w:u w:val="single"/>
            <w:lang w:val="en-US"/>
          </w:rPr>
          <w:t>fundamental rights</w:t>
        </w:r>
      </w:hyperlink>
      <w:r w:rsidRPr="00CB2DDE">
        <w:rPr>
          <w:rFonts w:ascii="Times" w:hAnsi="Times"/>
          <w:szCs w:val="20"/>
          <w:lang w:val="en-US"/>
        </w:rPr>
        <w:t xml:space="preserve">, </w:t>
      </w:r>
      <w:hyperlink r:id="rId9" w:history="1">
        <w:r w:rsidRPr="00CB2DDE">
          <w:rPr>
            <w:rFonts w:ascii="Times" w:hAnsi="Times"/>
            <w:color w:val="0000FF"/>
            <w:szCs w:val="20"/>
            <w:u w:val="single"/>
            <w:lang w:val="en-US"/>
          </w:rPr>
          <w:t>human rights</w:t>
        </w:r>
      </w:hyperlink>
      <w:r w:rsidRPr="00CB2DDE">
        <w:rPr>
          <w:rFonts w:ascii="Times" w:hAnsi="Times"/>
          <w:szCs w:val="20"/>
          <w:lang w:val="en-US"/>
        </w:rPr>
        <w:t xml:space="preserve">, </w:t>
      </w:r>
      <w:hyperlink r:id="rId10" w:history="1">
        <w:proofErr w:type="spellStart"/>
        <w:r w:rsidRPr="00CB2DDE">
          <w:rPr>
            <w:rFonts w:ascii="Times" w:hAnsi="Times"/>
            <w:color w:val="0000FF"/>
            <w:szCs w:val="20"/>
            <w:u w:val="single"/>
            <w:lang w:val="en-US"/>
          </w:rPr>
          <w:t>keysources</w:t>
        </w:r>
        <w:proofErr w:type="spellEnd"/>
      </w:hyperlink>
      <w:r w:rsidRPr="00CB2DDE">
        <w:rPr>
          <w:rFonts w:ascii="Times" w:hAnsi="Times"/>
          <w:szCs w:val="20"/>
          <w:lang w:val="en-US"/>
        </w:rPr>
        <w:t xml:space="preserve">, </w:t>
      </w:r>
      <w:hyperlink r:id="rId11" w:history="1">
        <w:r w:rsidRPr="00CB2DDE">
          <w:rPr>
            <w:rFonts w:ascii="Times" w:hAnsi="Times"/>
            <w:color w:val="0000FF"/>
            <w:szCs w:val="20"/>
            <w:u w:val="single"/>
            <w:lang w:val="en-US"/>
          </w:rPr>
          <w:t>rule of law</w:t>
        </w:r>
      </w:hyperlink>
      <w:r w:rsidRPr="00CB2DDE">
        <w:rPr>
          <w:rFonts w:ascii="Times" w:hAnsi="Times"/>
          <w:szCs w:val="20"/>
          <w:lang w:val="en-US"/>
        </w:rPr>
        <w:t xml:space="preserve">, </w:t>
      </w:r>
      <w:hyperlink r:id="rId12" w:history="1">
        <w:r w:rsidRPr="00CB2DDE">
          <w:rPr>
            <w:rFonts w:ascii="Times" w:hAnsi="Times"/>
            <w:color w:val="0000FF"/>
            <w:szCs w:val="20"/>
            <w:u w:val="single"/>
            <w:lang w:val="en-US"/>
          </w:rPr>
          <w:t>Treaties of the European Union</w:t>
        </w:r>
      </w:hyperlink>
      <w:r w:rsidRPr="00CB2DDE">
        <w:rPr>
          <w:rFonts w:ascii="Times" w:hAnsi="Times"/>
          <w:szCs w:val="20"/>
          <w:lang w:val="en-US"/>
        </w:rPr>
        <w:t xml:space="preserve"> </w:t>
      </w:r>
    </w:p>
    <w:p w:rsidR="00CB2DDE" w:rsidRDefault="00CB2DDE" w:rsidP="00314E41">
      <w:pPr>
        <w:spacing w:beforeLines="1" w:before="2" w:afterLines="1" w:after="2"/>
        <w:rPr>
          <w:rFonts w:ascii="Times" w:hAnsi="Times" w:cs="Times New Roman"/>
          <w:szCs w:val="20"/>
          <w:lang w:val="en-US"/>
        </w:rPr>
      </w:pP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Incorporated into EU law by the Treaty of Amsterdam, Article 7 TEU is considered to have been both a gesture prompted by the future wave of EU enlargement and an attempt to tackle the discrepancy between the democratic model promoted by the EU in its external relations and its modest capacity to intervene whenever democratic values are at risk of being violated within one of its Member States. Following the notorious “Haider affair”, the provisions of Article 7 TEU have been extended to situations when there is </w:t>
      </w:r>
      <w:r w:rsidRPr="00CB2DDE">
        <w:rPr>
          <w:rFonts w:ascii="Times" w:hAnsi="Times" w:cs="Times New Roman"/>
          <w:i/>
          <w:szCs w:val="20"/>
          <w:lang w:val="en-US"/>
        </w:rPr>
        <w:t xml:space="preserve">a clear risk of a serious breach by a Member State </w:t>
      </w:r>
      <w:r w:rsidRPr="00CB2DDE">
        <w:rPr>
          <w:rFonts w:ascii="Times" w:hAnsi="Times" w:cs="Times New Roman"/>
          <w:szCs w:val="20"/>
          <w:lang w:val="en-US"/>
        </w:rPr>
        <w:t>of EU values. This new paragraph added with the Treaty of Nice therefore enables – besides the reactive approach of which Article 7 initially consisted exclusively – a prevention mechanism aiming at facilitating EU intervention before the breaches actually occur.</w:t>
      </w:r>
    </w:p>
    <w:p w:rsidR="002B6D71" w:rsidRPr="00CB2DDE" w:rsidRDefault="002B6D71" w:rsidP="002B6D71">
      <w:pPr>
        <w:rPr>
          <w:rFonts w:ascii="Times" w:hAnsi="Times"/>
          <w:szCs w:val="20"/>
          <w:lang w:val="en-US"/>
        </w:rPr>
      </w:pPr>
      <w:r w:rsidRPr="00CB2DDE">
        <w:rPr>
          <w:rFonts w:ascii="Times" w:hAnsi="Times"/>
          <w:noProof/>
          <w:color w:val="0000FF"/>
          <w:szCs w:val="20"/>
          <w:lang w:val="en-US"/>
        </w:rPr>
        <w:drawing>
          <wp:inline distT="0" distB="0" distL="0" distR="0">
            <wp:extent cx="3810000" cy="3723005"/>
            <wp:effectExtent l="25400" t="0" r="0" b="0"/>
            <wp:docPr id="2" name="Picture 2" descr="rticle 7 TE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cle 7 TEU">
                      <a:hlinkClick r:id="rId13"/>
                    </pic:cNvPr>
                    <pic:cNvPicPr>
                      <a:picLocks noChangeAspect="1" noChangeArrowheads="1"/>
                    </pic:cNvPicPr>
                  </pic:nvPicPr>
                  <pic:blipFill>
                    <a:blip r:embed="rId14"/>
                    <a:srcRect/>
                    <a:stretch>
                      <a:fillRect/>
                    </a:stretch>
                  </pic:blipFill>
                  <pic:spPr bwMode="auto">
                    <a:xfrm>
                      <a:off x="0" y="0"/>
                      <a:ext cx="3810000" cy="3723005"/>
                    </a:xfrm>
                    <a:prstGeom prst="rect">
                      <a:avLst/>
                    </a:prstGeom>
                    <a:noFill/>
                    <a:ln w="9525">
                      <a:noFill/>
                      <a:miter lim="800000"/>
                      <a:headEnd/>
                      <a:tailEnd/>
                    </a:ln>
                  </pic:spPr>
                </pic:pic>
              </a:graphicData>
            </a:graphic>
          </wp:inline>
        </w:drawing>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Claude Wangen / Fotolia</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The intention to use the Article 7 TEU mechanism has come about on several occasions. The French Roma expulsions, the Romanian political struggle between President Băsescu and Prime Minister Ponta and its consequences are amongst the most relevant examples. Furthermore, the European Parliament has recently highlighted its willingness to activate this democracy protection mechanism if the Hungarian government does not take action to restore the rule of law in Hungary. Nevertheless, the political unwillingness to use Article 7 leaves several questions unanswered: what are the precise EU values protected by this mechanism? What is the threshold for a measure or a non-measure to classify as </w:t>
      </w:r>
      <w:r w:rsidRPr="00CB2DDE">
        <w:rPr>
          <w:rFonts w:ascii="Times" w:hAnsi="Times" w:cs="Times New Roman"/>
          <w:i/>
          <w:szCs w:val="20"/>
          <w:lang w:val="en-US"/>
        </w:rPr>
        <w:t xml:space="preserve">serious </w:t>
      </w:r>
      <w:proofErr w:type="gramStart"/>
      <w:r w:rsidRPr="00CB2DDE">
        <w:rPr>
          <w:rFonts w:ascii="Times" w:hAnsi="Times" w:cs="Times New Roman"/>
          <w:i/>
          <w:szCs w:val="20"/>
          <w:lang w:val="en-US"/>
        </w:rPr>
        <w:t>breach</w:t>
      </w:r>
      <w:r w:rsidRPr="00CB2DDE">
        <w:rPr>
          <w:rFonts w:ascii="Times" w:hAnsi="Times" w:cs="Times New Roman"/>
          <w:szCs w:val="20"/>
          <w:lang w:val="en-US"/>
        </w:rPr>
        <w:t>?,</w:t>
      </w:r>
      <w:proofErr w:type="gramEnd"/>
      <w:r w:rsidRPr="00CB2DDE">
        <w:rPr>
          <w:rFonts w:ascii="Times" w:hAnsi="Times" w:cs="Times New Roman"/>
          <w:szCs w:val="20"/>
          <w:lang w:val="en-US"/>
        </w:rPr>
        <w:t xml:space="preserve"> etc.</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This Library </w:t>
      </w:r>
      <w:proofErr w:type="spellStart"/>
      <w:r w:rsidRPr="00CB2DDE">
        <w:rPr>
          <w:rFonts w:ascii="Times" w:hAnsi="Times" w:cs="Times New Roman"/>
          <w:szCs w:val="20"/>
          <w:lang w:val="en-US"/>
        </w:rPr>
        <w:t>Keysource</w:t>
      </w:r>
      <w:proofErr w:type="spellEnd"/>
      <w:r w:rsidRPr="00CB2DDE">
        <w:rPr>
          <w:rFonts w:ascii="Times" w:hAnsi="Times" w:cs="Times New Roman"/>
          <w:szCs w:val="20"/>
          <w:lang w:val="en-US"/>
        </w:rPr>
        <w:t xml:space="preserve"> is a collection of documents which examine the evolution of article 7 TEU’s provisions, investigate the several events that could have led to their </w:t>
      </w:r>
      <w:r w:rsidRPr="00CB2DDE">
        <w:rPr>
          <w:rFonts w:ascii="Times" w:hAnsi="Times" w:cs="Times New Roman"/>
          <w:szCs w:val="20"/>
          <w:lang w:val="en-US"/>
        </w:rPr>
        <w:lastRenderedPageBreak/>
        <w:t>activation and tackle the different article 7 elements that remain ambiguous or need further clarification.</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The Library will soon publish a briefing on this topic.</w:t>
      </w:r>
    </w:p>
    <w:p w:rsidR="002B6D71" w:rsidRPr="00CB2DDE" w:rsidRDefault="002B6D71" w:rsidP="00314E41">
      <w:pPr>
        <w:spacing w:beforeLines="1" w:before="2" w:afterLines="1" w:after="2"/>
        <w:outlineLvl w:val="1"/>
        <w:rPr>
          <w:rFonts w:ascii="Times" w:hAnsi="Times"/>
          <w:b/>
          <w:szCs w:val="20"/>
          <w:lang w:val="en-US"/>
        </w:rPr>
      </w:pPr>
      <w:r w:rsidRPr="00CB2DDE">
        <w:rPr>
          <w:rFonts w:ascii="Times" w:hAnsi="Times"/>
          <w:b/>
          <w:szCs w:val="20"/>
          <w:lang w:val="en-US"/>
        </w:rPr>
        <w:t>Overview</w:t>
      </w:r>
    </w:p>
    <w:p w:rsidR="002B6D71" w:rsidRPr="00CB2DDE" w:rsidRDefault="00314E41" w:rsidP="00314E41">
      <w:pPr>
        <w:spacing w:beforeLines="1" w:before="2" w:afterLines="1" w:after="2"/>
        <w:rPr>
          <w:rFonts w:ascii="Times" w:hAnsi="Times" w:cs="Times New Roman"/>
          <w:szCs w:val="20"/>
          <w:lang w:val="en-US"/>
        </w:rPr>
      </w:pPr>
      <w:hyperlink r:id="rId15" w:tgtFrame="_blank" w:history="1">
        <w:r w:rsidR="002B6D71" w:rsidRPr="00CB2DDE">
          <w:rPr>
            <w:rFonts w:ascii="Times" w:hAnsi="Times" w:cs="Times New Roman"/>
            <w:color w:val="0000FF"/>
            <w:szCs w:val="20"/>
            <w:u w:val="single"/>
            <w:lang w:val="en-US"/>
          </w:rPr>
          <w:t>European Union Law</w:t>
        </w:r>
      </w:hyperlink>
      <w:r w:rsidR="002B6D71" w:rsidRPr="00CB2DDE">
        <w:rPr>
          <w:rFonts w:ascii="Times" w:hAnsi="Times" w:cs="Times New Roman"/>
          <w:szCs w:val="20"/>
          <w:lang w:val="en-US"/>
        </w:rPr>
        <w:t xml:space="preserve"> /</w:t>
      </w:r>
      <w:r w:rsidR="002B6D71" w:rsidRPr="00CB2DDE">
        <w:rPr>
          <w:rFonts w:ascii="Times" w:hAnsi="Times" w:cs="Times New Roman"/>
          <w:b/>
          <w:szCs w:val="20"/>
          <w:lang w:val="en-US"/>
        </w:rPr>
        <w:t xml:space="preserve"> </w:t>
      </w:r>
      <w:r w:rsidR="002B6D71" w:rsidRPr="00CB2DDE">
        <w:rPr>
          <w:rFonts w:ascii="Times" w:hAnsi="Times" w:cs="Times New Roman"/>
          <w:szCs w:val="20"/>
          <w:lang w:val="en-US"/>
        </w:rPr>
        <w:t>Alina</w:t>
      </w:r>
      <w:r w:rsidR="002B6D71" w:rsidRPr="00CB2DDE">
        <w:rPr>
          <w:rFonts w:ascii="Times" w:hAnsi="Times" w:cs="Times New Roman"/>
          <w:b/>
          <w:szCs w:val="20"/>
          <w:lang w:val="en-US"/>
        </w:rPr>
        <w:t xml:space="preserve"> </w:t>
      </w:r>
      <w:r w:rsidR="002B6D71" w:rsidRPr="00CB2DDE">
        <w:rPr>
          <w:rFonts w:ascii="Times" w:hAnsi="Times" w:cs="Times New Roman"/>
          <w:szCs w:val="20"/>
          <w:lang w:val="en-US"/>
        </w:rPr>
        <w:t xml:space="preserve">Kaczorowska, London, Routledge, 2011, pp. 67-69. Available in the Library at </w:t>
      </w:r>
      <w:proofErr w:type="spellStart"/>
      <w:r w:rsidR="002B6D71" w:rsidRPr="00CB2DDE">
        <w:rPr>
          <w:rFonts w:ascii="Times" w:hAnsi="Times" w:cs="Times New Roman"/>
          <w:szCs w:val="20"/>
          <w:lang w:val="en-US"/>
        </w:rPr>
        <w:t>shelfmark</w:t>
      </w:r>
      <w:proofErr w:type="spellEnd"/>
      <w:r w:rsidR="002B6D71" w:rsidRPr="00CB2DDE">
        <w:rPr>
          <w:rFonts w:ascii="Times" w:hAnsi="Times" w:cs="Times New Roman"/>
          <w:szCs w:val="20"/>
          <w:lang w:val="en-US"/>
        </w:rPr>
        <w:t>: S 12.04.KAC.11</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Brief section explaining the steps and the actors involved in the suspension procedure set out in Article 7 TEU. While thoroughly </w:t>
      </w:r>
      <w:proofErr w:type="spellStart"/>
      <w:r w:rsidRPr="00CB2DDE">
        <w:rPr>
          <w:rFonts w:ascii="Times" w:hAnsi="Times" w:cs="Times New Roman"/>
          <w:szCs w:val="20"/>
          <w:lang w:val="en-US"/>
        </w:rPr>
        <w:t>analysing</w:t>
      </w:r>
      <w:proofErr w:type="spellEnd"/>
      <w:r w:rsidRPr="00CB2DDE">
        <w:rPr>
          <w:rFonts w:ascii="Times" w:hAnsi="Times" w:cs="Times New Roman"/>
          <w:szCs w:val="20"/>
          <w:lang w:val="en-US"/>
        </w:rPr>
        <w:t xml:space="preserve"> the first two paragraphs of this article, the author focuses both on the early warning mechanism, introduced by the Treaty of Nice, and on the actions MS can take in case serious and persistent breaches of the values on which the EU is founded are determined.</w:t>
      </w:r>
    </w:p>
    <w:p w:rsidR="009C14DF" w:rsidRDefault="009C14DF" w:rsidP="00314E41">
      <w:pPr>
        <w:spacing w:beforeLines="1" w:before="2" w:afterLines="1" w:after="2"/>
        <w:outlineLvl w:val="1"/>
        <w:rPr>
          <w:rFonts w:ascii="Times" w:hAnsi="Times"/>
          <w:b/>
          <w:szCs w:val="20"/>
          <w:lang w:val="en-US"/>
        </w:rPr>
      </w:pPr>
    </w:p>
    <w:p w:rsidR="002B6D71" w:rsidRPr="00CB2DDE" w:rsidRDefault="002B6D71" w:rsidP="00314E41">
      <w:pPr>
        <w:spacing w:beforeLines="1" w:before="2" w:afterLines="1" w:after="2"/>
        <w:outlineLvl w:val="1"/>
        <w:rPr>
          <w:rFonts w:ascii="Times" w:hAnsi="Times"/>
          <w:b/>
          <w:szCs w:val="20"/>
          <w:lang w:val="en-US"/>
        </w:rPr>
      </w:pPr>
      <w:r w:rsidRPr="00CB2DDE">
        <w:rPr>
          <w:rFonts w:ascii="Times" w:hAnsi="Times"/>
          <w:b/>
          <w:szCs w:val="20"/>
          <w:lang w:val="en-US"/>
        </w:rPr>
        <w:t>Analysis</w:t>
      </w:r>
    </w:p>
    <w:p w:rsidR="002B6D71" w:rsidRPr="00CB2DDE" w:rsidRDefault="00314E41" w:rsidP="00314E41">
      <w:pPr>
        <w:spacing w:beforeLines="1" w:before="2" w:afterLines="1" w:after="2"/>
        <w:rPr>
          <w:rFonts w:ascii="Times" w:hAnsi="Times" w:cs="Times New Roman"/>
          <w:szCs w:val="20"/>
          <w:lang w:val="en-US"/>
        </w:rPr>
      </w:pPr>
      <w:hyperlink r:id="rId16" w:tgtFrame="_blank" w:history="1">
        <w:r w:rsidR="002B6D71" w:rsidRPr="00CB2DDE">
          <w:rPr>
            <w:rFonts w:ascii="Times" w:hAnsi="Times" w:cs="Times New Roman"/>
            <w:color w:val="0000FF"/>
            <w:szCs w:val="20"/>
            <w:u w:val="single"/>
            <w:lang w:val="en-US"/>
          </w:rPr>
          <w:t xml:space="preserve">Adding a bite to a bark? A story of Article 7, the EU Enlargement, and </w:t>
        </w:r>
        <w:proofErr w:type="spellStart"/>
        <w:r w:rsidR="002B6D71" w:rsidRPr="00CB2DDE">
          <w:rPr>
            <w:rFonts w:ascii="Times" w:hAnsi="Times" w:cs="Times New Roman"/>
            <w:color w:val="0000FF"/>
            <w:szCs w:val="20"/>
            <w:u w:val="single"/>
            <w:lang w:val="en-US"/>
          </w:rPr>
          <w:t>Jörg</w:t>
        </w:r>
        <w:proofErr w:type="spellEnd"/>
        <w:r w:rsidR="002B6D71" w:rsidRPr="00CB2DDE">
          <w:rPr>
            <w:rFonts w:ascii="Times" w:hAnsi="Times" w:cs="Times New Roman"/>
            <w:color w:val="0000FF"/>
            <w:szCs w:val="20"/>
            <w:u w:val="single"/>
            <w:lang w:val="en-US"/>
          </w:rPr>
          <w:t xml:space="preserve"> Haider</w:t>
        </w:r>
      </w:hyperlink>
      <w:r w:rsidR="002B6D71" w:rsidRPr="00CB2DDE">
        <w:rPr>
          <w:rFonts w:ascii="Times" w:hAnsi="Times" w:cs="Times New Roman"/>
          <w:szCs w:val="20"/>
          <w:lang w:val="en-US"/>
        </w:rPr>
        <w:t xml:space="preserve"> / Wojciech Sadurski, Legal studies research paper, no. 10/01, 2010, 37p. You have to log in – for free – to read the full article</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Working paper tracing Article 7 TEU’s origins and highlighting it as part of the institutional reform anticipating the two Eastern enlargement waves. Identified as a priority by the 1995 Reflection Group – whose work prepared the 1996 IGC leading to the Treaty of Amsterdam – the objective of “enabling the Union to work better and preparing it for enlargement” suggests the EU’s transition to more than just a common market, namely a unique international structure sharing common values.</w:t>
      </w:r>
    </w:p>
    <w:p w:rsidR="002B6D71" w:rsidRPr="00CB2DDE" w:rsidRDefault="00314E41" w:rsidP="00314E41">
      <w:pPr>
        <w:spacing w:beforeLines="1" w:before="2" w:afterLines="1" w:after="2"/>
        <w:rPr>
          <w:rFonts w:ascii="Times" w:hAnsi="Times" w:cs="Times New Roman"/>
          <w:szCs w:val="20"/>
          <w:lang w:val="en-US"/>
        </w:rPr>
      </w:pPr>
      <w:hyperlink r:id="rId17" w:anchor="page/329/search/les%20valeurs%20de%20l%27union%20europeenne" w:tgtFrame="_blank" w:history="1">
        <w:r w:rsidR="002B6D71" w:rsidRPr="00CB2DDE">
          <w:rPr>
            <w:rFonts w:ascii="Times" w:hAnsi="Times" w:cs="Times New Roman"/>
            <w:color w:val="0000FF"/>
            <w:szCs w:val="20"/>
            <w:u w:val="single"/>
            <w:lang w:val="en-US"/>
          </w:rPr>
          <w:t xml:space="preserve">Les </w:t>
        </w:r>
        <w:proofErr w:type="spellStart"/>
        <w:r w:rsidR="002B6D71" w:rsidRPr="00CB2DDE">
          <w:rPr>
            <w:rFonts w:ascii="Times" w:hAnsi="Times" w:cs="Times New Roman"/>
            <w:color w:val="0000FF"/>
            <w:szCs w:val="20"/>
            <w:u w:val="single"/>
            <w:lang w:val="en-US"/>
          </w:rPr>
          <w:t>valeurs</w:t>
        </w:r>
        <w:proofErr w:type="spellEnd"/>
        <w:r w:rsidR="002B6D71" w:rsidRPr="00CB2DDE">
          <w:rPr>
            <w:rFonts w:ascii="Times" w:hAnsi="Times" w:cs="Times New Roman"/>
            <w:color w:val="0000FF"/>
            <w:szCs w:val="20"/>
            <w:u w:val="single"/>
            <w:lang w:val="en-US"/>
          </w:rPr>
          <w:t xml:space="preserve"> de </w:t>
        </w:r>
        <w:proofErr w:type="spellStart"/>
        <w:r w:rsidR="002B6D71" w:rsidRPr="00CB2DDE">
          <w:rPr>
            <w:rFonts w:ascii="Times" w:hAnsi="Times" w:cs="Times New Roman"/>
            <w:color w:val="0000FF"/>
            <w:szCs w:val="20"/>
            <w:u w:val="single"/>
            <w:lang w:val="en-US"/>
          </w:rPr>
          <w:t>l’Union</w:t>
        </w:r>
        <w:proofErr w:type="spellEnd"/>
        <w:r w:rsidR="002B6D71" w:rsidRPr="00CB2DDE">
          <w:rPr>
            <w:rFonts w:ascii="Times" w:hAnsi="Times" w:cs="Times New Roman"/>
            <w:color w:val="0000FF"/>
            <w:szCs w:val="20"/>
            <w:u w:val="single"/>
            <w:lang w:val="en-US"/>
          </w:rPr>
          <w:t xml:space="preserve"> </w:t>
        </w:r>
        <w:proofErr w:type="spellStart"/>
        <w:r w:rsidR="002B6D71" w:rsidRPr="00CB2DDE">
          <w:rPr>
            <w:rFonts w:ascii="Times" w:hAnsi="Times" w:cs="Times New Roman"/>
            <w:color w:val="0000FF"/>
            <w:szCs w:val="20"/>
            <w:u w:val="single"/>
            <w:lang w:val="en-US"/>
          </w:rPr>
          <w:t>européenne</w:t>
        </w:r>
        <w:proofErr w:type="spellEnd"/>
      </w:hyperlink>
      <w:r w:rsidR="002B6D71" w:rsidRPr="00CB2DDE">
        <w:rPr>
          <w:rFonts w:ascii="Times" w:hAnsi="Times" w:cs="Times New Roman"/>
          <w:szCs w:val="20"/>
          <w:lang w:val="en-US"/>
        </w:rPr>
        <w:t xml:space="preserve"> / Joël Rideau in Revue des affaires </w:t>
      </w:r>
      <w:proofErr w:type="spellStart"/>
      <w:r w:rsidR="002B6D71" w:rsidRPr="00CB2DDE">
        <w:rPr>
          <w:rFonts w:ascii="Times" w:hAnsi="Times" w:cs="Times New Roman"/>
          <w:szCs w:val="20"/>
          <w:lang w:val="en-US"/>
        </w:rPr>
        <w:t>européennes</w:t>
      </w:r>
      <w:proofErr w:type="spellEnd"/>
      <w:r w:rsidR="002B6D71" w:rsidRPr="00CB2DDE">
        <w:rPr>
          <w:rFonts w:ascii="Times" w:hAnsi="Times" w:cs="Times New Roman"/>
          <w:szCs w:val="20"/>
          <w:lang w:val="en-US"/>
        </w:rPr>
        <w:t>, no. 2, 2012, pp. 329-349.</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This article aims at identifying and examining EU values and their protection by the EU and national courts. Composed of a chapter dedicated to each of the following values: human dignity, equality, freedom, democracy, rule of law, respect of human rights; this paper also concentrates on the process of </w:t>
      </w:r>
      <w:proofErr w:type="spellStart"/>
      <w:r w:rsidRPr="00CB2DDE">
        <w:rPr>
          <w:rFonts w:ascii="Times" w:hAnsi="Times" w:cs="Times New Roman"/>
          <w:szCs w:val="20"/>
          <w:lang w:val="en-US"/>
        </w:rPr>
        <w:t>constitutionalisation</w:t>
      </w:r>
      <w:proofErr w:type="spellEnd"/>
      <w:r w:rsidRPr="00CB2DDE">
        <w:rPr>
          <w:rFonts w:ascii="Times" w:hAnsi="Times" w:cs="Times New Roman"/>
          <w:szCs w:val="20"/>
          <w:lang w:val="en-US"/>
        </w:rPr>
        <w:t xml:space="preserve"> of the EU.</w:t>
      </w:r>
    </w:p>
    <w:p w:rsidR="002B6D71" w:rsidRPr="00CB2DDE" w:rsidRDefault="00314E41" w:rsidP="00314E41">
      <w:pPr>
        <w:spacing w:beforeLines="1" w:before="2" w:afterLines="1" w:after="2"/>
        <w:rPr>
          <w:rFonts w:ascii="Times" w:hAnsi="Times" w:cs="Times New Roman"/>
          <w:szCs w:val="20"/>
          <w:lang w:val="en-US"/>
        </w:rPr>
      </w:pPr>
      <w:hyperlink r:id="rId18" w:tgtFrame="_blank" w:history="1">
        <w:r w:rsidR="002B6D71" w:rsidRPr="00CB2DDE">
          <w:rPr>
            <w:rFonts w:ascii="Times" w:hAnsi="Times" w:cs="Times New Roman"/>
            <w:color w:val="0000FF"/>
            <w:szCs w:val="20"/>
            <w:u w:val="single"/>
            <w:lang w:val="en-US"/>
          </w:rPr>
          <w:t>The EU’s governance transfer</w:t>
        </w:r>
      </w:hyperlink>
      <w:r w:rsidR="002B6D71" w:rsidRPr="00CB2DDE">
        <w:rPr>
          <w:rFonts w:ascii="Times" w:hAnsi="Times" w:cs="Times New Roman"/>
          <w:szCs w:val="20"/>
          <w:lang w:val="en-US"/>
        </w:rPr>
        <w:t xml:space="preserve"> / Vera van </w:t>
      </w:r>
      <w:proofErr w:type="spellStart"/>
      <w:r w:rsidR="002B6D71" w:rsidRPr="00CB2DDE">
        <w:rPr>
          <w:rFonts w:ascii="Times" w:hAnsi="Times" w:cs="Times New Roman"/>
          <w:szCs w:val="20"/>
          <w:lang w:val="en-US"/>
        </w:rPr>
        <w:t>Hüllen</w:t>
      </w:r>
      <w:proofErr w:type="spellEnd"/>
      <w:r w:rsidR="002B6D71" w:rsidRPr="00CB2DDE">
        <w:rPr>
          <w:rFonts w:ascii="Times" w:hAnsi="Times" w:cs="Times New Roman"/>
          <w:szCs w:val="20"/>
          <w:lang w:val="en-US"/>
        </w:rPr>
        <w:t xml:space="preserve"> and Tanja A. </w:t>
      </w:r>
      <w:proofErr w:type="spellStart"/>
      <w:r w:rsidR="002B6D71" w:rsidRPr="00CB2DDE">
        <w:rPr>
          <w:rFonts w:ascii="Times" w:hAnsi="Times" w:cs="Times New Roman"/>
          <w:szCs w:val="20"/>
          <w:lang w:val="en-US"/>
        </w:rPr>
        <w:t>Börzel</w:t>
      </w:r>
      <w:proofErr w:type="spellEnd"/>
      <w:r w:rsidR="002B6D71" w:rsidRPr="00CB2DDE">
        <w:rPr>
          <w:rFonts w:ascii="Times" w:hAnsi="Times" w:cs="Times New Roman"/>
          <w:szCs w:val="20"/>
          <w:lang w:val="en-US"/>
        </w:rPr>
        <w:t xml:space="preserve">, Working paper – </w:t>
      </w:r>
      <w:proofErr w:type="spellStart"/>
      <w:r w:rsidR="002B6D71" w:rsidRPr="00CB2DDE">
        <w:rPr>
          <w:rFonts w:ascii="Times" w:hAnsi="Times" w:cs="Times New Roman"/>
          <w:szCs w:val="20"/>
          <w:lang w:val="en-US"/>
        </w:rPr>
        <w:t>Freie</w:t>
      </w:r>
      <w:proofErr w:type="spellEnd"/>
      <w:r w:rsidR="002B6D71" w:rsidRPr="00CB2DDE">
        <w:rPr>
          <w:rFonts w:ascii="Times" w:hAnsi="Times" w:cs="Times New Roman"/>
          <w:szCs w:val="20"/>
          <w:lang w:val="en-US"/>
        </w:rPr>
        <w:t xml:space="preserve"> Universität Berlin, 2013, 22p.</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The authors focus on the contrast between the EU’s external commitment to protect and promote democracy, human rights, the rule of law and the rather weak internal instruments designed to respond to breaches of democratic standards and human rights in EU Member States. They conclude by noting that the governance transfer in terms of protection of EU values at internal level is more modest than the governance standards it manages to transfer in the context of its exterior relations.</w:t>
      </w:r>
    </w:p>
    <w:p w:rsidR="002B6D71" w:rsidRPr="00CB2DDE" w:rsidRDefault="00314E41" w:rsidP="00314E41">
      <w:pPr>
        <w:spacing w:beforeLines="1" w:before="2" w:afterLines="1" w:after="2"/>
        <w:rPr>
          <w:rFonts w:ascii="Times" w:hAnsi="Times" w:cs="Times New Roman"/>
          <w:szCs w:val="20"/>
          <w:lang w:val="en-US"/>
        </w:rPr>
      </w:pPr>
      <w:hyperlink r:id="rId19" w:tgtFrame="_blank" w:history="1">
        <w:r w:rsidR="002B6D71" w:rsidRPr="00CB2DDE">
          <w:rPr>
            <w:rFonts w:ascii="Times" w:hAnsi="Times" w:cs="Times New Roman"/>
            <w:color w:val="0000FF"/>
            <w:szCs w:val="20"/>
            <w:u w:val="single"/>
            <w:lang w:val="en-US"/>
          </w:rPr>
          <w:t>Protecting the fundamentals: article 7 of the Treaty on the European Union and beyond</w:t>
        </w:r>
      </w:hyperlink>
      <w:r w:rsidR="002B6D71" w:rsidRPr="00CB2DDE">
        <w:rPr>
          <w:rFonts w:ascii="Times" w:hAnsi="Times" w:cs="Times New Roman"/>
          <w:szCs w:val="20"/>
          <w:lang w:val="en-US"/>
        </w:rPr>
        <w:t xml:space="preserve"> / Cesare </w:t>
      </w:r>
      <w:proofErr w:type="spellStart"/>
      <w:r w:rsidR="002B6D71" w:rsidRPr="00CB2DDE">
        <w:rPr>
          <w:rFonts w:ascii="Times" w:hAnsi="Times" w:cs="Times New Roman"/>
          <w:szCs w:val="20"/>
          <w:lang w:val="en-US"/>
        </w:rPr>
        <w:t>Pinelli</w:t>
      </w:r>
      <w:proofErr w:type="spellEnd"/>
      <w:r w:rsidR="002B6D71" w:rsidRPr="00CB2DDE">
        <w:rPr>
          <w:rFonts w:ascii="Times" w:hAnsi="Times" w:cs="Times New Roman"/>
          <w:szCs w:val="20"/>
          <w:lang w:val="en-US"/>
        </w:rPr>
        <w:t>, Foundation for European Progressive Studies, 2012, 20p.</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This paper tackles the three different alternatives the EU has at its disposal in order to intervene in cases of EU values violations: citizens’ applications before their national courts, which might refer to the CJEU for a preliminary ruling; infringement actions of the European Commission and monitoring mechanisms aimed at enhancing Article 7 TEU’s mechanism.</w:t>
      </w:r>
    </w:p>
    <w:p w:rsidR="002B6D71" w:rsidRPr="00CB2DDE" w:rsidRDefault="00314E41" w:rsidP="00314E41">
      <w:pPr>
        <w:spacing w:beforeLines="1" w:before="2" w:afterLines="1" w:after="2"/>
        <w:rPr>
          <w:rFonts w:ascii="Times" w:hAnsi="Times" w:cs="Times New Roman"/>
          <w:szCs w:val="20"/>
          <w:lang w:val="en-US"/>
        </w:rPr>
      </w:pPr>
      <w:hyperlink r:id="rId20" w:tgtFrame="_blank" w:history="1">
        <w:r w:rsidR="002B6D71" w:rsidRPr="00CB2DDE">
          <w:rPr>
            <w:rFonts w:ascii="Times" w:hAnsi="Times" w:cs="Times New Roman"/>
            <w:color w:val="0000FF"/>
            <w:szCs w:val="20"/>
            <w:u w:val="single"/>
            <w:lang w:val="en-US"/>
          </w:rPr>
          <w:t>Safeguarding democracy inside the EU: Brussels and the future of liberal order</w:t>
        </w:r>
      </w:hyperlink>
      <w:r w:rsidR="002B6D71" w:rsidRPr="00CB2DDE">
        <w:rPr>
          <w:rFonts w:ascii="Times" w:hAnsi="Times" w:cs="Times New Roman"/>
          <w:szCs w:val="20"/>
          <w:lang w:val="en-US"/>
        </w:rPr>
        <w:t xml:space="preserve"> / Jan-Werner Müller, Transatlantic academy paper series, 2013, pp. 17-18.</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According to Jan-Werner Müller, professor of politics at Princeton University, Article 7 TEU is more a political rather than a judicial instrument. In addition, he notes the contradiction between the possibility of applying a sanction mechanism and other EU core principles such as mutual trust and mutual accommodation.</w:t>
      </w:r>
    </w:p>
    <w:p w:rsidR="002B6D71" w:rsidRPr="00CB2DDE" w:rsidRDefault="002B6D71" w:rsidP="00314E41">
      <w:pPr>
        <w:spacing w:beforeLines="1" w:before="2" w:afterLines="1" w:after="2"/>
        <w:outlineLvl w:val="1"/>
        <w:rPr>
          <w:rFonts w:ascii="Times" w:hAnsi="Times"/>
          <w:b/>
          <w:szCs w:val="20"/>
          <w:lang w:val="en-US"/>
        </w:rPr>
      </w:pPr>
      <w:r w:rsidRPr="00CB2DDE">
        <w:rPr>
          <w:rFonts w:ascii="Times" w:hAnsi="Times"/>
          <w:b/>
          <w:szCs w:val="20"/>
          <w:lang w:val="en-US"/>
        </w:rPr>
        <w:t>Past and present debates on the possible usage of Article 7 TEU’s mechanism</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b/>
          <w:szCs w:val="20"/>
          <w:lang w:val="en-US"/>
        </w:rPr>
        <w:lastRenderedPageBreak/>
        <w:t>Austria</w:t>
      </w:r>
    </w:p>
    <w:p w:rsidR="002B6D71" w:rsidRPr="00CB2DDE" w:rsidRDefault="00314E41" w:rsidP="00314E41">
      <w:pPr>
        <w:spacing w:beforeLines="1" w:before="2" w:afterLines="1" w:after="2"/>
        <w:rPr>
          <w:rFonts w:ascii="Times" w:hAnsi="Times" w:cs="Times New Roman"/>
          <w:szCs w:val="20"/>
          <w:lang w:val="en-US"/>
        </w:rPr>
      </w:pPr>
      <w:hyperlink r:id="rId21" w:anchor="page/61/search/article%207%20tue%20suspension" w:tgtFrame="_blank" w:history="1">
        <w:r w:rsidR="002B6D71" w:rsidRPr="00CB2DDE">
          <w:rPr>
            <w:rFonts w:ascii="Times" w:hAnsi="Times" w:cs="Times New Roman"/>
            <w:color w:val="0000FF"/>
            <w:szCs w:val="20"/>
            <w:u w:val="single"/>
            <w:lang w:val="en-US"/>
          </w:rPr>
          <w:t xml:space="preserve">Le </w:t>
        </w:r>
        <w:proofErr w:type="spellStart"/>
        <w:r w:rsidR="002B6D71" w:rsidRPr="00CB2DDE">
          <w:rPr>
            <w:rFonts w:ascii="Times" w:hAnsi="Times" w:cs="Times New Roman"/>
            <w:color w:val="0000FF"/>
            <w:szCs w:val="20"/>
            <w:u w:val="single"/>
            <w:lang w:val="en-US"/>
          </w:rPr>
          <w:t>contrôle</w:t>
        </w:r>
        <w:proofErr w:type="spellEnd"/>
        <w:r w:rsidR="002B6D71" w:rsidRPr="00CB2DDE">
          <w:rPr>
            <w:rFonts w:ascii="Times" w:hAnsi="Times" w:cs="Times New Roman"/>
            <w:color w:val="0000FF"/>
            <w:szCs w:val="20"/>
            <w:u w:val="single"/>
            <w:lang w:val="en-US"/>
          </w:rPr>
          <w:t xml:space="preserve"> par </w:t>
        </w:r>
        <w:proofErr w:type="spellStart"/>
        <w:r w:rsidR="002B6D71" w:rsidRPr="00CB2DDE">
          <w:rPr>
            <w:rFonts w:ascii="Times" w:hAnsi="Times" w:cs="Times New Roman"/>
            <w:color w:val="0000FF"/>
            <w:szCs w:val="20"/>
            <w:u w:val="single"/>
            <w:lang w:val="en-US"/>
          </w:rPr>
          <w:t>l’Union</w:t>
        </w:r>
        <w:proofErr w:type="spellEnd"/>
        <w:r w:rsidR="002B6D71" w:rsidRPr="00CB2DDE">
          <w:rPr>
            <w:rFonts w:ascii="Times" w:hAnsi="Times" w:cs="Times New Roman"/>
            <w:color w:val="0000FF"/>
            <w:szCs w:val="20"/>
            <w:u w:val="single"/>
            <w:lang w:val="en-US"/>
          </w:rPr>
          <w:t xml:space="preserve"> </w:t>
        </w:r>
        <w:proofErr w:type="spellStart"/>
        <w:r w:rsidR="002B6D71" w:rsidRPr="00CB2DDE">
          <w:rPr>
            <w:rFonts w:ascii="Times" w:hAnsi="Times" w:cs="Times New Roman"/>
            <w:color w:val="0000FF"/>
            <w:szCs w:val="20"/>
            <w:u w:val="single"/>
            <w:lang w:val="en-US"/>
          </w:rPr>
          <w:t>européenne</w:t>
        </w:r>
        <w:proofErr w:type="spellEnd"/>
        <w:r w:rsidR="002B6D71" w:rsidRPr="00CB2DDE">
          <w:rPr>
            <w:rFonts w:ascii="Times" w:hAnsi="Times" w:cs="Times New Roman"/>
            <w:color w:val="0000FF"/>
            <w:szCs w:val="20"/>
            <w:u w:val="single"/>
            <w:lang w:val="en-US"/>
          </w:rPr>
          <w:t xml:space="preserve"> du respect de la </w:t>
        </w:r>
        <w:proofErr w:type="spellStart"/>
        <w:r w:rsidR="002B6D71" w:rsidRPr="00CB2DDE">
          <w:rPr>
            <w:rFonts w:ascii="Times" w:hAnsi="Times" w:cs="Times New Roman"/>
            <w:color w:val="0000FF"/>
            <w:szCs w:val="20"/>
            <w:u w:val="single"/>
            <w:lang w:val="en-US"/>
          </w:rPr>
          <w:t>démocratie</w:t>
        </w:r>
        <w:proofErr w:type="spellEnd"/>
        <w:r w:rsidR="002B6D71" w:rsidRPr="00CB2DDE">
          <w:rPr>
            <w:rFonts w:ascii="Times" w:hAnsi="Times" w:cs="Times New Roman"/>
            <w:color w:val="0000FF"/>
            <w:szCs w:val="20"/>
            <w:u w:val="single"/>
            <w:lang w:val="en-US"/>
          </w:rPr>
          <w:t xml:space="preserve"> et des droits de </w:t>
        </w:r>
        <w:proofErr w:type="spellStart"/>
        <w:r w:rsidR="002B6D71" w:rsidRPr="00CB2DDE">
          <w:rPr>
            <w:rFonts w:ascii="Times" w:hAnsi="Times" w:cs="Times New Roman"/>
            <w:color w:val="0000FF"/>
            <w:szCs w:val="20"/>
            <w:u w:val="single"/>
            <w:lang w:val="en-US"/>
          </w:rPr>
          <w:t>l’homme</w:t>
        </w:r>
        <w:proofErr w:type="spellEnd"/>
        <w:r w:rsidR="002B6D71" w:rsidRPr="00CB2DDE">
          <w:rPr>
            <w:rFonts w:ascii="Times" w:hAnsi="Times" w:cs="Times New Roman"/>
            <w:color w:val="0000FF"/>
            <w:szCs w:val="20"/>
            <w:u w:val="single"/>
            <w:lang w:val="en-US"/>
          </w:rPr>
          <w:t xml:space="preserve"> par </w:t>
        </w:r>
        <w:proofErr w:type="spellStart"/>
        <w:r w:rsidR="002B6D71" w:rsidRPr="00CB2DDE">
          <w:rPr>
            <w:rFonts w:ascii="Times" w:hAnsi="Times" w:cs="Times New Roman"/>
            <w:color w:val="0000FF"/>
            <w:szCs w:val="20"/>
            <w:u w:val="single"/>
            <w:lang w:val="en-US"/>
          </w:rPr>
          <w:t>ses</w:t>
        </w:r>
        <w:proofErr w:type="spellEnd"/>
        <w:r w:rsidR="002B6D71" w:rsidRPr="00CB2DDE">
          <w:rPr>
            <w:rFonts w:ascii="Times" w:hAnsi="Times" w:cs="Times New Roman"/>
            <w:color w:val="0000FF"/>
            <w:szCs w:val="20"/>
            <w:u w:val="single"/>
            <w:lang w:val="en-US"/>
          </w:rPr>
          <w:t xml:space="preserve"> </w:t>
        </w:r>
        <w:proofErr w:type="spellStart"/>
        <w:r w:rsidR="002B6D71" w:rsidRPr="00CB2DDE">
          <w:rPr>
            <w:rFonts w:ascii="Times" w:hAnsi="Times" w:cs="Times New Roman"/>
            <w:color w:val="0000FF"/>
            <w:szCs w:val="20"/>
            <w:u w:val="single"/>
            <w:lang w:val="en-US"/>
          </w:rPr>
          <w:t>Etats</w:t>
        </w:r>
        <w:proofErr w:type="spellEnd"/>
        <w:r w:rsidR="002B6D71" w:rsidRPr="00CB2DDE">
          <w:rPr>
            <w:rFonts w:ascii="Times" w:hAnsi="Times" w:cs="Times New Roman"/>
            <w:color w:val="0000FF"/>
            <w:szCs w:val="20"/>
            <w:u w:val="single"/>
            <w:lang w:val="en-US"/>
          </w:rPr>
          <w:t xml:space="preserve"> </w:t>
        </w:r>
        <w:proofErr w:type="spellStart"/>
        <w:proofErr w:type="gramStart"/>
        <w:r w:rsidR="002B6D71" w:rsidRPr="00CB2DDE">
          <w:rPr>
            <w:rFonts w:ascii="Times" w:hAnsi="Times" w:cs="Times New Roman"/>
            <w:color w:val="0000FF"/>
            <w:szCs w:val="20"/>
            <w:u w:val="single"/>
            <w:lang w:val="en-US"/>
          </w:rPr>
          <w:t>membres</w:t>
        </w:r>
        <w:proofErr w:type="spellEnd"/>
        <w:r w:rsidR="002B6D71" w:rsidRPr="00CB2DDE">
          <w:rPr>
            <w:rFonts w:ascii="Times" w:hAnsi="Times" w:cs="Times New Roman"/>
            <w:color w:val="0000FF"/>
            <w:szCs w:val="20"/>
            <w:u w:val="single"/>
            <w:lang w:val="en-US"/>
          </w:rPr>
          <w:t xml:space="preserve"> :</w:t>
        </w:r>
        <w:proofErr w:type="gramEnd"/>
        <w:r w:rsidR="002B6D71" w:rsidRPr="00CB2DDE">
          <w:rPr>
            <w:rFonts w:ascii="Times" w:hAnsi="Times" w:cs="Times New Roman"/>
            <w:color w:val="0000FF"/>
            <w:szCs w:val="20"/>
            <w:u w:val="single"/>
            <w:lang w:val="en-US"/>
          </w:rPr>
          <w:t xml:space="preserve"> à </w:t>
        </w:r>
        <w:proofErr w:type="spellStart"/>
        <w:r w:rsidR="002B6D71" w:rsidRPr="00CB2DDE">
          <w:rPr>
            <w:rFonts w:ascii="Times" w:hAnsi="Times" w:cs="Times New Roman"/>
            <w:color w:val="0000FF"/>
            <w:szCs w:val="20"/>
            <w:u w:val="single"/>
            <w:lang w:val="en-US"/>
          </w:rPr>
          <w:t>propos</w:t>
        </w:r>
        <w:proofErr w:type="spellEnd"/>
        <w:r w:rsidR="002B6D71" w:rsidRPr="00CB2DDE">
          <w:rPr>
            <w:rFonts w:ascii="Times" w:hAnsi="Times" w:cs="Times New Roman"/>
            <w:color w:val="0000FF"/>
            <w:szCs w:val="20"/>
            <w:u w:val="single"/>
            <w:lang w:val="en-US"/>
          </w:rPr>
          <w:t xml:space="preserve"> de </w:t>
        </w:r>
        <w:proofErr w:type="spellStart"/>
        <w:r w:rsidR="002B6D71" w:rsidRPr="00CB2DDE">
          <w:rPr>
            <w:rFonts w:ascii="Times" w:hAnsi="Times" w:cs="Times New Roman"/>
            <w:color w:val="0000FF"/>
            <w:szCs w:val="20"/>
            <w:u w:val="single"/>
            <w:lang w:val="en-US"/>
          </w:rPr>
          <w:t>l’Autriche</w:t>
        </w:r>
        <w:proofErr w:type="spellEnd"/>
      </w:hyperlink>
      <w:r w:rsidR="002B6D71" w:rsidRPr="00CB2DDE">
        <w:rPr>
          <w:rFonts w:ascii="Times" w:hAnsi="Times" w:cs="Times New Roman"/>
          <w:szCs w:val="20"/>
          <w:lang w:val="en-US"/>
        </w:rPr>
        <w:t xml:space="preserve"> / Emmanuelle </w:t>
      </w:r>
      <w:proofErr w:type="spellStart"/>
      <w:r w:rsidR="002B6D71" w:rsidRPr="00CB2DDE">
        <w:rPr>
          <w:rFonts w:ascii="Times" w:hAnsi="Times" w:cs="Times New Roman"/>
          <w:szCs w:val="20"/>
          <w:lang w:val="en-US"/>
        </w:rPr>
        <w:t>Bribosia</w:t>
      </w:r>
      <w:proofErr w:type="spellEnd"/>
      <w:r w:rsidR="002B6D71" w:rsidRPr="00CB2DDE">
        <w:rPr>
          <w:rFonts w:ascii="Times" w:hAnsi="Times" w:cs="Times New Roman"/>
          <w:szCs w:val="20"/>
          <w:lang w:val="en-US"/>
        </w:rPr>
        <w:t xml:space="preserve">, Olivier de </w:t>
      </w:r>
      <w:proofErr w:type="spellStart"/>
      <w:r w:rsidR="002B6D71" w:rsidRPr="00CB2DDE">
        <w:rPr>
          <w:rFonts w:ascii="Times" w:hAnsi="Times" w:cs="Times New Roman"/>
          <w:szCs w:val="20"/>
          <w:lang w:val="en-US"/>
        </w:rPr>
        <w:t>Schutter</w:t>
      </w:r>
      <w:proofErr w:type="spellEnd"/>
      <w:r w:rsidR="002B6D71" w:rsidRPr="00CB2DDE">
        <w:rPr>
          <w:rFonts w:ascii="Times" w:hAnsi="Times" w:cs="Times New Roman"/>
          <w:szCs w:val="20"/>
          <w:lang w:val="en-US"/>
        </w:rPr>
        <w:t xml:space="preserve">, Thierry </w:t>
      </w:r>
      <w:proofErr w:type="spellStart"/>
      <w:r w:rsidR="002B6D71" w:rsidRPr="00CB2DDE">
        <w:rPr>
          <w:rFonts w:ascii="Times" w:hAnsi="Times" w:cs="Times New Roman"/>
          <w:szCs w:val="20"/>
          <w:lang w:val="en-US"/>
        </w:rPr>
        <w:t>Ronse</w:t>
      </w:r>
      <w:proofErr w:type="spellEnd"/>
      <w:r w:rsidR="002B6D71" w:rsidRPr="00CB2DDE">
        <w:rPr>
          <w:rFonts w:ascii="Times" w:hAnsi="Times" w:cs="Times New Roman"/>
          <w:szCs w:val="20"/>
          <w:lang w:val="en-US"/>
        </w:rPr>
        <w:t xml:space="preserve"> and Anne </w:t>
      </w:r>
      <w:proofErr w:type="spellStart"/>
      <w:r w:rsidR="002B6D71" w:rsidRPr="00CB2DDE">
        <w:rPr>
          <w:rFonts w:ascii="Times" w:hAnsi="Times" w:cs="Times New Roman"/>
          <w:szCs w:val="20"/>
          <w:lang w:val="en-US"/>
        </w:rPr>
        <w:t>Weyembergh</w:t>
      </w:r>
      <w:proofErr w:type="spellEnd"/>
      <w:r w:rsidR="002B6D71" w:rsidRPr="00CB2DDE">
        <w:rPr>
          <w:rFonts w:ascii="Times" w:hAnsi="Times" w:cs="Times New Roman"/>
          <w:szCs w:val="20"/>
          <w:lang w:val="en-US"/>
        </w:rPr>
        <w:t xml:space="preserve"> in Journal de droit </w:t>
      </w:r>
      <w:proofErr w:type="spellStart"/>
      <w:r w:rsidR="002B6D71" w:rsidRPr="00CB2DDE">
        <w:rPr>
          <w:rFonts w:ascii="Times" w:hAnsi="Times" w:cs="Times New Roman"/>
          <w:szCs w:val="20"/>
          <w:lang w:val="en-US"/>
        </w:rPr>
        <w:t>européen</w:t>
      </w:r>
      <w:proofErr w:type="spellEnd"/>
      <w:r w:rsidR="002B6D71" w:rsidRPr="00CB2DDE">
        <w:rPr>
          <w:rFonts w:ascii="Times" w:hAnsi="Times" w:cs="Times New Roman"/>
          <w:szCs w:val="20"/>
          <w:lang w:val="en-US"/>
        </w:rPr>
        <w:t>, no. 3, 2000, pp. 61-65.</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This article gives a very good overview of the possibilities envisaged by the scholars in order to tackle Austrian threats to the EU’s democratic values at the time when the Freedom Party (‘FPÖ’) and </w:t>
      </w:r>
      <w:proofErr w:type="spellStart"/>
      <w:r w:rsidRPr="00CB2DDE">
        <w:rPr>
          <w:rFonts w:ascii="Times" w:hAnsi="Times" w:cs="Times New Roman"/>
          <w:szCs w:val="20"/>
          <w:lang w:val="en-US"/>
        </w:rPr>
        <w:t>Jörg</w:t>
      </w:r>
      <w:proofErr w:type="spellEnd"/>
      <w:r w:rsidRPr="00CB2DDE">
        <w:rPr>
          <w:rFonts w:ascii="Times" w:hAnsi="Times" w:cs="Times New Roman"/>
          <w:szCs w:val="20"/>
          <w:lang w:val="en-US"/>
        </w:rPr>
        <w:t xml:space="preserve"> Haider rose to power.</w:t>
      </w:r>
    </w:p>
    <w:p w:rsidR="002B6D71" w:rsidRPr="00CB2DDE" w:rsidRDefault="00314E41" w:rsidP="00314E41">
      <w:pPr>
        <w:spacing w:beforeLines="1" w:before="2" w:afterLines="1" w:after="2"/>
        <w:rPr>
          <w:rFonts w:ascii="Times" w:hAnsi="Times" w:cs="Times New Roman"/>
          <w:szCs w:val="20"/>
          <w:lang w:val="en-US"/>
        </w:rPr>
      </w:pPr>
      <w:hyperlink r:id="rId22" w:tgtFrame="_blank" w:history="1">
        <w:r w:rsidR="002B6D71" w:rsidRPr="00CB2DDE">
          <w:rPr>
            <w:rFonts w:ascii="Times" w:hAnsi="Times" w:cs="Times New Roman"/>
            <w:color w:val="0000FF"/>
            <w:szCs w:val="20"/>
            <w:u w:val="single"/>
            <w:lang w:val="en-US"/>
          </w:rPr>
          <w:t>Austria and the European Union – the report of the “three wise men”</w:t>
        </w:r>
      </w:hyperlink>
      <w:r w:rsidR="002B6D71" w:rsidRPr="00CB2DDE">
        <w:rPr>
          <w:rFonts w:ascii="Times" w:hAnsi="Times" w:cs="Times New Roman"/>
          <w:szCs w:val="20"/>
          <w:lang w:val="en-US"/>
        </w:rPr>
        <w:t xml:space="preserve"> / Alison Duxbury in Melbourne Journal of International Law, vol. 1, no. 1, 2000, pp. 169-174.</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This article includes a thorough analysis of the report submitted in September 2000 examining the Austrian Government’s commitment to EU values. </w:t>
      </w:r>
      <w:proofErr w:type="spellStart"/>
      <w:r w:rsidRPr="00CB2DDE">
        <w:rPr>
          <w:rFonts w:ascii="Times" w:hAnsi="Times" w:cs="Times New Roman"/>
          <w:szCs w:val="20"/>
          <w:lang w:val="en-US"/>
        </w:rPr>
        <w:t>Jörg</w:t>
      </w:r>
      <w:proofErr w:type="spellEnd"/>
      <w:r w:rsidRPr="00CB2DDE">
        <w:rPr>
          <w:rFonts w:ascii="Times" w:hAnsi="Times" w:cs="Times New Roman"/>
          <w:szCs w:val="20"/>
          <w:lang w:val="en-US"/>
        </w:rPr>
        <w:t xml:space="preserve"> Haider’s Freedom Party (‘FPÖ’) – a right wing populist party – having entered the Austrian Government, it faced widespread criticism related to the discriminatory nature of their proposed reform of immigration policy. It is noteworthy that this report </w:t>
      </w:r>
      <w:proofErr w:type="spellStart"/>
      <w:r w:rsidRPr="00CB2DDE">
        <w:rPr>
          <w:rFonts w:ascii="Times" w:hAnsi="Times" w:cs="Times New Roman"/>
          <w:szCs w:val="20"/>
          <w:lang w:val="en-US"/>
        </w:rPr>
        <w:t>favours</w:t>
      </w:r>
      <w:proofErr w:type="spellEnd"/>
      <w:r w:rsidRPr="00CB2DDE">
        <w:rPr>
          <w:rFonts w:ascii="Times" w:hAnsi="Times" w:cs="Times New Roman"/>
          <w:szCs w:val="20"/>
          <w:lang w:val="en-US"/>
        </w:rPr>
        <w:t xml:space="preserve"> the introduction of a prevention mechanism aiming at moving away from a simple reactive approach. This alert procedure is currently defined by Article 7(1) and was introduced by the Treaty of Nice.</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b/>
          <w:szCs w:val="20"/>
          <w:lang w:val="en-US"/>
        </w:rPr>
        <w:t>France</w:t>
      </w:r>
    </w:p>
    <w:p w:rsidR="002B6D71" w:rsidRPr="00CB2DDE" w:rsidRDefault="00314E41" w:rsidP="00314E41">
      <w:pPr>
        <w:spacing w:beforeLines="1" w:before="2" w:afterLines="1" w:after="2"/>
        <w:rPr>
          <w:rFonts w:ascii="Times" w:hAnsi="Times" w:cs="Times New Roman"/>
          <w:szCs w:val="20"/>
          <w:lang w:val="en-US"/>
        </w:rPr>
      </w:pPr>
      <w:hyperlink r:id="rId23" w:tgtFrame="_blank" w:history="1">
        <w:proofErr w:type="spellStart"/>
        <w:r w:rsidR="002B6D71" w:rsidRPr="00CB2DDE">
          <w:rPr>
            <w:rFonts w:ascii="Times" w:hAnsi="Times" w:cs="Times New Roman"/>
            <w:color w:val="0000FF"/>
            <w:szCs w:val="20"/>
            <w:u w:val="single"/>
            <w:lang w:val="en-US"/>
          </w:rPr>
          <w:t>L’affaire</w:t>
        </w:r>
        <w:proofErr w:type="spellEnd"/>
        <w:r w:rsidR="002B6D71" w:rsidRPr="00CB2DDE">
          <w:rPr>
            <w:rFonts w:ascii="Times" w:hAnsi="Times" w:cs="Times New Roman"/>
            <w:color w:val="0000FF"/>
            <w:szCs w:val="20"/>
            <w:u w:val="single"/>
            <w:lang w:val="en-US"/>
          </w:rPr>
          <w:t xml:space="preserve"> des </w:t>
        </w:r>
        <w:proofErr w:type="spellStart"/>
        <w:r w:rsidR="002B6D71" w:rsidRPr="00CB2DDE">
          <w:rPr>
            <w:rFonts w:ascii="Times" w:hAnsi="Times" w:cs="Times New Roman"/>
            <w:color w:val="0000FF"/>
            <w:szCs w:val="20"/>
            <w:u w:val="single"/>
            <w:lang w:val="en-US"/>
          </w:rPr>
          <w:t>Roms</w:t>
        </w:r>
        <w:proofErr w:type="spellEnd"/>
        <w:r w:rsidR="002B6D71" w:rsidRPr="00CB2DDE">
          <w:rPr>
            <w:rFonts w:ascii="Times" w:hAnsi="Times" w:cs="Times New Roman"/>
            <w:color w:val="0000FF"/>
            <w:szCs w:val="20"/>
            <w:u w:val="single"/>
            <w:lang w:val="en-US"/>
          </w:rPr>
          <w:t>: a challenge to the EU’s area of freedom, security and justice</w:t>
        </w:r>
      </w:hyperlink>
      <w:r w:rsidR="002B6D71" w:rsidRPr="00CB2DDE">
        <w:rPr>
          <w:rFonts w:ascii="Times" w:hAnsi="Times" w:cs="Times New Roman"/>
          <w:szCs w:val="20"/>
          <w:lang w:val="en-US"/>
        </w:rPr>
        <w:t xml:space="preserve"> / Sergio Carrera and </w:t>
      </w:r>
      <w:proofErr w:type="spellStart"/>
      <w:r w:rsidR="002B6D71" w:rsidRPr="00CB2DDE">
        <w:rPr>
          <w:rFonts w:ascii="Times" w:hAnsi="Times" w:cs="Times New Roman"/>
          <w:szCs w:val="20"/>
          <w:lang w:val="en-US"/>
        </w:rPr>
        <w:t>Anaïs</w:t>
      </w:r>
      <w:proofErr w:type="spellEnd"/>
      <w:r w:rsidR="002B6D71" w:rsidRPr="00CB2DDE">
        <w:rPr>
          <w:rFonts w:ascii="Times" w:hAnsi="Times" w:cs="Times New Roman"/>
          <w:szCs w:val="20"/>
          <w:lang w:val="en-US"/>
        </w:rPr>
        <w:t xml:space="preserve"> Faure </w:t>
      </w:r>
      <w:proofErr w:type="spellStart"/>
      <w:r w:rsidR="002B6D71" w:rsidRPr="00CB2DDE">
        <w:rPr>
          <w:rFonts w:ascii="Times" w:hAnsi="Times" w:cs="Times New Roman"/>
          <w:szCs w:val="20"/>
          <w:lang w:val="en-US"/>
        </w:rPr>
        <w:t>Atger</w:t>
      </w:r>
      <w:proofErr w:type="spellEnd"/>
      <w:r w:rsidR="002B6D71" w:rsidRPr="00CB2DDE">
        <w:rPr>
          <w:rFonts w:ascii="Times" w:hAnsi="Times" w:cs="Times New Roman"/>
          <w:szCs w:val="20"/>
          <w:lang w:val="en-US"/>
        </w:rPr>
        <w:t>, CEPS, 2010, 21p.</w:t>
      </w:r>
    </w:p>
    <w:p w:rsidR="002B6D71" w:rsidRPr="00CB2DDE" w:rsidRDefault="002B6D71" w:rsidP="00314E41">
      <w:pPr>
        <w:spacing w:beforeLines="1" w:before="2" w:afterLines="1" w:after="2"/>
        <w:rPr>
          <w:rFonts w:ascii="Times" w:hAnsi="Times" w:cs="Times New Roman"/>
          <w:szCs w:val="20"/>
          <w:lang w:val="en-US"/>
        </w:rPr>
      </w:pPr>
      <w:proofErr w:type="spellStart"/>
      <w:r w:rsidRPr="00CB2DDE">
        <w:rPr>
          <w:rFonts w:ascii="Times" w:hAnsi="Times" w:cs="Times New Roman"/>
          <w:szCs w:val="20"/>
          <w:lang w:val="en-US"/>
        </w:rPr>
        <w:t>Criticising</w:t>
      </w:r>
      <w:proofErr w:type="spellEnd"/>
      <w:r w:rsidRPr="00CB2DDE">
        <w:rPr>
          <w:rFonts w:ascii="Times" w:hAnsi="Times" w:cs="Times New Roman"/>
          <w:szCs w:val="20"/>
          <w:lang w:val="en-US"/>
        </w:rPr>
        <w:t xml:space="preserve"> the </w:t>
      </w:r>
      <w:r w:rsidRPr="00CB2DDE">
        <w:rPr>
          <w:rFonts w:ascii="Times" w:hAnsi="Times" w:cs="Times New Roman"/>
          <w:i/>
          <w:szCs w:val="20"/>
          <w:lang w:val="en-US"/>
        </w:rPr>
        <w:t>ex post</w:t>
      </w:r>
      <w:r w:rsidRPr="00CB2DDE">
        <w:rPr>
          <w:rFonts w:ascii="Times" w:hAnsi="Times" w:cs="Times New Roman"/>
          <w:szCs w:val="20"/>
          <w:lang w:val="en-US"/>
        </w:rPr>
        <w:t xml:space="preserve"> nature of the measures that can be adopted under Article 7 TEU, the authors of this paper also highlight the lack of a proper monitoring mechanism which would prevent a situation like the Roma expulsions in France.</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b/>
          <w:szCs w:val="20"/>
          <w:lang w:val="en-US"/>
        </w:rPr>
        <w:t>Hungary</w:t>
      </w:r>
    </w:p>
    <w:p w:rsidR="002B6D71" w:rsidRPr="00CB2DDE" w:rsidRDefault="00C67736" w:rsidP="00314E41">
      <w:pPr>
        <w:spacing w:beforeLines="1" w:before="2" w:afterLines="1" w:after="2"/>
        <w:rPr>
          <w:rFonts w:ascii="Times" w:hAnsi="Times" w:cs="Times New Roman"/>
          <w:szCs w:val="20"/>
          <w:lang w:val="en-US"/>
        </w:rPr>
      </w:pPr>
      <w:hyperlink r:id="rId24" w:anchor="title2" w:history="1">
        <w:r w:rsidR="002B6D71" w:rsidRPr="00CB2DDE">
          <w:rPr>
            <w:rFonts w:ascii="Times" w:hAnsi="Times" w:cs="Times New Roman"/>
            <w:color w:val="0000FF"/>
            <w:szCs w:val="20"/>
            <w:u w:val="single"/>
            <w:lang w:val="en-US"/>
          </w:rPr>
          <w:t>Motion for resolution on the situation of fundamental rights: standards and practices in Hungary</w:t>
        </w:r>
      </w:hyperlink>
      <w:r w:rsidR="002B6D71" w:rsidRPr="00CB2DDE">
        <w:rPr>
          <w:rFonts w:ascii="Times" w:hAnsi="Times" w:cs="Times New Roman"/>
          <w:szCs w:val="20"/>
          <w:lang w:val="en-US"/>
        </w:rPr>
        <w:t xml:space="preserve"> / European Parliament, July 2013</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EP motion for resolution adopted in July 2013 calling on Hungary to reform its Constitution to bring it in line with EU norms and values. Point 86 of the motion for resolution shows the EP’s intention to activate Article 7 TEU’s mechanism in case the Hungarian authorities do not comply with the Union’s values.</w:t>
      </w:r>
    </w:p>
    <w:p w:rsidR="002B6D71" w:rsidRPr="00CB2DDE" w:rsidRDefault="00314E41" w:rsidP="00314E41">
      <w:pPr>
        <w:spacing w:beforeLines="1" w:before="2" w:afterLines="1" w:after="2"/>
        <w:rPr>
          <w:rFonts w:ascii="Times" w:hAnsi="Times" w:cs="Times New Roman"/>
          <w:szCs w:val="20"/>
          <w:lang w:val="en-US"/>
        </w:rPr>
      </w:pPr>
      <w:hyperlink r:id="rId25" w:tgtFrame="_blank" w:history="1">
        <w:r w:rsidR="002B6D71" w:rsidRPr="00CB2DDE">
          <w:rPr>
            <w:rFonts w:ascii="Times" w:hAnsi="Times" w:cs="Times New Roman"/>
            <w:color w:val="0000FF"/>
            <w:szCs w:val="20"/>
            <w:u w:val="single"/>
            <w:lang w:val="en-US"/>
          </w:rPr>
          <w:t>Protecting democracy and the rule of law in the European Union: the Hungarian challenge</w:t>
        </w:r>
      </w:hyperlink>
      <w:r w:rsidR="002B6D71" w:rsidRPr="00CB2DDE">
        <w:rPr>
          <w:rFonts w:ascii="Times" w:hAnsi="Times" w:cs="Times New Roman"/>
          <w:szCs w:val="20"/>
          <w:lang w:val="en-US"/>
        </w:rPr>
        <w:t xml:space="preserve"> / </w:t>
      </w:r>
      <w:proofErr w:type="spellStart"/>
      <w:r w:rsidR="002B6D71" w:rsidRPr="00CB2DDE">
        <w:rPr>
          <w:rFonts w:ascii="Times" w:hAnsi="Times" w:cs="Times New Roman"/>
          <w:szCs w:val="20"/>
          <w:lang w:val="en-US"/>
        </w:rPr>
        <w:t>Bojan</w:t>
      </w:r>
      <w:proofErr w:type="spellEnd"/>
      <w:r w:rsidR="002B6D71" w:rsidRPr="00CB2DDE">
        <w:rPr>
          <w:rFonts w:ascii="Times" w:hAnsi="Times" w:cs="Times New Roman"/>
          <w:szCs w:val="20"/>
          <w:lang w:val="en-US"/>
        </w:rPr>
        <w:t xml:space="preserve"> </w:t>
      </w:r>
      <w:proofErr w:type="spellStart"/>
      <w:r w:rsidR="002B6D71" w:rsidRPr="00CB2DDE">
        <w:rPr>
          <w:rFonts w:ascii="Times" w:hAnsi="Times" w:cs="Times New Roman"/>
          <w:szCs w:val="20"/>
          <w:lang w:val="en-US"/>
        </w:rPr>
        <w:t>Bugaric</w:t>
      </w:r>
      <w:proofErr w:type="spellEnd"/>
      <w:r w:rsidR="002B6D71" w:rsidRPr="00CB2DDE">
        <w:rPr>
          <w:rFonts w:ascii="Times" w:hAnsi="Times" w:cs="Times New Roman"/>
          <w:szCs w:val="20"/>
          <w:lang w:val="en-US"/>
        </w:rPr>
        <w:t>, 2013, 25p. You have to log in – for free – to read the full article</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Article discussing the possibility of invoking Article 7 TEU </w:t>
      </w:r>
      <w:proofErr w:type="gramStart"/>
      <w:r w:rsidRPr="00CB2DDE">
        <w:rPr>
          <w:rFonts w:ascii="Times" w:hAnsi="Times" w:cs="Times New Roman"/>
          <w:szCs w:val="20"/>
          <w:lang w:val="en-US"/>
        </w:rPr>
        <w:t>in order to</w:t>
      </w:r>
      <w:proofErr w:type="gramEnd"/>
      <w:r w:rsidRPr="00CB2DDE">
        <w:rPr>
          <w:rFonts w:ascii="Times" w:hAnsi="Times" w:cs="Times New Roman"/>
          <w:szCs w:val="20"/>
          <w:lang w:val="en-US"/>
        </w:rPr>
        <w:t xml:space="preserve"> intervene in Hungary’s controversial, yet domestic, affairs. Focusing on the Hungarian case, the author also tackles the political legitimacy of European political integration. Furthermore, he analyses whether the provisions of the new Hungarian Constitution can be considered as clear risks of a serious breach of EU values, as defined by Article 7(1).</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b/>
          <w:szCs w:val="20"/>
          <w:lang w:val="en-US"/>
        </w:rPr>
        <w:t>Romania</w:t>
      </w:r>
    </w:p>
    <w:p w:rsidR="002B6D71" w:rsidRPr="00CB2DDE" w:rsidRDefault="00314E41" w:rsidP="00314E41">
      <w:pPr>
        <w:spacing w:beforeLines="1" w:before="2" w:afterLines="1" w:after="2"/>
        <w:rPr>
          <w:rFonts w:ascii="Times" w:hAnsi="Times" w:cs="Times New Roman"/>
          <w:szCs w:val="20"/>
          <w:lang w:val="en-US"/>
        </w:rPr>
      </w:pPr>
      <w:hyperlink r:id="rId26" w:tgtFrame="_blank" w:history="1">
        <w:r w:rsidR="002B6D71" w:rsidRPr="00CB2DDE">
          <w:rPr>
            <w:rFonts w:ascii="Times" w:hAnsi="Times" w:cs="Times New Roman"/>
            <w:color w:val="0000FF"/>
            <w:szCs w:val="20"/>
            <w:u w:val="single"/>
            <w:lang w:val="en-US"/>
          </w:rPr>
          <w:t xml:space="preserve">Romania’s democracy in reverse gear – </w:t>
        </w:r>
        <w:proofErr w:type="spellStart"/>
        <w:r w:rsidR="002B6D71" w:rsidRPr="00CB2DDE">
          <w:rPr>
            <w:rFonts w:ascii="Times" w:hAnsi="Times" w:cs="Times New Roman"/>
            <w:color w:val="0000FF"/>
            <w:szCs w:val="20"/>
            <w:u w:val="single"/>
            <w:lang w:val="en-US"/>
          </w:rPr>
          <w:t>en</w:t>
        </w:r>
        <w:proofErr w:type="spellEnd"/>
        <w:r w:rsidR="002B6D71" w:rsidRPr="00CB2DDE">
          <w:rPr>
            <w:rFonts w:ascii="Times" w:hAnsi="Times" w:cs="Times New Roman"/>
            <w:color w:val="0000FF"/>
            <w:szCs w:val="20"/>
            <w:u w:val="single"/>
            <w:lang w:val="en-US"/>
          </w:rPr>
          <w:t xml:space="preserve"> </w:t>
        </w:r>
        <w:proofErr w:type="spellStart"/>
        <w:r w:rsidR="002B6D71" w:rsidRPr="00CB2DDE">
          <w:rPr>
            <w:rFonts w:ascii="Times" w:hAnsi="Times" w:cs="Times New Roman"/>
            <w:color w:val="0000FF"/>
            <w:szCs w:val="20"/>
            <w:u w:val="single"/>
            <w:lang w:val="en-US"/>
          </w:rPr>
          <w:t>garde</w:t>
        </w:r>
        <w:proofErr w:type="spellEnd"/>
        <w:r w:rsidR="002B6D71" w:rsidRPr="00CB2DDE">
          <w:rPr>
            <w:rFonts w:ascii="Times" w:hAnsi="Times" w:cs="Times New Roman"/>
            <w:color w:val="0000FF"/>
            <w:szCs w:val="20"/>
            <w:u w:val="single"/>
            <w:lang w:val="en-US"/>
          </w:rPr>
          <w:t>, EU!</w:t>
        </w:r>
      </w:hyperlink>
      <w:r w:rsidR="002B6D71" w:rsidRPr="00CB2DDE">
        <w:rPr>
          <w:rFonts w:ascii="Times" w:hAnsi="Times" w:cs="Times New Roman"/>
          <w:szCs w:val="20"/>
          <w:lang w:val="en-US"/>
        </w:rPr>
        <w:t xml:space="preserve"> / Corina </w:t>
      </w:r>
      <w:proofErr w:type="spellStart"/>
      <w:r w:rsidR="002B6D71" w:rsidRPr="00CB2DDE">
        <w:rPr>
          <w:rFonts w:ascii="Times" w:hAnsi="Times" w:cs="Times New Roman"/>
          <w:szCs w:val="20"/>
          <w:lang w:val="en-US"/>
        </w:rPr>
        <w:t>Stratulat</w:t>
      </w:r>
      <w:proofErr w:type="spellEnd"/>
      <w:r w:rsidR="002B6D71" w:rsidRPr="00CB2DDE">
        <w:rPr>
          <w:rFonts w:ascii="Times" w:hAnsi="Times" w:cs="Times New Roman"/>
          <w:szCs w:val="20"/>
          <w:lang w:val="en-US"/>
        </w:rPr>
        <w:t xml:space="preserve"> and Paul Ivan, European Policy Center Commentary, 2012, 2p.</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EPC Commentary highlighting MEP Markus Ferber’s threats to initiate proceedings in order to suspend Romania’s vote in the Council as a consequence of the undemocratic implications of the political struggle between President </w:t>
      </w:r>
      <w:proofErr w:type="spellStart"/>
      <w:r w:rsidRPr="00CB2DDE">
        <w:rPr>
          <w:rFonts w:ascii="Times" w:hAnsi="Times" w:cs="Times New Roman"/>
          <w:szCs w:val="20"/>
          <w:lang w:val="en-US"/>
        </w:rPr>
        <w:t>Traian</w:t>
      </w:r>
      <w:proofErr w:type="spellEnd"/>
      <w:r w:rsidRPr="00CB2DDE">
        <w:rPr>
          <w:rFonts w:ascii="Times" w:hAnsi="Times" w:cs="Times New Roman"/>
          <w:szCs w:val="20"/>
          <w:lang w:val="en-US"/>
        </w:rPr>
        <w:t xml:space="preserve"> Basescu and Prime Minister Victor Ponta.</w:t>
      </w:r>
    </w:p>
    <w:p w:rsidR="002B6D71" w:rsidRPr="00CB2DDE" w:rsidRDefault="002B6D71" w:rsidP="00314E41">
      <w:pPr>
        <w:spacing w:beforeLines="1" w:before="2" w:afterLines="1" w:after="2"/>
        <w:outlineLvl w:val="1"/>
        <w:rPr>
          <w:rFonts w:ascii="Times" w:hAnsi="Times"/>
          <w:b/>
          <w:szCs w:val="20"/>
          <w:lang w:val="en-US"/>
        </w:rPr>
      </w:pPr>
      <w:r w:rsidRPr="00CB2DDE">
        <w:rPr>
          <w:rFonts w:ascii="Times" w:hAnsi="Times"/>
          <w:b/>
          <w:szCs w:val="20"/>
          <w:lang w:val="en-US"/>
        </w:rPr>
        <w:t>Stakeholder views</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b/>
          <w:szCs w:val="20"/>
          <w:lang w:val="en-US"/>
        </w:rPr>
        <w:t>European Parliament </w:t>
      </w:r>
    </w:p>
    <w:p w:rsidR="002B6D71" w:rsidRPr="00CB2DDE" w:rsidRDefault="00314E41" w:rsidP="00314E41">
      <w:pPr>
        <w:spacing w:beforeLines="1" w:before="2" w:afterLines="1" w:after="2"/>
        <w:rPr>
          <w:rFonts w:ascii="Times" w:hAnsi="Times" w:cs="Times New Roman"/>
          <w:szCs w:val="20"/>
          <w:lang w:val="en-US"/>
        </w:rPr>
      </w:pPr>
      <w:hyperlink r:id="rId27" w:tgtFrame="_blank" w:history="1">
        <w:r w:rsidR="002B6D71" w:rsidRPr="00CB2DDE">
          <w:rPr>
            <w:rFonts w:ascii="Times" w:hAnsi="Times" w:cs="Times New Roman"/>
            <w:color w:val="0000FF"/>
            <w:szCs w:val="20"/>
            <w:u w:val="single"/>
            <w:lang w:val="en-US"/>
          </w:rPr>
          <w:t xml:space="preserve">Working document </w:t>
        </w:r>
        <w:proofErr w:type="gramStart"/>
        <w:r w:rsidR="002B6D71" w:rsidRPr="00CB2DDE">
          <w:rPr>
            <w:rFonts w:ascii="Times" w:hAnsi="Times" w:cs="Times New Roman"/>
            <w:color w:val="0000FF"/>
            <w:szCs w:val="20"/>
            <w:u w:val="single"/>
            <w:lang w:val="en-US"/>
          </w:rPr>
          <w:t>on the situation of</w:t>
        </w:r>
        <w:proofErr w:type="gramEnd"/>
        <w:r w:rsidR="002B6D71" w:rsidRPr="00CB2DDE">
          <w:rPr>
            <w:rFonts w:ascii="Times" w:hAnsi="Times" w:cs="Times New Roman"/>
            <w:color w:val="0000FF"/>
            <w:szCs w:val="20"/>
            <w:u w:val="single"/>
            <w:lang w:val="en-US"/>
          </w:rPr>
          <w:t xml:space="preserve"> fundamental rights in the European Union in 2012</w:t>
        </w:r>
      </w:hyperlink>
      <w:r w:rsidR="002B6D71" w:rsidRPr="00CB2DDE">
        <w:rPr>
          <w:rFonts w:ascii="Times" w:hAnsi="Times" w:cs="Times New Roman"/>
          <w:szCs w:val="20"/>
          <w:lang w:val="en-US"/>
        </w:rPr>
        <w:t xml:space="preserve"> / European Parliament, 2013</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With this working document the EP highlights the fact that 2012 was marked not only by an economic, but also by a democratic crisis in some EU Member States. Furthermore, MEPs mention the lack of political will to activate article 7 TEU’s mechanism and the necessity to create a new mechanism </w:t>
      </w:r>
      <w:proofErr w:type="gramStart"/>
      <w:r w:rsidRPr="00CB2DDE">
        <w:rPr>
          <w:rFonts w:ascii="Times" w:hAnsi="Times" w:cs="Times New Roman"/>
          <w:szCs w:val="20"/>
          <w:lang w:val="en-US"/>
        </w:rPr>
        <w:t>in order to</w:t>
      </w:r>
      <w:proofErr w:type="gramEnd"/>
      <w:r w:rsidRPr="00CB2DDE">
        <w:rPr>
          <w:rFonts w:ascii="Times" w:hAnsi="Times" w:cs="Times New Roman"/>
          <w:szCs w:val="20"/>
          <w:lang w:val="en-US"/>
        </w:rPr>
        <w:t xml:space="preserve"> ensure the respect of EU values.</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b/>
          <w:szCs w:val="20"/>
          <w:lang w:val="en-US"/>
        </w:rPr>
        <w:t> European Commission </w:t>
      </w:r>
    </w:p>
    <w:p w:rsidR="002B6D71" w:rsidRPr="00CB2DDE" w:rsidRDefault="00314E41" w:rsidP="00314E41">
      <w:pPr>
        <w:spacing w:beforeLines="1" w:before="2" w:afterLines="1" w:after="2"/>
        <w:rPr>
          <w:rFonts w:ascii="Times" w:hAnsi="Times" w:cs="Times New Roman"/>
          <w:szCs w:val="20"/>
          <w:lang w:val="en-US"/>
        </w:rPr>
      </w:pPr>
      <w:hyperlink r:id="rId28" w:tgtFrame="_blank" w:history="1">
        <w:r w:rsidR="002B6D71" w:rsidRPr="00CB2DDE">
          <w:rPr>
            <w:rFonts w:ascii="Times" w:hAnsi="Times" w:cs="Times New Roman"/>
            <w:color w:val="0000FF"/>
            <w:szCs w:val="20"/>
            <w:u w:val="single"/>
            <w:lang w:val="en-US"/>
          </w:rPr>
          <w:t>Communication from the Commission to the Council and the European Parliament on Article 7 of the Treaty on European Union – Respect for and promotion of the values on which the Union is based</w:t>
        </w:r>
      </w:hyperlink>
      <w:r w:rsidR="002B6D71" w:rsidRPr="00CB2DDE">
        <w:rPr>
          <w:rFonts w:ascii="Times" w:hAnsi="Times" w:cs="Times New Roman"/>
          <w:szCs w:val="20"/>
          <w:lang w:val="en-US"/>
        </w:rPr>
        <w:t xml:space="preserve"> / European Commission, 2003</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With this Communication, the European Commission greeted the modifications brought up by the Nice treaty to Article 7 TEU. Interestingly, the Commission also insisted on the number of complaints it receives from European citizens underlining the fact that the latter interpret Article 7 TEU as a means of remedying the fundamental rights breaches they experience. In addition, this Communication includes clarifications about concepts such as: “clear risk of a serious breach”, “serious breach” and “persistent breach”.  </w:t>
      </w:r>
      <w:r w:rsidRPr="00CB2DDE">
        <w:rPr>
          <w:rFonts w:ascii="Times" w:hAnsi="Times" w:cs="Times New Roman"/>
          <w:b/>
          <w:szCs w:val="20"/>
          <w:lang w:val="en-US"/>
        </w:rPr>
        <w:t> </w:t>
      </w:r>
    </w:p>
    <w:p w:rsidR="002B6D71" w:rsidRPr="00CB2DDE" w:rsidRDefault="00314E41" w:rsidP="00314E41">
      <w:pPr>
        <w:spacing w:beforeLines="1" w:before="2" w:afterLines="1" w:after="2"/>
        <w:rPr>
          <w:rFonts w:ascii="Times" w:hAnsi="Times" w:cs="Times New Roman"/>
          <w:szCs w:val="20"/>
          <w:lang w:val="en-US"/>
        </w:rPr>
      </w:pPr>
      <w:hyperlink r:id="rId29" w:tgtFrame="_blank" w:history="1">
        <w:r w:rsidR="002B6D71" w:rsidRPr="00CB2DDE">
          <w:rPr>
            <w:rFonts w:ascii="Times" w:hAnsi="Times" w:cs="Times New Roman"/>
            <w:color w:val="0000FF"/>
            <w:szCs w:val="20"/>
            <w:u w:val="single"/>
            <w:lang w:val="en-US"/>
          </w:rPr>
          <w:t>State of the Union 2012 address</w:t>
        </w:r>
      </w:hyperlink>
      <w:r w:rsidR="002B6D71" w:rsidRPr="00CB2DDE">
        <w:rPr>
          <w:rFonts w:ascii="Times" w:hAnsi="Times" w:cs="Times New Roman"/>
          <w:szCs w:val="20"/>
          <w:lang w:val="en-US"/>
        </w:rPr>
        <w:t xml:space="preserve"> / José Manuel </w:t>
      </w:r>
      <w:proofErr w:type="spellStart"/>
      <w:r w:rsidR="002B6D71" w:rsidRPr="00CB2DDE">
        <w:rPr>
          <w:rFonts w:ascii="Times" w:hAnsi="Times" w:cs="Times New Roman"/>
          <w:szCs w:val="20"/>
          <w:lang w:val="en-US"/>
        </w:rPr>
        <w:t>Durão</w:t>
      </w:r>
      <w:proofErr w:type="spellEnd"/>
      <w:r w:rsidR="002B6D71" w:rsidRPr="00CB2DDE">
        <w:rPr>
          <w:rFonts w:ascii="Times" w:hAnsi="Times" w:cs="Times New Roman"/>
          <w:szCs w:val="20"/>
          <w:lang w:val="en-US"/>
        </w:rPr>
        <w:t xml:space="preserve"> Barroso, Plenary session of the European Parliament, Strasbourg 2012</w:t>
      </w:r>
      <w:r w:rsidR="002B6D71" w:rsidRPr="00CB2DDE">
        <w:rPr>
          <w:rFonts w:ascii="Times" w:hAnsi="Times" w:cs="Times New Roman"/>
          <w:b/>
          <w:szCs w:val="20"/>
          <w:lang w:val="en-US"/>
        </w:rPr>
        <w:t> </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The President of the European Commission notes threats to democratic principles present in some EU member states and regrets the limited number of instruments the EU has at its disposal to fight such phenomena. President Barroso sees Article 7 TEU as a “nuclear weapon” and pleads for an alternative between this sanction mechanism and the usage of “soft power” tools.</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b/>
          <w:szCs w:val="20"/>
          <w:lang w:val="en-US"/>
        </w:rPr>
        <w:t>Amnesty International </w:t>
      </w:r>
    </w:p>
    <w:p w:rsidR="002B6D71" w:rsidRPr="00CB2DDE" w:rsidRDefault="00314E41" w:rsidP="00314E41">
      <w:pPr>
        <w:spacing w:beforeLines="1" w:before="2" w:afterLines="1" w:after="2"/>
        <w:rPr>
          <w:rFonts w:ascii="Times" w:hAnsi="Times" w:cs="Times New Roman"/>
          <w:szCs w:val="20"/>
          <w:lang w:val="en-US"/>
        </w:rPr>
      </w:pPr>
      <w:hyperlink r:id="rId30" w:tgtFrame="_blank" w:history="1">
        <w:r w:rsidR="002B6D71" w:rsidRPr="00CB2DDE">
          <w:rPr>
            <w:rFonts w:ascii="Times" w:hAnsi="Times" w:cs="Times New Roman"/>
            <w:color w:val="0000FF"/>
            <w:szCs w:val="20"/>
            <w:u w:val="single"/>
            <w:lang w:val="en-US"/>
          </w:rPr>
          <w:t>Amnesty International response to the European Commission Communication on Article 7 of the Treaty on European Union</w:t>
        </w:r>
      </w:hyperlink>
      <w:r w:rsidR="002B6D71" w:rsidRPr="00CB2DDE">
        <w:rPr>
          <w:rFonts w:ascii="Times" w:hAnsi="Times" w:cs="Times New Roman"/>
          <w:szCs w:val="20"/>
          <w:lang w:val="en-US"/>
        </w:rPr>
        <w:t xml:space="preserve"> / Amnesty International, 2003, 6p.</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Amnesty International welcomed the Commission’s communication and its commitment to monitoring and addressing breaches of fundamental rights in the EU but was particularly concerned by the conclusion that “</w:t>
      </w:r>
      <w:r w:rsidRPr="00CB2DDE">
        <w:rPr>
          <w:rFonts w:ascii="Times" w:hAnsi="Times" w:cs="Times New Roman"/>
          <w:i/>
          <w:szCs w:val="20"/>
          <w:lang w:val="en-US"/>
        </w:rPr>
        <w:t>The Commission is convinced that in this Union of values it will not be necessary to apply penalties to Article 7 of the Union Treaty and Article 309 of the EC Treaty</w:t>
      </w:r>
      <w:r w:rsidRPr="00CB2DDE">
        <w:rPr>
          <w:rFonts w:ascii="Times" w:hAnsi="Times" w:cs="Times New Roman"/>
          <w:szCs w:val="20"/>
          <w:lang w:val="en-US"/>
        </w:rPr>
        <w:t>“.</w:t>
      </w:r>
    </w:p>
    <w:p w:rsidR="002B6D71" w:rsidRPr="00CB2DDE" w:rsidRDefault="002B6D71" w:rsidP="00314E41">
      <w:pPr>
        <w:spacing w:beforeLines="1" w:before="2" w:afterLines="1" w:after="2"/>
        <w:outlineLvl w:val="1"/>
        <w:rPr>
          <w:rFonts w:ascii="Times" w:hAnsi="Times"/>
          <w:b/>
          <w:szCs w:val="20"/>
          <w:lang w:val="en-US"/>
        </w:rPr>
      </w:pPr>
      <w:r w:rsidRPr="00CB2DDE">
        <w:rPr>
          <w:rFonts w:ascii="Times" w:hAnsi="Times"/>
          <w:b/>
          <w:szCs w:val="20"/>
          <w:lang w:val="en-US"/>
        </w:rPr>
        <w:t xml:space="preserve">Similar </w:t>
      </w:r>
      <w:proofErr w:type="spellStart"/>
      <w:r w:rsidRPr="00CB2DDE">
        <w:rPr>
          <w:rFonts w:ascii="Times" w:hAnsi="Times"/>
          <w:b/>
          <w:szCs w:val="20"/>
          <w:lang w:val="en-US"/>
        </w:rPr>
        <w:t>interational</w:t>
      </w:r>
      <w:proofErr w:type="spellEnd"/>
      <w:r w:rsidRPr="00CB2DDE">
        <w:rPr>
          <w:rFonts w:ascii="Times" w:hAnsi="Times"/>
          <w:b/>
          <w:szCs w:val="20"/>
          <w:lang w:val="en-US"/>
        </w:rPr>
        <w:t xml:space="preserve"> provisions</w:t>
      </w:r>
    </w:p>
    <w:p w:rsidR="002B6D71" w:rsidRPr="00CB2DDE" w:rsidRDefault="00314E41" w:rsidP="00314E41">
      <w:pPr>
        <w:spacing w:beforeLines="1" w:before="2" w:afterLines="1" w:after="2"/>
        <w:rPr>
          <w:rFonts w:ascii="Times" w:hAnsi="Times" w:cs="Times New Roman"/>
          <w:szCs w:val="20"/>
          <w:lang w:val="en-US"/>
        </w:rPr>
      </w:pPr>
      <w:hyperlink r:id="rId31" w:tgtFrame="_blank" w:history="1">
        <w:r w:rsidR="002B6D71" w:rsidRPr="00CB2DDE">
          <w:rPr>
            <w:rFonts w:ascii="Times" w:hAnsi="Times" w:cs="Times New Roman"/>
            <w:color w:val="0000FF"/>
            <w:szCs w:val="20"/>
            <w:u w:val="single"/>
            <w:lang w:val="en-US"/>
          </w:rPr>
          <w:t>International mechanisms for protecting democracy</w:t>
        </w:r>
      </w:hyperlink>
      <w:r w:rsidR="002B6D71" w:rsidRPr="00CB2DDE">
        <w:rPr>
          <w:rFonts w:ascii="Times" w:hAnsi="Times" w:cs="Times New Roman"/>
          <w:szCs w:val="20"/>
          <w:lang w:val="en-US"/>
        </w:rPr>
        <w:t xml:space="preserve"> / Theodore J. </w:t>
      </w:r>
      <w:proofErr w:type="spellStart"/>
      <w:r w:rsidR="002B6D71" w:rsidRPr="00CB2DDE">
        <w:rPr>
          <w:rFonts w:ascii="Times" w:hAnsi="Times" w:cs="Times New Roman"/>
          <w:szCs w:val="20"/>
          <w:lang w:val="en-US"/>
        </w:rPr>
        <w:t>Piccone</w:t>
      </w:r>
      <w:proofErr w:type="spellEnd"/>
      <w:r w:rsidR="002B6D71" w:rsidRPr="00CB2DDE">
        <w:rPr>
          <w:rFonts w:ascii="Times" w:hAnsi="Times" w:cs="Times New Roman"/>
          <w:szCs w:val="20"/>
          <w:lang w:val="en-US"/>
        </w:rPr>
        <w:t>, Democracy Coalition Project, 2004, 31p.</w:t>
      </w:r>
    </w:p>
    <w:p w:rsidR="002B6D71" w:rsidRPr="00CB2DDE" w:rsidRDefault="002B6D71" w:rsidP="00314E41">
      <w:pPr>
        <w:spacing w:beforeLines="1" w:before="2" w:afterLines="1" w:after="2"/>
        <w:rPr>
          <w:rFonts w:ascii="Times" w:hAnsi="Times" w:cs="Times New Roman"/>
          <w:szCs w:val="20"/>
          <w:lang w:val="en-US"/>
        </w:rPr>
      </w:pPr>
      <w:r w:rsidRPr="00CB2DDE">
        <w:rPr>
          <w:rFonts w:ascii="Times" w:hAnsi="Times" w:cs="Times New Roman"/>
          <w:szCs w:val="20"/>
          <w:lang w:val="en-US"/>
        </w:rPr>
        <w:t xml:space="preserve">While identifying and briefly </w:t>
      </w:r>
      <w:proofErr w:type="spellStart"/>
      <w:r w:rsidRPr="00CB2DDE">
        <w:rPr>
          <w:rFonts w:ascii="Times" w:hAnsi="Times" w:cs="Times New Roman"/>
          <w:szCs w:val="20"/>
          <w:lang w:val="en-US"/>
        </w:rPr>
        <w:t>analysing</w:t>
      </w:r>
      <w:proofErr w:type="spellEnd"/>
      <w:r w:rsidRPr="00CB2DDE">
        <w:rPr>
          <w:rFonts w:ascii="Times" w:hAnsi="Times" w:cs="Times New Roman"/>
          <w:szCs w:val="20"/>
          <w:lang w:val="en-US"/>
        </w:rPr>
        <w:t xml:space="preserve"> democracy protection mechanisms that exist in regional agreements around the world, the author also compares the key elements of democracy clauses and tries to offer a model of such clauses integrating the best practices in the field. The five elements that a democracy clause should contain according to Theodore </w:t>
      </w:r>
      <w:proofErr w:type="spellStart"/>
      <w:r w:rsidRPr="00CB2DDE">
        <w:rPr>
          <w:rFonts w:ascii="Times" w:hAnsi="Times" w:cs="Times New Roman"/>
          <w:szCs w:val="20"/>
          <w:lang w:val="en-US"/>
        </w:rPr>
        <w:t>Piccone</w:t>
      </w:r>
      <w:proofErr w:type="spellEnd"/>
      <w:r w:rsidRPr="00CB2DDE">
        <w:rPr>
          <w:rFonts w:ascii="Times" w:hAnsi="Times" w:cs="Times New Roman"/>
          <w:szCs w:val="20"/>
          <w:lang w:val="en-US"/>
        </w:rPr>
        <w:t xml:space="preserve"> are: the incorporation of democratic norms in the </w:t>
      </w:r>
      <w:proofErr w:type="spellStart"/>
      <w:r w:rsidRPr="00CB2DDE">
        <w:rPr>
          <w:rFonts w:ascii="Times" w:hAnsi="Times" w:cs="Times New Roman"/>
          <w:szCs w:val="20"/>
          <w:lang w:val="en-US"/>
        </w:rPr>
        <w:t>organisation’s</w:t>
      </w:r>
      <w:proofErr w:type="spellEnd"/>
      <w:r w:rsidRPr="00CB2DDE">
        <w:rPr>
          <w:rFonts w:ascii="Times" w:hAnsi="Times" w:cs="Times New Roman"/>
          <w:szCs w:val="20"/>
          <w:lang w:val="en-US"/>
        </w:rPr>
        <w:t xml:space="preserve"> core mission, the nomination of an expert committee to monitor the respect of democratic principles; the clarification of the consequences in case of breach of democratic values; the institution of economic, trade and financial sanctions in such cases and the setting of a time frame within which the government concerned should restore democracy.</w:t>
      </w:r>
    </w:p>
    <w:p w:rsidR="00F2637F" w:rsidRPr="00CB2DDE" w:rsidRDefault="00F2637F" w:rsidP="002B6D71">
      <w:pPr>
        <w:rPr>
          <w:szCs w:val="16"/>
        </w:rPr>
      </w:pPr>
    </w:p>
    <w:sectPr w:rsidR="00F2637F" w:rsidRPr="00CB2DDE" w:rsidSect="00F2637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5654"/>
    <w:multiLevelType w:val="multilevel"/>
    <w:tmpl w:val="460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67683"/>
    <w:multiLevelType w:val="multilevel"/>
    <w:tmpl w:val="7D36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A5CAF"/>
    <w:multiLevelType w:val="multilevel"/>
    <w:tmpl w:val="C1B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C491B"/>
    <w:multiLevelType w:val="multilevel"/>
    <w:tmpl w:val="B132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00D05"/>
    <w:multiLevelType w:val="multilevel"/>
    <w:tmpl w:val="686A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10BC6"/>
    <w:multiLevelType w:val="multilevel"/>
    <w:tmpl w:val="B7F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D3F99"/>
    <w:multiLevelType w:val="multilevel"/>
    <w:tmpl w:val="17A0A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7F"/>
    <w:rsid w:val="000A2BB0"/>
    <w:rsid w:val="002B6D71"/>
    <w:rsid w:val="00314E41"/>
    <w:rsid w:val="00566B9B"/>
    <w:rsid w:val="009C14DF"/>
    <w:rsid w:val="00B817FC"/>
    <w:rsid w:val="00C67736"/>
    <w:rsid w:val="00CB2DDE"/>
    <w:rsid w:val="00F263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0D980-5725-4CF6-8D34-938D7AF5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EFA"/>
    <w:rPr>
      <w:rFonts w:ascii="Times New Roman" w:hAnsi="Times New Roman"/>
      <w:lang w:val="en-GB"/>
    </w:rPr>
  </w:style>
  <w:style w:type="paragraph" w:styleId="Heading1">
    <w:name w:val="heading 1"/>
    <w:basedOn w:val="Normal"/>
    <w:link w:val="Heading1Char"/>
    <w:uiPriority w:val="9"/>
    <w:rsid w:val="002B6D71"/>
    <w:pPr>
      <w:spacing w:beforeLines="1" w:afterLines="1"/>
      <w:outlineLvl w:val="0"/>
    </w:pPr>
    <w:rPr>
      <w:rFonts w:ascii="Times" w:hAnsi="Times"/>
      <w:b/>
      <w:kern w:val="36"/>
      <w:sz w:val="48"/>
      <w:szCs w:val="20"/>
      <w:lang w:val="en-US"/>
    </w:rPr>
  </w:style>
  <w:style w:type="paragraph" w:styleId="Heading2">
    <w:name w:val="heading 2"/>
    <w:basedOn w:val="Normal"/>
    <w:link w:val="Heading2Char"/>
    <w:uiPriority w:val="9"/>
    <w:rsid w:val="002B6D71"/>
    <w:pPr>
      <w:spacing w:beforeLines="1" w:afterLines="1"/>
      <w:outlineLvl w:val="1"/>
    </w:pPr>
    <w:rPr>
      <w:rFonts w:ascii="Times" w:hAnsi="Times"/>
      <w:b/>
      <w:sz w:val="36"/>
      <w:szCs w:val="20"/>
      <w:lang w:val="en-US"/>
    </w:rPr>
  </w:style>
  <w:style w:type="paragraph" w:styleId="Heading3">
    <w:name w:val="heading 3"/>
    <w:basedOn w:val="Normal"/>
    <w:link w:val="Heading3Char"/>
    <w:uiPriority w:val="9"/>
    <w:rsid w:val="002B6D71"/>
    <w:pPr>
      <w:spacing w:beforeLines="1" w:afterLines="1"/>
      <w:outlineLvl w:val="2"/>
    </w:pPr>
    <w:rPr>
      <w:rFonts w:ascii="Times" w:hAnsi="Times"/>
      <w:b/>
      <w:sz w:val="27"/>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08"/>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608"/>
    <w:rPr>
      <w:rFonts w:ascii="Lucida Grande" w:hAnsi="Lucida Grande"/>
      <w:sz w:val="18"/>
      <w:szCs w:val="18"/>
    </w:rPr>
  </w:style>
  <w:style w:type="paragraph" w:styleId="ListParagraph">
    <w:name w:val="List Paragraph"/>
    <w:basedOn w:val="Normal"/>
    <w:uiPriority w:val="34"/>
    <w:qFormat/>
    <w:rsid w:val="00F2637F"/>
    <w:pPr>
      <w:ind w:left="720"/>
      <w:contextualSpacing/>
    </w:pPr>
  </w:style>
  <w:style w:type="paragraph" w:styleId="NormalWeb">
    <w:name w:val="Normal (Web)"/>
    <w:basedOn w:val="Normal"/>
    <w:uiPriority w:val="99"/>
    <w:rsid w:val="00F2637F"/>
    <w:pPr>
      <w:spacing w:beforeLines="1" w:afterLines="1"/>
    </w:pPr>
    <w:rPr>
      <w:rFonts w:ascii="Times" w:hAnsi="Times" w:cs="Times New Roman"/>
      <w:sz w:val="20"/>
      <w:szCs w:val="20"/>
      <w:lang w:val="en-US"/>
    </w:rPr>
  </w:style>
  <w:style w:type="character" w:customStyle="1" w:styleId="Heading1Char">
    <w:name w:val="Heading 1 Char"/>
    <w:basedOn w:val="DefaultParagraphFont"/>
    <w:link w:val="Heading1"/>
    <w:uiPriority w:val="9"/>
    <w:rsid w:val="002B6D71"/>
    <w:rPr>
      <w:rFonts w:ascii="Times" w:hAnsi="Times"/>
      <w:b/>
      <w:kern w:val="36"/>
      <w:sz w:val="48"/>
      <w:szCs w:val="20"/>
    </w:rPr>
  </w:style>
  <w:style w:type="character" w:customStyle="1" w:styleId="Heading2Char">
    <w:name w:val="Heading 2 Char"/>
    <w:basedOn w:val="DefaultParagraphFont"/>
    <w:link w:val="Heading2"/>
    <w:uiPriority w:val="9"/>
    <w:rsid w:val="002B6D71"/>
    <w:rPr>
      <w:rFonts w:ascii="Times" w:hAnsi="Times"/>
      <w:b/>
      <w:sz w:val="36"/>
      <w:szCs w:val="20"/>
    </w:rPr>
  </w:style>
  <w:style w:type="character" w:customStyle="1" w:styleId="Heading3Char">
    <w:name w:val="Heading 3 Char"/>
    <w:basedOn w:val="DefaultParagraphFont"/>
    <w:link w:val="Heading3"/>
    <w:uiPriority w:val="9"/>
    <w:rsid w:val="002B6D71"/>
    <w:rPr>
      <w:rFonts w:ascii="Times" w:hAnsi="Times"/>
      <w:b/>
      <w:sz w:val="27"/>
      <w:szCs w:val="20"/>
    </w:rPr>
  </w:style>
  <w:style w:type="character" w:styleId="Hyperlink">
    <w:name w:val="Hyperlink"/>
    <w:basedOn w:val="DefaultParagraphFont"/>
    <w:uiPriority w:val="99"/>
    <w:rsid w:val="002B6D71"/>
    <w:rPr>
      <w:color w:val="0000FF"/>
      <w:u w:val="single"/>
    </w:rPr>
  </w:style>
  <w:style w:type="character" w:styleId="FollowedHyperlink">
    <w:name w:val="FollowedHyperlink"/>
    <w:basedOn w:val="DefaultParagraphFont"/>
    <w:uiPriority w:val="99"/>
    <w:rsid w:val="002B6D71"/>
    <w:rPr>
      <w:color w:val="0000FF"/>
      <w:u w:val="single"/>
    </w:rPr>
  </w:style>
  <w:style w:type="paragraph" w:styleId="z-TopofForm">
    <w:name w:val="HTML Top of Form"/>
    <w:basedOn w:val="Normal"/>
    <w:next w:val="Normal"/>
    <w:link w:val="z-TopofFormChar"/>
    <w:hidden/>
    <w:uiPriority w:val="99"/>
    <w:semiHidden/>
    <w:unhideWhenUsed/>
    <w:rsid w:val="002B6D71"/>
    <w:pPr>
      <w:pBdr>
        <w:bottom w:val="single" w:sz="6" w:space="1" w:color="auto"/>
      </w:pBdr>
      <w:spacing w:beforeLines="1" w:afterLines="1"/>
      <w:jc w:val="center"/>
    </w:pPr>
    <w:rPr>
      <w:rFonts w:ascii="Arial" w:hAnsi="Arial"/>
      <w:vanish/>
      <w:sz w:val="16"/>
      <w:szCs w:val="16"/>
      <w:lang w:val="en-US"/>
    </w:rPr>
  </w:style>
  <w:style w:type="character" w:customStyle="1" w:styleId="z-TopofFormChar">
    <w:name w:val="z-Top of Form Char"/>
    <w:basedOn w:val="DefaultParagraphFont"/>
    <w:link w:val="z-TopofForm"/>
    <w:uiPriority w:val="99"/>
    <w:semiHidden/>
    <w:rsid w:val="002B6D71"/>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2B6D71"/>
    <w:pPr>
      <w:pBdr>
        <w:top w:val="single" w:sz="6" w:space="1" w:color="auto"/>
      </w:pBdr>
      <w:spacing w:beforeLines="1" w:afterLines="1"/>
      <w:jc w:val="center"/>
    </w:pPr>
    <w:rPr>
      <w:rFonts w:ascii="Arial" w:hAnsi="Arial"/>
      <w:vanish/>
      <w:sz w:val="16"/>
      <w:szCs w:val="16"/>
      <w:lang w:val="en-US"/>
    </w:rPr>
  </w:style>
  <w:style w:type="character" w:customStyle="1" w:styleId="z-BottomofFormChar">
    <w:name w:val="z-Bottom of Form Char"/>
    <w:basedOn w:val="DefaultParagraphFont"/>
    <w:link w:val="z-BottomofForm"/>
    <w:uiPriority w:val="99"/>
    <w:semiHidden/>
    <w:rsid w:val="002B6D71"/>
    <w:rPr>
      <w:rFonts w:ascii="Arial" w:hAnsi="Arial"/>
      <w:vanish/>
      <w:sz w:val="16"/>
      <w:szCs w:val="16"/>
    </w:rPr>
  </w:style>
  <w:style w:type="character" w:customStyle="1" w:styleId="home">
    <w:name w:val="home"/>
    <w:basedOn w:val="DefaultParagraphFont"/>
    <w:rsid w:val="002B6D71"/>
  </w:style>
  <w:style w:type="character" w:customStyle="1" w:styleId="about">
    <w:name w:val="about"/>
    <w:basedOn w:val="DefaultParagraphFont"/>
    <w:rsid w:val="002B6D71"/>
  </w:style>
  <w:style w:type="character" w:customStyle="1" w:styleId="contact">
    <w:name w:val="contact"/>
    <w:basedOn w:val="DefaultParagraphFont"/>
    <w:rsid w:val="002B6D71"/>
  </w:style>
  <w:style w:type="character" w:customStyle="1" w:styleId="byline">
    <w:name w:val="byline"/>
    <w:basedOn w:val="DefaultParagraphFont"/>
    <w:rsid w:val="002B6D71"/>
  </w:style>
  <w:style w:type="character" w:customStyle="1" w:styleId="entry-date">
    <w:name w:val="entry-date"/>
    <w:basedOn w:val="DefaultParagraphFont"/>
    <w:rsid w:val="002B6D71"/>
  </w:style>
  <w:style w:type="character" w:customStyle="1" w:styleId="dot">
    <w:name w:val="dot"/>
    <w:basedOn w:val="DefaultParagraphFont"/>
    <w:rsid w:val="002B6D71"/>
  </w:style>
  <w:style w:type="character" w:customStyle="1" w:styleId="comment-link">
    <w:name w:val="comment-link"/>
    <w:basedOn w:val="DefaultParagraphFont"/>
    <w:rsid w:val="002B6D71"/>
  </w:style>
  <w:style w:type="character" w:customStyle="1" w:styleId="filedunder">
    <w:name w:val="filedunder"/>
    <w:basedOn w:val="DefaultParagraphFont"/>
    <w:rsid w:val="002B6D71"/>
  </w:style>
  <w:style w:type="character" w:styleId="Strong">
    <w:name w:val="Strong"/>
    <w:basedOn w:val="DefaultParagraphFont"/>
    <w:uiPriority w:val="22"/>
    <w:rsid w:val="002B6D71"/>
    <w:rPr>
      <w:b/>
    </w:rPr>
  </w:style>
  <w:style w:type="character" w:styleId="Emphasis">
    <w:name w:val="Emphasis"/>
    <w:basedOn w:val="DefaultParagraphFont"/>
    <w:uiPriority w:val="20"/>
    <w:rsid w:val="002B6D71"/>
    <w:rPr>
      <w:i/>
    </w:rPr>
  </w:style>
  <w:style w:type="paragraph" w:customStyle="1" w:styleId="wp-caption-text">
    <w:name w:val="wp-caption-text"/>
    <w:basedOn w:val="Normal"/>
    <w:rsid w:val="002B6D71"/>
    <w:pPr>
      <w:spacing w:beforeLines="1" w:afterLines="1"/>
    </w:pPr>
    <w:rPr>
      <w:rFonts w:ascii="Times" w:hAnsi="Times"/>
      <w:sz w:val="20"/>
      <w:szCs w:val="20"/>
      <w:lang w:val="en-US"/>
    </w:rPr>
  </w:style>
  <w:style w:type="character" w:customStyle="1" w:styleId="share-count">
    <w:name w:val="share-count"/>
    <w:basedOn w:val="DefaultParagraphFont"/>
    <w:rsid w:val="002B6D71"/>
  </w:style>
  <w:style w:type="character" w:customStyle="1" w:styleId="sd-text-color">
    <w:name w:val="sd-text-color"/>
    <w:basedOn w:val="DefaultParagraphFont"/>
    <w:rsid w:val="002B6D71"/>
  </w:style>
  <w:style w:type="character" w:customStyle="1" w:styleId="meta-nav">
    <w:name w:val="meta-nav"/>
    <w:basedOn w:val="DefaultParagraphFont"/>
    <w:rsid w:val="002B6D71"/>
  </w:style>
  <w:style w:type="paragraph" w:customStyle="1" w:styleId="bit-follow-count">
    <w:name w:val="bit-follow-count"/>
    <w:basedOn w:val="Normal"/>
    <w:rsid w:val="002B6D71"/>
    <w:pPr>
      <w:spacing w:beforeLines="1" w:afterLines="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96876">
      <w:bodyDiv w:val="1"/>
      <w:marLeft w:val="0"/>
      <w:marRight w:val="0"/>
      <w:marTop w:val="0"/>
      <w:marBottom w:val="0"/>
      <w:divBdr>
        <w:top w:val="none" w:sz="0" w:space="0" w:color="auto"/>
        <w:left w:val="none" w:sz="0" w:space="0" w:color="auto"/>
        <w:bottom w:val="none" w:sz="0" w:space="0" w:color="auto"/>
        <w:right w:val="none" w:sz="0" w:space="0" w:color="auto"/>
      </w:divBdr>
    </w:div>
    <w:div w:id="1495880198">
      <w:bodyDiv w:val="1"/>
      <w:marLeft w:val="0"/>
      <w:marRight w:val="0"/>
      <w:marTop w:val="0"/>
      <w:marBottom w:val="0"/>
      <w:divBdr>
        <w:top w:val="none" w:sz="0" w:space="0" w:color="auto"/>
        <w:left w:val="none" w:sz="0" w:space="0" w:color="auto"/>
        <w:bottom w:val="none" w:sz="0" w:space="0" w:color="auto"/>
        <w:right w:val="none" w:sz="0" w:space="0" w:color="auto"/>
      </w:divBdr>
      <w:divsChild>
        <w:div w:id="484585661">
          <w:marLeft w:val="0"/>
          <w:marRight w:val="0"/>
          <w:marTop w:val="0"/>
          <w:marBottom w:val="0"/>
          <w:divBdr>
            <w:top w:val="none" w:sz="0" w:space="0" w:color="auto"/>
            <w:left w:val="none" w:sz="0" w:space="0" w:color="auto"/>
            <w:bottom w:val="none" w:sz="0" w:space="0" w:color="auto"/>
            <w:right w:val="none" w:sz="0" w:space="0" w:color="auto"/>
          </w:divBdr>
          <w:divsChild>
            <w:div w:id="547574179">
              <w:marLeft w:val="0"/>
              <w:marRight w:val="0"/>
              <w:marTop w:val="0"/>
              <w:marBottom w:val="0"/>
              <w:divBdr>
                <w:top w:val="none" w:sz="0" w:space="0" w:color="auto"/>
                <w:left w:val="none" w:sz="0" w:space="0" w:color="auto"/>
                <w:bottom w:val="none" w:sz="0" w:space="0" w:color="auto"/>
                <w:right w:val="none" w:sz="0" w:space="0" w:color="auto"/>
              </w:divBdr>
              <w:divsChild>
                <w:div w:id="769158891">
                  <w:marLeft w:val="0"/>
                  <w:marRight w:val="0"/>
                  <w:marTop w:val="0"/>
                  <w:marBottom w:val="0"/>
                  <w:divBdr>
                    <w:top w:val="none" w:sz="0" w:space="0" w:color="auto"/>
                    <w:left w:val="none" w:sz="0" w:space="0" w:color="auto"/>
                    <w:bottom w:val="none" w:sz="0" w:space="0" w:color="auto"/>
                    <w:right w:val="none" w:sz="0" w:space="0" w:color="auto"/>
                  </w:divBdr>
                  <w:divsChild>
                    <w:div w:id="1105076090">
                      <w:marLeft w:val="0"/>
                      <w:marRight w:val="0"/>
                      <w:marTop w:val="0"/>
                      <w:marBottom w:val="0"/>
                      <w:divBdr>
                        <w:top w:val="none" w:sz="0" w:space="0" w:color="auto"/>
                        <w:left w:val="none" w:sz="0" w:space="0" w:color="auto"/>
                        <w:bottom w:val="none" w:sz="0" w:space="0" w:color="auto"/>
                        <w:right w:val="none" w:sz="0" w:space="0" w:color="auto"/>
                      </w:divBdr>
                      <w:divsChild>
                        <w:div w:id="17386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5953">
                  <w:marLeft w:val="0"/>
                  <w:marRight w:val="0"/>
                  <w:marTop w:val="0"/>
                  <w:marBottom w:val="0"/>
                  <w:divBdr>
                    <w:top w:val="none" w:sz="0" w:space="0" w:color="auto"/>
                    <w:left w:val="none" w:sz="0" w:space="0" w:color="auto"/>
                    <w:bottom w:val="none" w:sz="0" w:space="0" w:color="auto"/>
                    <w:right w:val="none" w:sz="0" w:space="0" w:color="auto"/>
                  </w:divBdr>
                  <w:divsChild>
                    <w:div w:id="985399904">
                      <w:marLeft w:val="0"/>
                      <w:marRight w:val="0"/>
                      <w:marTop w:val="0"/>
                      <w:marBottom w:val="0"/>
                      <w:divBdr>
                        <w:top w:val="none" w:sz="0" w:space="0" w:color="auto"/>
                        <w:left w:val="none" w:sz="0" w:space="0" w:color="auto"/>
                        <w:bottom w:val="none" w:sz="0" w:space="0" w:color="auto"/>
                        <w:right w:val="none" w:sz="0" w:space="0" w:color="auto"/>
                      </w:divBdr>
                      <w:divsChild>
                        <w:div w:id="761805569">
                          <w:marLeft w:val="0"/>
                          <w:marRight w:val="0"/>
                          <w:marTop w:val="0"/>
                          <w:marBottom w:val="0"/>
                          <w:divBdr>
                            <w:top w:val="none" w:sz="0" w:space="0" w:color="auto"/>
                            <w:left w:val="none" w:sz="0" w:space="0" w:color="auto"/>
                            <w:bottom w:val="none" w:sz="0" w:space="0" w:color="auto"/>
                            <w:right w:val="none" w:sz="0" w:space="0" w:color="auto"/>
                          </w:divBdr>
                          <w:divsChild>
                            <w:div w:id="17207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45695">
              <w:marLeft w:val="0"/>
              <w:marRight w:val="0"/>
              <w:marTop w:val="0"/>
              <w:marBottom w:val="0"/>
              <w:divBdr>
                <w:top w:val="none" w:sz="0" w:space="0" w:color="auto"/>
                <w:left w:val="none" w:sz="0" w:space="0" w:color="auto"/>
                <w:bottom w:val="none" w:sz="0" w:space="0" w:color="auto"/>
                <w:right w:val="none" w:sz="0" w:space="0" w:color="auto"/>
              </w:divBdr>
              <w:divsChild>
                <w:div w:id="1102993448">
                  <w:marLeft w:val="0"/>
                  <w:marRight w:val="0"/>
                  <w:marTop w:val="0"/>
                  <w:marBottom w:val="0"/>
                  <w:divBdr>
                    <w:top w:val="none" w:sz="0" w:space="0" w:color="auto"/>
                    <w:left w:val="none" w:sz="0" w:space="0" w:color="auto"/>
                    <w:bottom w:val="none" w:sz="0" w:space="0" w:color="auto"/>
                    <w:right w:val="none" w:sz="0" w:space="0" w:color="auto"/>
                  </w:divBdr>
                </w:div>
              </w:divsChild>
            </w:div>
            <w:div w:id="1379816306">
              <w:marLeft w:val="0"/>
              <w:marRight w:val="0"/>
              <w:marTop w:val="0"/>
              <w:marBottom w:val="0"/>
              <w:divBdr>
                <w:top w:val="none" w:sz="0" w:space="0" w:color="auto"/>
                <w:left w:val="none" w:sz="0" w:space="0" w:color="auto"/>
                <w:bottom w:val="none" w:sz="0" w:space="0" w:color="auto"/>
                <w:right w:val="none" w:sz="0" w:space="0" w:color="auto"/>
              </w:divBdr>
              <w:divsChild>
                <w:div w:id="1320189042">
                  <w:marLeft w:val="0"/>
                  <w:marRight w:val="0"/>
                  <w:marTop w:val="0"/>
                  <w:marBottom w:val="0"/>
                  <w:divBdr>
                    <w:top w:val="none" w:sz="0" w:space="0" w:color="auto"/>
                    <w:left w:val="none" w:sz="0" w:space="0" w:color="auto"/>
                    <w:bottom w:val="none" w:sz="0" w:space="0" w:color="auto"/>
                    <w:right w:val="none" w:sz="0" w:space="0" w:color="auto"/>
                  </w:divBdr>
                </w:div>
              </w:divsChild>
            </w:div>
            <w:div w:id="675499401">
              <w:marLeft w:val="0"/>
              <w:marRight w:val="0"/>
              <w:marTop w:val="0"/>
              <w:marBottom w:val="0"/>
              <w:divBdr>
                <w:top w:val="none" w:sz="0" w:space="0" w:color="auto"/>
                <w:left w:val="none" w:sz="0" w:space="0" w:color="auto"/>
                <w:bottom w:val="none" w:sz="0" w:space="0" w:color="auto"/>
                <w:right w:val="none" w:sz="0" w:space="0" w:color="auto"/>
              </w:divBdr>
              <w:divsChild>
                <w:div w:id="1989698785">
                  <w:marLeft w:val="0"/>
                  <w:marRight w:val="0"/>
                  <w:marTop w:val="0"/>
                  <w:marBottom w:val="0"/>
                  <w:divBdr>
                    <w:top w:val="none" w:sz="0" w:space="0" w:color="auto"/>
                    <w:left w:val="none" w:sz="0" w:space="0" w:color="auto"/>
                    <w:bottom w:val="none" w:sz="0" w:space="0" w:color="auto"/>
                    <w:right w:val="none" w:sz="0" w:space="0" w:color="auto"/>
                  </w:divBdr>
                  <w:divsChild>
                    <w:div w:id="1596548979">
                      <w:marLeft w:val="0"/>
                      <w:marRight w:val="0"/>
                      <w:marTop w:val="0"/>
                      <w:marBottom w:val="0"/>
                      <w:divBdr>
                        <w:top w:val="none" w:sz="0" w:space="0" w:color="auto"/>
                        <w:left w:val="none" w:sz="0" w:space="0" w:color="auto"/>
                        <w:bottom w:val="none" w:sz="0" w:space="0" w:color="auto"/>
                        <w:right w:val="none" w:sz="0" w:space="0" w:color="auto"/>
                      </w:divBdr>
                    </w:div>
                    <w:div w:id="1030255158">
                      <w:marLeft w:val="0"/>
                      <w:marRight w:val="0"/>
                      <w:marTop w:val="0"/>
                      <w:marBottom w:val="0"/>
                      <w:divBdr>
                        <w:top w:val="none" w:sz="0" w:space="0" w:color="auto"/>
                        <w:left w:val="none" w:sz="0" w:space="0" w:color="auto"/>
                        <w:bottom w:val="none" w:sz="0" w:space="0" w:color="auto"/>
                        <w:right w:val="none" w:sz="0" w:space="0" w:color="auto"/>
                      </w:divBdr>
                    </w:div>
                    <w:div w:id="621107043">
                      <w:marLeft w:val="0"/>
                      <w:marRight w:val="0"/>
                      <w:marTop w:val="0"/>
                      <w:marBottom w:val="0"/>
                      <w:divBdr>
                        <w:top w:val="none" w:sz="0" w:space="0" w:color="auto"/>
                        <w:left w:val="none" w:sz="0" w:space="0" w:color="auto"/>
                        <w:bottom w:val="none" w:sz="0" w:space="0" w:color="auto"/>
                        <w:right w:val="none" w:sz="0" w:space="0" w:color="auto"/>
                      </w:divBdr>
                    </w:div>
                    <w:div w:id="259681024">
                      <w:marLeft w:val="0"/>
                      <w:marRight w:val="0"/>
                      <w:marTop w:val="0"/>
                      <w:marBottom w:val="0"/>
                      <w:divBdr>
                        <w:top w:val="none" w:sz="0" w:space="0" w:color="auto"/>
                        <w:left w:val="none" w:sz="0" w:space="0" w:color="auto"/>
                        <w:bottom w:val="none" w:sz="0" w:space="0" w:color="auto"/>
                        <w:right w:val="none" w:sz="0" w:space="0" w:color="auto"/>
                      </w:divBdr>
                      <w:divsChild>
                        <w:div w:id="550465264">
                          <w:marLeft w:val="0"/>
                          <w:marRight w:val="0"/>
                          <w:marTop w:val="0"/>
                          <w:marBottom w:val="0"/>
                          <w:divBdr>
                            <w:top w:val="none" w:sz="0" w:space="0" w:color="auto"/>
                            <w:left w:val="none" w:sz="0" w:space="0" w:color="auto"/>
                            <w:bottom w:val="none" w:sz="0" w:space="0" w:color="auto"/>
                            <w:right w:val="none" w:sz="0" w:space="0" w:color="auto"/>
                          </w:divBdr>
                        </w:div>
                        <w:div w:id="304087094">
                          <w:marLeft w:val="0"/>
                          <w:marRight w:val="0"/>
                          <w:marTop w:val="0"/>
                          <w:marBottom w:val="0"/>
                          <w:divBdr>
                            <w:top w:val="none" w:sz="0" w:space="0" w:color="auto"/>
                            <w:left w:val="none" w:sz="0" w:space="0" w:color="auto"/>
                            <w:bottom w:val="none" w:sz="0" w:space="0" w:color="auto"/>
                            <w:right w:val="none" w:sz="0" w:space="0" w:color="auto"/>
                          </w:divBdr>
                          <w:divsChild>
                            <w:div w:id="1369799281">
                              <w:marLeft w:val="0"/>
                              <w:marRight w:val="0"/>
                              <w:marTop w:val="0"/>
                              <w:marBottom w:val="0"/>
                              <w:divBdr>
                                <w:top w:val="none" w:sz="0" w:space="0" w:color="auto"/>
                                <w:left w:val="none" w:sz="0" w:space="0" w:color="auto"/>
                                <w:bottom w:val="none" w:sz="0" w:space="0" w:color="auto"/>
                                <w:right w:val="none" w:sz="0" w:space="0" w:color="auto"/>
                              </w:divBdr>
                              <w:divsChild>
                                <w:div w:id="925378938">
                                  <w:marLeft w:val="0"/>
                                  <w:marRight w:val="0"/>
                                  <w:marTop w:val="0"/>
                                  <w:marBottom w:val="0"/>
                                  <w:divBdr>
                                    <w:top w:val="none" w:sz="0" w:space="0" w:color="auto"/>
                                    <w:left w:val="none" w:sz="0" w:space="0" w:color="auto"/>
                                    <w:bottom w:val="none" w:sz="0" w:space="0" w:color="auto"/>
                                    <w:right w:val="none" w:sz="0" w:space="0" w:color="auto"/>
                                  </w:divBdr>
                                  <w:divsChild>
                                    <w:div w:id="430442815">
                                      <w:marLeft w:val="0"/>
                                      <w:marRight w:val="0"/>
                                      <w:marTop w:val="0"/>
                                      <w:marBottom w:val="0"/>
                                      <w:divBdr>
                                        <w:top w:val="none" w:sz="0" w:space="0" w:color="auto"/>
                                        <w:left w:val="none" w:sz="0" w:space="0" w:color="auto"/>
                                        <w:bottom w:val="none" w:sz="0" w:space="0" w:color="auto"/>
                                        <w:right w:val="none" w:sz="0" w:space="0" w:color="auto"/>
                                      </w:divBdr>
                                      <w:divsChild>
                                        <w:div w:id="243954105">
                                          <w:marLeft w:val="0"/>
                                          <w:marRight w:val="11"/>
                                          <w:marTop w:val="0"/>
                                          <w:marBottom w:val="0"/>
                                          <w:divBdr>
                                            <w:top w:val="none" w:sz="0" w:space="0" w:color="auto"/>
                                            <w:left w:val="none" w:sz="0" w:space="0" w:color="auto"/>
                                            <w:bottom w:val="none" w:sz="0" w:space="0" w:color="auto"/>
                                            <w:right w:val="none" w:sz="0" w:space="0" w:color="auto"/>
                                          </w:divBdr>
                                        </w:div>
                                        <w:div w:id="2032795717">
                                          <w:marLeft w:val="0"/>
                                          <w:marRight w:val="11"/>
                                          <w:marTop w:val="0"/>
                                          <w:marBottom w:val="0"/>
                                          <w:divBdr>
                                            <w:top w:val="none" w:sz="0" w:space="0" w:color="auto"/>
                                            <w:left w:val="none" w:sz="0" w:space="0" w:color="auto"/>
                                            <w:bottom w:val="none" w:sz="0" w:space="0" w:color="auto"/>
                                            <w:right w:val="none" w:sz="0" w:space="0" w:color="auto"/>
                                          </w:divBdr>
                                        </w:div>
                                        <w:div w:id="1582569040">
                                          <w:marLeft w:val="0"/>
                                          <w:marRight w:val="11"/>
                                          <w:marTop w:val="0"/>
                                          <w:marBottom w:val="0"/>
                                          <w:divBdr>
                                            <w:top w:val="none" w:sz="0" w:space="0" w:color="auto"/>
                                            <w:left w:val="none" w:sz="0" w:space="0" w:color="auto"/>
                                            <w:bottom w:val="none" w:sz="0" w:space="0" w:color="auto"/>
                                            <w:right w:val="none" w:sz="0" w:space="0" w:color="auto"/>
                                          </w:divBdr>
                                        </w:div>
                                        <w:div w:id="166479023">
                                          <w:marLeft w:val="0"/>
                                          <w:marRight w:val="11"/>
                                          <w:marTop w:val="0"/>
                                          <w:marBottom w:val="0"/>
                                          <w:divBdr>
                                            <w:top w:val="none" w:sz="0" w:space="0" w:color="auto"/>
                                            <w:left w:val="none" w:sz="0" w:space="0" w:color="auto"/>
                                            <w:bottom w:val="none" w:sz="0" w:space="0" w:color="auto"/>
                                            <w:right w:val="none" w:sz="0" w:space="0" w:color="auto"/>
                                          </w:divBdr>
                                        </w:div>
                                        <w:div w:id="70003232">
                                          <w:marLeft w:val="0"/>
                                          <w:marRight w:val="11"/>
                                          <w:marTop w:val="0"/>
                                          <w:marBottom w:val="0"/>
                                          <w:divBdr>
                                            <w:top w:val="none" w:sz="0" w:space="0" w:color="auto"/>
                                            <w:left w:val="none" w:sz="0" w:space="0" w:color="auto"/>
                                            <w:bottom w:val="none" w:sz="0" w:space="0" w:color="auto"/>
                                            <w:right w:val="none" w:sz="0" w:space="0" w:color="auto"/>
                                          </w:divBdr>
                                        </w:div>
                                      </w:divsChild>
                                    </w:div>
                                  </w:divsChild>
                                </w:div>
                              </w:divsChild>
                            </w:div>
                            <w:div w:id="1002463806">
                              <w:marLeft w:val="0"/>
                              <w:marRight w:val="0"/>
                              <w:marTop w:val="0"/>
                              <w:marBottom w:val="0"/>
                              <w:divBdr>
                                <w:top w:val="none" w:sz="0" w:space="0" w:color="auto"/>
                                <w:left w:val="none" w:sz="0" w:space="0" w:color="auto"/>
                                <w:bottom w:val="none" w:sz="0" w:space="0" w:color="auto"/>
                                <w:right w:val="none" w:sz="0" w:space="0" w:color="auto"/>
                              </w:divBdr>
                              <w:divsChild>
                                <w:div w:id="1988246227">
                                  <w:marLeft w:val="0"/>
                                  <w:marRight w:val="0"/>
                                  <w:marTop w:val="0"/>
                                  <w:marBottom w:val="0"/>
                                  <w:divBdr>
                                    <w:top w:val="none" w:sz="0" w:space="0" w:color="auto"/>
                                    <w:left w:val="none" w:sz="0" w:space="0" w:color="auto"/>
                                    <w:bottom w:val="none" w:sz="0" w:space="0" w:color="auto"/>
                                    <w:right w:val="none" w:sz="0" w:space="0" w:color="auto"/>
                                  </w:divBdr>
                                  <w:divsChild>
                                    <w:div w:id="20015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6317">
                      <w:marLeft w:val="0"/>
                      <w:marRight w:val="0"/>
                      <w:marTop w:val="0"/>
                      <w:marBottom w:val="0"/>
                      <w:divBdr>
                        <w:top w:val="none" w:sz="0" w:space="0" w:color="auto"/>
                        <w:left w:val="none" w:sz="0" w:space="0" w:color="auto"/>
                        <w:bottom w:val="none" w:sz="0" w:space="0" w:color="auto"/>
                        <w:right w:val="none" w:sz="0" w:space="0" w:color="auto"/>
                      </w:divBdr>
                      <w:divsChild>
                        <w:div w:id="2000378653">
                          <w:marLeft w:val="0"/>
                          <w:marRight w:val="0"/>
                          <w:marTop w:val="0"/>
                          <w:marBottom w:val="0"/>
                          <w:divBdr>
                            <w:top w:val="none" w:sz="0" w:space="0" w:color="auto"/>
                            <w:left w:val="none" w:sz="0" w:space="0" w:color="auto"/>
                            <w:bottom w:val="none" w:sz="0" w:space="0" w:color="auto"/>
                            <w:right w:val="none" w:sz="0" w:space="0" w:color="auto"/>
                          </w:divBdr>
                        </w:div>
                        <w:div w:id="371536676">
                          <w:marLeft w:val="0"/>
                          <w:marRight w:val="0"/>
                          <w:marTop w:val="0"/>
                          <w:marBottom w:val="0"/>
                          <w:divBdr>
                            <w:top w:val="none" w:sz="0" w:space="0" w:color="auto"/>
                            <w:left w:val="none" w:sz="0" w:space="0" w:color="auto"/>
                            <w:bottom w:val="none" w:sz="0" w:space="0" w:color="auto"/>
                            <w:right w:val="none" w:sz="0" w:space="0" w:color="auto"/>
                          </w:divBdr>
                        </w:div>
                      </w:divsChild>
                    </w:div>
                    <w:div w:id="1634022598">
                      <w:marLeft w:val="0"/>
                      <w:marRight w:val="0"/>
                      <w:marTop w:val="0"/>
                      <w:marBottom w:val="0"/>
                      <w:divBdr>
                        <w:top w:val="none" w:sz="0" w:space="0" w:color="auto"/>
                        <w:left w:val="none" w:sz="0" w:space="0" w:color="auto"/>
                        <w:bottom w:val="none" w:sz="0" w:space="0" w:color="auto"/>
                        <w:right w:val="none" w:sz="0" w:space="0" w:color="auto"/>
                      </w:divBdr>
                      <w:divsChild>
                        <w:div w:id="991561754">
                          <w:marLeft w:val="0"/>
                          <w:marRight w:val="0"/>
                          <w:marTop w:val="0"/>
                          <w:marBottom w:val="0"/>
                          <w:divBdr>
                            <w:top w:val="none" w:sz="0" w:space="0" w:color="auto"/>
                            <w:left w:val="none" w:sz="0" w:space="0" w:color="auto"/>
                            <w:bottom w:val="none" w:sz="0" w:space="0" w:color="auto"/>
                            <w:right w:val="none" w:sz="0" w:space="0" w:color="auto"/>
                          </w:divBdr>
                        </w:div>
                      </w:divsChild>
                    </w:div>
                    <w:div w:id="320013312">
                      <w:marLeft w:val="0"/>
                      <w:marRight w:val="0"/>
                      <w:marTop w:val="0"/>
                      <w:marBottom w:val="0"/>
                      <w:divBdr>
                        <w:top w:val="none" w:sz="0" w:space="0" w:color="auto"/>
                        <w:left w:val="none" w:sz="0" w:space="0" w:color="auto"/>
                        <w:bottom w:val="none" w:sz="0" w:space="0" w:color="auto"/>
                        <w:right w:val="none" w:sz="0" w:space="0" w:color="auto"/>
                      </w:divBdr>
                      <w:divsChild>
                        <w:div w:id="1146170355">
                          <w:marLeft w:val="0"/>
                          <w:marRight w:val="0"/>
                          <w:marTop w:val="0"/>
                          <w:marBottom w:val="0"/>
                          <w:divBdr>
                            <w:top w:val="none" w:sz="0" w:space="0" w:color="auto"/>
                            <w:left w:val="none" w:sz="0" w:space="0" w:color="auto"/>
                            <w:bottom w:val="none" w:sz="0" w:space="0" w:color="auto"/>
                            <w:right w:val="none" w:sz="0" w:space="0" w:color="auto"/>
                          </w:divBdr>
                          <w:divsChild>
                            <w:div w:id="6717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1714">
                  <w:marLeft w:val="0"/>
                  <w:marRight w:val="0"/>
                  <w:marTop w:val="0"/>
                  <w:marBottom w:val="0"/>
                  <w:divBdr>
                    <w:top w:val="none" w:sz="0" w:space="0" w:color="auto"/>
                    <w:left w:val="none" w:sz="0" w:space="0" w:color="auto"/>
                    <w:bottom w:val="none" w:sz="0" w:space="0" w:color="auto"/>
                    <w:right w:val="none" w:sz="0" w:space="0" w:color="auto"/>
                  </w:divBdr>
                  <w:divsChild>
                    <w:div w:id="2058120173">
                      <w:marLeft w:val="0"/>
                      <w:marRight w:val="0"/>
                      <w:marTop w:val="0"/>
                      <w:marBottom w:val="0"/>
                      <w:divBdr>
                        <w:top w:val="none" w:sz="0" w:space="0" w:color="auto"/>
                        <w:left w:val="none" w:sz="0" w:space="0" w:color="auto"/>
                        <w:bottom w:val="none" w:sz="0" w:space="0" w:color="auto"/>
                        <w:right w:val="none" w:sz="0" w:space="0" w:color="auto"/>
                      </w:divBdr>
                      <w:divsChild>
                        <w:div w:id="681250160">
                          <w:marLeft w:val="0"/>
                          <w:marRight w:val="0"/>
                          <w:marTop w:val="0"/>
                          <w:marBottom w:val="0"/>
                          <w:divBdr>
                            <w:top w:val="none" w:sz="0" w:space="0" w:color="auto"/>
                            <w:left w:val="none" w:sz="0" w:space="0" w:color="auto"/>
                            <w:bottom w:val="none" w:sz="0" w:space="0" w:color="auto"/>
                            <w:right w:val="none" w:sz="0" w:space="0" w:color="auto"/>
                          </w:divBdr>
                        </w:div>
                      </w:divsChild>
                    </w:div>
                    <w:div w:id="1464420293">
                      <w:marLeft w:val="0"/>
                      <w:marRight w:val="0"/>
                      <w:marTop w:val="0"/>
                      <w:marBottom w:val="0"/>
                      <w:divBdr>
                        <w:top w:val="none" w:sz="0" w:space="0" w:color="auto"/>
                        <w:left w:val="none" w:sz="0" w:space="0" w:color="auto"/>
                        <w:bottom w:val="none" w:sz="0" w:space="0" w:color="auto"/>
                        <w:right w:val="none" w:sz="0" w:space="0" w:color="auto"/>
                      </w:divBdr>
                    </w:div>
                    <w:div w:id="156389383">
                      <w:marLeft w:val="0"/>
                      <w:marRight w:val="0"/>
                      <w:marTop w:val="0"/>
                      <w:marBottom w:val="0"/>
                      <w:divBdr>
                        <w:top w:val="none" w:sz="0" w:space="0" w:color="auto"/>
                        <w:left w:val="none" w:sz="0" w:space="0" w:color="auto"/>
                        <w:bottom w:val="none" w:sz="0" w:space="0" w:color="auto"/>
                        <w:right w:val="none" w:sz="0" w:space="0" w:color="auto"/>
                      </w:divBdr>
                    </w:div>
                    <w:div w:id="793795151">
                      <w:marLeft w:val="0"/>
                      <w:marRight w:val="0"/>
                      <w:marTop w:val="0"/>
                      <w:marBottom w:val="0"/>
                      <w:divBdr>
                        <w:top w:val="none" w:sz="0" w:space="0" w:color="auto"/>
                        <w:left w:val="none" w:sz="0" w:space="0" w:color="auto"/>
                        <w:bottom w:val="none" w:sz="0" w:space="0" w:color="auto"/>
                        <w:right w:val="none" w:sz="0" w:space="0" w:color="auto"/>
                      </w:divBdr>
                    </w:div>
                    <w:div w:id="1001079160">
                      <w:marLeft w:val="0"/>
                      <w:marRight w:val="0"/>
                      <w:marTop w:val="0"/>
                      <w:marBottom w:val="0"/>
                      <w:divBdr>
                        <w:top w:val="none" w:sz="0" w:space="0" w:color="auto"/>
                        <w:left w:val="none" w:sz="0" w:space="0" w:color="auto"/>
                        <w:bottom w:val="none" w:sz="0" w:space="0" w:color="auto"/>
                        <w:right w:val="none" w:sz="0" w:space="0" w:color="auto"/>
                      </w:divBdr>
                      <w:divsChild>
                        <w:div w:id="534972014">
                          <w:marLeft w:val="0"/>
                          <w:marRight w:val="0"/>
                          <w:marTop w:val="0"/>
                          <w:marBottom w:val="0"/>
                          <w:divBdr>
                            <w:top w:val="none" w:sz="0" w:space="0" w:color="auto"/>
                            <w:left w:val="none" w:sz="0" w:space="0" w:color="auto"/>
                            <w:bottom w:val="none" w:sz="0" w:space="0" w:color="auto"/>
                            <w:right w:val="none" w:sz="0" w:space="0" w:color="auto"/>
                          </w:divBdr>
                        </w:div>
                      </w:divsChild>
                    </w:div>
                    <w:div w:id="954673990">
                      <w:marLeft w:val="0"/>
                      <w:marRight w:val="0"/>
                      <w:marTop w:val="0"/>
                      <w:marBottom w:val="0"/>
                      <w:divBdr>
                        <w:top w:val="none" w:sz="0" w:space="0" w:color="auto"/>
                        <w:left w:val="none" w:sz="0" w:space="0" w:color="auto"/>
                        <w:bottom w:val="none" w:sz="0" w:space="0" w:color="auto"/>
                        <w:right w:val="none" w:sz="0" w:space="0" w:color="auto"/>
                      </w:divBdr>
                    </w:div>
                    <w:div w:id="1650942214">
                      <w:marLeft w:val="0"/>
                      <w:marRight w:val="0"/>
                      <w:marTop w:val="0"/>
                      <w:marBottom w:val="0"/>
                      <w:divBdr>
                        <w:top w:val="none" w:sz="0" w:space="0" w:color="auto"/>
                        <w:left w:val="none" w:sz="0" w:space="0" w:color="auto"/>
                        <w:bottom w:val="none" w:sz="0" w:space="0" w:color="auto"/>
                        <w:right w:val="none" w:sz="0" w:space="0" w:color="auto"/>
                      </w:divBdr>
                      <w:divsChild>
                        <w:div w:id="933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6184">
              <w:marLeft w:val="0"/>
              <w:marRight w:val="0"/>
              <w:marTop w:val="0"/>
              <w:marBottom w:val="0"/>
              <w:divBdr>
                <w:top w:val="none" w:sz="0" w:space="0" w:color="auto"/>
                <w:left w:val="none" w:sz="0" w:space="0" w:color="auto"/>
                <w:bottom w:val="none" w:sz="0" w:space="0" w:color="auto"/>
                <w:right w:val="none" w:sz="0" w:space="0" w:color="auto"/>
              </w:divBdr>
              <w:divsChild>
                <w:div w:id="686061187">
                  <w:marLeft w:val="0"/>
                  <w:marRight w:val="0"/>
                  <w:marTop w:val="0"/>
                  <w:marBottom w:val="0"/>
                  <w:divBdr>
                    <w:top w:val="none" w:sz="0" w:space="0" w:color="auto"/>
                    <w:left w:val="none" w:sz="0" w:space="0" w:color="auto"/>
                    <w:bottom w:val="none" w:sz="0" w:space="0" w:color="auto"/>
                    <w:right w:val="none" w:sz="0" w:space="0" w:color="auto"/>
                  </w:divBdr>
                </w:div>
                <w:div w:id="7554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7010">
          <w:marLeft w:val="0"/>
          <w:marRight w:val="0"/>
          <w:marTop w:val="0"/>
          <w:marBottom w:val="0"/>
          <w:divBdr>
            <w:top w:val="none" w:sz="0" w:space="0" w:color="auto"/>
            <w:left w:val="none" w:sz="0" w:space="0" w:color="auto"/>
            <w:bottom w:val="none" w:sz="0" w:space="0" w:color="auto"/>
            <w:right w:val="none" w:sz="0" w:space="0" w:color="auto"/>
          </w:divBdr>
          <w:divsChild>
            <w:div w:id="982855969">
              <w:marLeft w:val="0"/>
              <w:marRight w:val="0"/>
              <w:marTop w:val="0"/>
              <w:marBottom w:val="0"/>
              <w:divBdr>
                <w:top w:val="none" w:sz="0" w:space="0" w:color="auto"/>
                <w:left w:val="none" w:sz="0" w:space="0" w:color="auto"/>
                <w:bottom w:val="none" w:sz="0" w:space="0" w:color="auto"/>
                <w:right w:val="none" w:sz="0" w:space="0" w:color="auto"/>
              </w:divBdr>
              <w:divsChild>
                <w:div w:id="3185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europarl.wordpress.com/tag/fundamental-rights/" TargetMode="External"/><Relationship Id="rId13" Type="http://schemas.openxmlformats.org/officeDocument/2006/relationships/hyperlink" Target="http://libraryeuroparl.files.wordpress.com/2013/10/article-7-teu.jpg" TargetMode="External"/><Relationship Id="rId18" Type="http://schemas.openxmlformats.org/officeDocument/2006/relationships/hyperlink" Target="http://www.sfb-governance.de/en/ISA2013/papers/ISA_2013_van_Huellen_Boerzel.pdf?1367229501" TargetMode="External"/><Relationship Id="rId26" Type="http://schemas.openxmlformats.org/officeDocument/2006/relationships/hyperlink" Target="http://www.epc.eu/documents/uploads/pub_2788_romania_s_democracy_in_reverse_gear.pdf" TargetMode="External"/><Relationship Id="rId3" Type="http://schemas.openxmlformats.org/officeDocument/2006/relationships/settings" Target="settings.xml"/><Relationship Id="rId21" Type="http://schemas.openxmlformats.org/officeDocument/2006/relationships/hyperlink" Target="http://www.jurisquare.be/en/journal/jtde/2000-3/le-controle-par-l_union-europeenne-du-respect-de-la-democratie-et-des-droits-de-l_homme-par-ses-etat/index.html" TargetMode="External"/><Relationship Id="rId7" Type="http://schemas.openxmlformats.org/officeDocument/2006/relationships/hyperlink" Target="http://libraryeuroparl.wordpress.com/tag/democracy/" TargetMode="External"/><Relationship Id="rId12" Type="http://schemas.openxmlformats.org/officeDocument/2006/relationships/hyperlink" Target="http://libraryeuroparl.wordpress.com/tag/treaties-of-the-european-union/" TargetMode="External"/><Relationship Id="rId17" Type="http://schemas.openxmlformats.org/officeDocument/2006/relationships/hyperlink" Target="http://www.jurisquare.be/en/journal/rae/2012-2/les-valeurs-de-l_union-europeenne/index.html" TargetMode="External"/><Relationship Id="rId25" Type="http://schemas.openxmlformats.org/officeDocument/2006/relationships/hyperlink" Target="http://papers.ssrn.com/sol3/papers.cfm?abstract_id=225793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pers.ssrn.com/sol3/papers.cfm?abstract_id=1531393&amp;download=yes" TargetMode="External"/><Relationship Id="rId20" Type="http://schemas.openxmlformats.org/officeDocument/2006/relationships/hyperlink" Target="http://www.transatlanticacademy.org/sites/default/files/publications/Muller_SafeguardingDemocracy_Feb13_web.pdf" TargetMode="External"/><Relationship Id="rId29" Type="http://schemas.openxmlformats.org/officeDocument/2006/relationships/hyperlink" Target="http://europa.eu/rapid/press-release_SPEECH-12-596_en.htm" TargetMode="External"/><Relationship Id="rId1" Type="http://schemas.openxmlformats.org/officeDocument/2006/relationships/numbering" Target="numbering.xml"/><Relationship Id="rId6" Type="http://schemas.openxmlformats.org/officeDocument/2006/relationships/hyperlink" Target="http://libraryeuroparl.wordpress.com/2013/10/07/article-7-teu-a-mechanism-to-protect-eu-values/" TargetMode="External"/><Relationship Id="rId11" Type="http://schemas.openxmlformats.org/officeDocument/2006/relationships/hyperlink" Target="http://libraryeuroparl.wordpress.com/tag/rule-of-law/" TargetMode="External"/><Relationship Id="rId24" Type="http://schemas.openxmlformats.org/officeDocument/2006/relationships/hyperlink" Target="http://www.europarl.europa.eu/sides/getDoc.do?type=REPORT&amp;reference=A7-2013-0229&amp;language=EN" TargetMode="External"/><Relationship Id="rId32" Type="http://schemas.openxmlformats.org/officeDocument/2006/relationships/fontTable" Target="fontTable.xml"/><Relationship Id="rId5" Type="http://schemas.openxmlformats.org/officeDocument/2006/relationships/hyperlink" Target="http://libraryeuroparl.wordpress.com/author/andreiaghimis/" TargetMode="External"/><Relationship Id="rId15" Type="http://schemas.openxmlformats.org/officeDocument/2006/relationships/hyperlink" Target="http://www.library.sso.ep.parl.union.eu/lis/site/content.form?symphonyId=163713&amp;q=%28Alina%20Kaczorowska%29" TargetMode="External"/><Relationship Id="rId23" Type="http://schemas.openxmlformats.org/officeDocument/2006/relationships/hyperlink" Target="http://www.ceps.eu/book/l%E2%80%99affaire-des-roms-challenge-eu%E2%80%99s-area-freedom-security-and-justice" TargetMode="External"/><Relationship Id="rId28" Type="http://schemas.openxmlformats.org/officeDocument/2006/relationships/hyperlink" Target="http://eur-lex.europa.eu/LexUriServ/LexUriServ.do?uri=CELEX:52003DC0606:EN:NOT" TargetMode="External"/><Relationship Id="rId10" Type="http://schemas.openxmlformats.org/officeDocument/2006/relationships/hyperlink" Target="http://libraryeuroparl.wordpress.com/tag/keysources/" TargetMode="External"/><Relationship Id="rId19" Type="http://schemas.openxmlformats.org/officeDocument/2006/relationships/hyperlink" Target="http://www.feps-europe.eu/assets/9a4619cf-1a01-4f96-8e27-f33b65337a9b/protecting%20the%20fundamentals.pdf" TargetMode="External"/><Relationship Id="rId31" Type="http://schemas.openxmlformats.org/officeDocument/2006/relationships/hyperlink" Target="http://demcoalition.org/pdf/Protecting_Democracy_Piccone.pdf" TargetMode="External"/><Relationship Id="rId4" Type="http://schemas.openxmlformats.org/officeDocument/2006/relationships/webSettings" Target="webSettings.xml"/><Relationship Id="rId9" Type="http://schemas.openxmlformats.org/officeDocument/2006/relationships/hyperlink" Target="http://libraryeuroparl.wordpress.com/tag/human-rights/" TargetMode="External"/><Relationship Id="rId14" Type="http://schemas.openxmlformats.org/officeDocument/2006/relationships/image" Target="media/image1.jpeg"/><Relationship Id="rId22" Type="http://schemas.openxmlformats.org/officeDocument/2006/relationships/hyperlink" Target="http://www.law.unimelb.edu.au/files/dmfile/download8a2d1.pdf" TargetMode="External"/><Relationship Id="rId27" Type="http://schemas.openxmlformats.org/officeDocument/2006/relationships/hyperlink" Target="http://www.europarl.europa.eu/sides/getDoc.do?pubRef=-%2F%2FEP%2F%2FNONSGML%2BCOMPARL%2BPE-514.668%2B01%2BDOC%2BPDF%2BV0%2F%2FEN" TargetMode="External"/><Relationship Id="rId30" Type="http://schemas.openxmlformats.org/officeDocument/2006/relationships/hyperlink" Target="http://www.google.be/url?sa=t&amp;rct=j&amp;q=article%207%20teu%20european%20council&amp;source=web&amp;cd=12&amp;ved=0CDMQFjABOAo&amp;url=http%3A%2F%2Fwww.amnesty.eu%2Fstatic%2Fdocuments%2FAI_response_to_EC_Comm_on_Article_7_of_Treaty_on_EU.doc&amp;ei=3VYcUqnKC_Dy7AbC_oHACg&amp;usg=AFQ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Daly</dc:creator>
  <cp:keywords/>
  <cp:lastModifiedBy>Tom Daly</cp:lastModifiedBy>
  <cp:revision>2</cp:revision>
  <dcterms:created xsi:type="dcterms:W3CDTF">2019-03-01T07:37:00Z</dcterms:created>
  <dcterms:modified xsi:type="dcterms:W3CDTF">2019-03-01T07:37:00Z</dcterms:modified>
</cp:coreProperties>
</file>