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9ADCD" w14:textId="27A3767F" w:rsidR="00F52F9A" w:rsidRPr="0031191B" w:rsidRDefault="007E6D6C" w:rsidP="0031191B">
      <w:pPr>
        <w:pStyle w:val="TechnicalBlock"/>
        <w:ind w:left="-1134" w:right="-1134"/>
      </w:pPr>
      <w:bookmarkStart w:id="0" w:name="DW_BM_COVERPAGE"/>
      <w:bookmarkStart w:id="1" w:name="_GoBack"/>
      <w:bookmarkEnd w:id="1"/>
      <w:r>
        <w:rPr>
          <w:noProof/>
        </w:rPr>
        <w:drawing>
          <wp:inline distT="0" distB="0" distL="0" distR="0" wp14:anchorId="5C2540FA" wp14:editId="784FC773">
            <wp:extent cx="7229475" cy="4333875"/>
            <wp:effectExtent l="0" t="0" r="0" b="9525"/>
            <wp:docPr id="6" name="Picture 1" descr="Document Cover Page.&#10;Document Number: 12133/19.&#10;Subject Codes: JAI 921 FREMP 116 POLGEN 155 AG 38.&#10;Heading: NOTE.&#10;Originator: Hungarian Delagation.&#10;Recipient: Delegations.&#10;Subject: Information Note to the General Affairs Council of the European Union by the Hungarian Government on the Resolution on Hungary adopted by the European Parliament on 12 September 2018.&#10;Commission Document Number: Not Set.&#10;Preceeding Document Number: Not Set.&#10;Location: Brussels.&#10;Date: 12 September 2019.&#10;Interinstitutional Files: 2018/0902(COD).&#10;Institutional Framework: Council of the European Union.&#10;Language: EN.&#10;Distribution Code: LIMITE.&#10;GUID: 569637453253592917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12133/19.&#10;Subject Codes: JAI 921 FREMP 116 POLGEN 155 AG 38.&#10;Heading: NOTE.&#10;Originator: Hungarian Delagation.&#10;Recipient: Delegations.&#10;Subject: Information Note to the General Affairs Council of the European Union by the Hungarian Government on the Resolution on Hungary adopted by the European Parliament on 12 September 2018.&#10;Commission Document Number: Not Set.&#10;Preceeding Document Number: Not Set.&#10;Location: Brussels.&#10;Date: 12 September 2019.&#10;Interinstitutional Files: 2018/0902(COD).&#10;Institutional Framework: Council of the European Union.&#10;Language: EN.&#10;Distribution Code: LIMITE.&#10;GUID: 5696374532535929176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9475" cy="4333875"/>
                    </a:xfrm>
                    <a:prstGeom prst="rect">
                      <a:avLst/>
                    </a:prstGeom>
                    <a:noFill/>
                    <a:ln>
                      <a:noFill/>
                    </a:ln>
                  </pic:spPr>
                </pic:pic>
              </a:graphicData>
            </a:graphic>
          </wp:inline>
        </w:drawing>
      </w:r>
      <w:bookmarkEnd w:id="0"/>
    </w:p>
    <w:p w14:paraId="26DC11C5" w14:textId="77777777" w:rsidR="00B80293" w:rsidRPr="00B80293" w:rsidRDefault="00B80293" w:rsidP="00B80293">
      <w:pPr>
        <w:pStyle w:val="EntText"/>
        <w:spacing w:before="480"/>
        <w:rPr>
          <w:lang w:val="en-GB"/>
        </w:rPr>
      </w:pPr>
      <w:r w:rsidRPr="00B80293">
        <w:rPr>
          <w:lang w:val="en-GB"/>
        </w:rPr>
        <w:t>Delegations will find in the Annex an information note submitted to the General Affairs Council by the Hungarian government on the resolution concerning the situation in Hungary adopted by the European Parliament on 12 September 2018.</w:t>
      </w:r>
    </w:p>
    <w:p w14:paraId="7751FB5A" w14:textId="77777777" w:rsidR="00F52F9A" w:rsidRDefault="00F52F9A" w:rsidP="00F52F9A">
      <w:pPr>
        <w:pStyle w:val="Lignefinal"/>
      </w:pPr>
    </w:p>
    <w:p w14:paraId="4197B05F" w14:textId="1562E9EF" w:rsidR="00F52F9A" w:rsidRDefault="00F52F9A" w:rsidP="0031191B">
      <w:pPr>
        <w:pStyle w:val="pj"/>
        <w:spacing w:before="120"/>
      </w:pPr>
    </w:p>
    <w:p w14:paraId="5A6CB62D" w14:textId="77777777" w:rsidR="00F52F9A" w:rsidRDefault="00F52F9A" w:rsidP="00F52F9A">
      <w:pPr>
        <w:rPr>
          <w:lang w:val="en-GB"/>
        </w:rPr>
        <w:sectPr w:rsidR="00F52F9A" w:rsidSect="00660031">
          <w:headerReference w:type="even" r:id="rId9"/>
          <w:headerReference w:type="default" r:id="rId10"/>
          <w:footerReference w:type="even" r:id="rId11"/>
          <w:footerReference w:type="default" r:id="rId12"/>
          <w:headerReference w:type="first" r:id="rId13"/>
          <w:footerReference w:type="first" r:id="rId14"/>
          <w:pgSz w:w="11906" w:h="16838"/>
          <w:pgMar w:top="624" w:right="1134" w:bottom="1134" w:left="1134" w:header="567" w:footer="567" w:gutter="0"/>
          <w:pgNumType w:start="0"/>
          <w:cols w:space="708"/>
          <w:titlePg/>
          <w:docGrid w:linePitch="360"/>
        </w:sectPr>
      </w:pPr>
    </w:p>
    <w:p w14:paraId="6FA0A172" w14:textId="4A207671" w:rsidR="006940F4" w:rsidRPr="003E3613" w:rsidRDefault="00E74F21" w:rsidP="00204696">
      <w:pPr>
        <w:spacing w:after="0"/>
        <w:jc w:val="center"/>
        <w:rPr>
          <w:rFonts w:ascii="Book Antiqua" w:hAnsi="Book Antiqua" w:cs="Times New Roman"/>
          <w:b/>
          <w:sz w:val="23"/>
          <w:szCs w:val="23"/>
          <w:lang w:val="en-GB"/>
        </w:rPr>
      </w:pPr>
      <w:r w:rsidRPr="003E3613">
        <w:rPr>
          <w:rFonts w:ascii="Book Antiqua" w:hAnsi="Book Antiqua" w:cs="Times New Roman"/>
          <w:b/>
          <w:sz w:val="23"/>
          <w:szCs w:val="23"/>
          <w:lang w:val="en-GB"/>
        </w:rPr>
        <w:lastRenderedPageBreak/>
        <w:t xml:space="preserve">Information Note to the General Affairs Council of the European Union </w:t>
      </w:r>
      <w:r w:rsidR="006940F4" w:rsidRPr="003E3613">
        <w:rPr>
          <w:rFonts w:ascii="Book Antiqua" w:hAnsi="Book Antiqua" w:cs="Times New Roman"/>
          <w:b/>
          <w:sz w:val="23"/>
          <w:szCs w:val="23"/>
          <w:lang w:val="en-GB"/>
        </w:rPr>
        <w:t xml:space="preserve">by the Hungarian Government on the Resolution </w:t>
      </w:r>
      <w:r w:rsidR="00D82AE7" w:rsidRPr="003E3613">
        <w:rPr>
          <w:rFonts w:ascii="Book Antiqua" w:hAnsi="Book Antiqua" w:cs="Times New Roman"/>
          <w:b/>
          <w:sz w:val="23"/>
          <w:szCs w:val="23"/>
          <w:lang w:val="en-GB"/>
        </w:rPr>
        <w:t xml:space="preserve">on Hungary </w:t>
      </w:r>
      <w:r w:rsidR="006940F4" w:rsidRPr="003E3613">
        <w:rPr>
          <w:rFonts w:ascii="Book Antiqua" w:hAnsi="Book Antiqua" w:cs="Times New Roman"/>
          <w:b/>
          <w:sz w:val="23"/>
          <w:szCs w:val="23"/>
          <w:lang w:val="en-GB"/>
        </w:rPr>
        <w:t xml:space="preserve">adopted by the European Parliament on 12 September 2018 </w:t>
      </w:r>
    </w:p>
    <w:p w14:paraId="005E8476" w14:textId="77777777" w:rsidR="006940F4" w:rsidRPr="003E3613" w:rsidRDefault="006940F4" w:rsidP="007E19D5">
      <w:pPr>
        <w:spacing w:after="0" w:line="240" w:lineRule="auto"/>
        <w:jc w:val="both"/>
        <w:rPr>
          <w:rFonts w:ascii="Book Antiqua" w:hAnsi="Book Antiqua" w:cs="Times New Roman"/>
          <w:sz w:val="23"/>
          <w:szCs w:val="23"/>
          <w:lang w:val="en-GB"/>
        </w:rPr>
      </w:pPr>
    </w:p>
    <w:p w14:paraId="450C41AA" w14:textId="77777777" w:rsidR="00E74F21" w:rsidRPr="003E3613" w:rsidRDefault="00E74F21" w:rsidP="007E19D5">
      <w:pPr>
        <w:spacing w:after="0" w:line="240" w:lineRule="auto"/>
        <w:jc w:val="center"/>
        <w:rPr>
          <w:rFonts w:ascii="Book Antiqua" w:hAnsi="Book Antiqua" w:cs="Times New Roman"/>
          <w:b/>
          <w:sz w:val="23"/>
          <w:szCs w:val="23"/>
          <w:u w:val="single"/>
          <w:lang w:val="en-GB"/>
        </w:rPr>
      </w:pPr>
    </w:p>
    <w:p w14:paraId="023FE357" w14:textId="77777777" w:rsidR="006940F4" w:rsidRPr="003E3613" w:rsidRDefault="006940F4" w:rsidP="007E19D5">
      <w:pPr>
        <w:spacing w:after="0" w:line="240" w:lineRule="auto"/>
        <w:jc w:val="both"/>
        <w:rPr>
          <w:rFonts w:ascii="Book Antiqua" w:hAnsi="Book Antiqua" w:cs="Times New Roman"/>
          <w:sz w:val="23"/>
          <w:szCs w:val="23"/>
          <w:lang w:val="en-GB"/>
        </w:rPr>
      </w:pPr>
    </w:p>
    <w:p w14:paraId="68013487" w14:textId="77777777" w:rsidR="00E74F21" w:rsidRPr="003E3613" w:rsidRDefault="00E74F21" w:rsidP="007E19D5">
      <w:pPr>
        <w:pStyle w:val="ListParagraph"/>
        <w:numPr>
          <w:ilvl w:val="0"/>
          <w:numId w:val="23"/>
        </w:numPr>
        <w:spacing w:after="0" w:line="240" w:lineRule="auto"/>
        <w:jc w:val="center"/>
        <w:rPr>
          <w:rFonts w:ascii="Book Antiqua" w:hAnsi="Book Antiqua" w:cs="Times New Roman"/>
          <w:b/>
          <w:sz w:val="23"/>
          <w:szCs w:val="23"/>
          <w:lang w:val="en-GB"/>
        </w:rPr>
      </w:pPr>
      <w:r w:rsidRPr="003E3613">
        <w:rPr>
          <w:rFonts w:ascii="Book Antiqua" w:hAnsi="Book Antiqua" w:cs="Times New Roman"/>
          <w:b/>
          <w:sz w:val="23"/>
          <w:szCs w:val="23"/>
          <w:lang w:val="en-GB"/>
        </w:rPr>
        <w:t>Introduction</w:t>
      </w:r>
      <w:r w:rsidR="00C20406" w:rsidRPr="003E3613">
        <w:rPr>
          <w:rFonts w:ascii="Book Antiqua" w:hAnsi="Book Antiqua" w:cs="Times New Roman"/>
          <w:b/>
          <w:sz w:val="23"/>
          <w:szCs w:val="23"/>
          <w:lang w:val="en-GB"/>
        </w:rPr>
        <w:t xml:space="preserve"> and preliminary observations</w:t>
      </w:r>
    </w:p>
    <w:p w14:paraId="11491A88" w14:textId="77777777" w:rsidR="006940F4" w:rsidRPr="003E3613" w:rsidRDefault="006940F4" w:rsidP="007E19D5">
      <w:pPr>
        <w:spacing w:after="0" w:line="240" w:lineRule="auto"/>
        <w:jc w:val="both"/>
        <w:rPr>
          <w:rFonts w:ascii="Book Antiqua" w:hAnsi="Book Antiqua" w:cs="Times New Roman"/>
          <w:sz w:val="23"/>
          <w:szCs w:val="23"/>
          <w:lang w:val="en-GB"/>
        </w:rPr>
      </w:pPr>
    </w:p>
    <w:p w14:paraId="3C8B84B6" w14:textId="77777777" w:rsidR="006940F4" w:rsidRPr="003E3613" w:rsidRDefault="006940F4" w:rsidP="00204696">
      <w:pPr>
        <w:spacing w:after="0"/>
        <w:jc w:val="both"/>
        <w:rPr>
          <w:rFonts w:ascii="Book Antiqua" w:hAnsi="Book Antiqua" w:cs="Times New Roman"/>
          <w:bCs/>
          <w:sz w:val="23"/>
          <w:szCs w:val="23"/>
          <w:shd w:val="clear" w:color="auto" w:fill="FFFFFF"/>
          <w:lang w:val="en-GB"/>
        </w:rPr>
      </w:pPr>
      <w:r w:rsidRPr="003E3613">
        <w:rPr>
          <w:rFonts w:ascii="Book Antiqua" w:hAnsi="Book Antiqua" w:cs="Times New Roman"/>
          <w:sz w:val="23"/>
          <w:szCs w:val="23"/>
          <w:lang w:val="en-GB"/>
        </w:rPr>
        <w:t xml:space="preserve">The European Parliament adopted its </w:t>
      </w:r>
      <w:r w:rsidRPr="003E3613">
        <w:rPr>
          <w:rFonts w:ascii="Book Antiqua" w:hAnsi="Book Antiqua" w:cs="Times New Roman"/>
          <w:bCs/>
          <w:sz w:val="23"/>
          <w:szCs w:val="23"/>
          <w:shd w:val="clear" w:color="auto" w:fill="FFFFFF"/>
          <w:lang w:val="en-GB"/>
        </w:rPr>
        <w:t>Resolution of 12 September 2018 on a proposal calling on the Council to determine, pursuant to Article 7(1) of the Treaty on European Union (TEU), the existence of a clear risk of a serious breach by Hungary of the values on which the Union is founded (hereafter</w:t>
      </w:r>
      <w:r w:rsidR="00586014" w:rsidRPr="003E3613">
        <w:rPr>
          <w:rFonts w:ascii="Book Antiqua" w:hAnsi="Book Antiqua" w:cs="Times New Roman"/>
          <w:bCs/>
          <w:sz w:val="23"/>
          <w:szCs w:val="23"/>
          <w:shd w:val="clear" w:color="auto" w:fill="FFFFFF"/>
          <w:lang w:val="en-GB"/>
        </w:rPr>
        <w:t xml:space="preserve"> referred to as </w:t>
      </w:r>
      <w:r w:rsidR="00252518" w:rsidRPr="003E3613">
        <w:rPr>
          <w:rFonts w:ascii="Book Antiqua" w:hAnsi="Book Antiqua" w:cs="Times New Roman"/>
          <w:bCs/>
          <w:sz w:val="23"/>
          <w:szCs w:val="23"/>
          <w:shd w:val="clear" w:color="auto" w:fill="FFFFFF"/>
          <w:lang w:val="en-GB"/>
        </w:rPr>
        <w:t>reasoned proposal</w:t>
      </w:r>
      <w:r w:rsidR="00586014" w:rsidRPr="003E3613">
        <w:rPr>
          <w:rFonts w:ascii="Book Antiqua" w:hAnsi="Book Antiqua" w:cs="Times New Roman"/>
          <w:bCs/>
          <w:sz w:val="23"/>
          <w:szCs w:val="23"/>
          <w:shd w:val="clear" w:color="auto" w:fill="FFFFFF"/>
          <w:lang w:val="en-GB"/>
        </w:rPr>
        <w:t xml:space="preserve"> or Resolution, respectively</w:t>
      </w:r>
      <w:r w:rsidRPr="003E3613">
        <w:rPr>
          <w:rFonts w:ascii="Book Antiqua" w:hAnsi="Book Antiqua" w:cs="Times New Roman"/>
          <w:bCs/>
          <w:sz w:val="23"/>
          <w:szCs w:val="23"/>
          <w:shd w:val="clear" w:color="auto" w:fill="FFFFFF"/>
          <w:lang w:val="en-GB"/>
        </w:rPr>
        <w:t xml:space="preserve">). </w:t>
      </w:r>
    </w:p>
    <w:p w14:paraId="4F6F0186" w14:textId="77777777" w:rsidR="006940F4" w:rsidRPr="003E3613" w:rsidRDefault="006940F4" w:rsidP="00204696">
      <w:pPr>
        <w:spacing w:after="0"/>
        <w:jc w:val="both"/>
        <w:rPr>
          <w:rFonts w:ascii="Book Antiqua" w:hAnsi="Book Antiqua" w:cs="Times New Roman"/>
          <w:bCs/>
          <w:sz w:val="23"/>
          <w:szCs w:val="23"/>
          <w:shd w:val="clear" w:color="auto" w:fill="FFFFFF"/>
          <w:lang w:val="en-GB"/>
        </w:rPr>
      </w:pPr>
    </w:p>
    <w:p w14:paraId="709A4F7D" w14:textId="27FB776A" w:rsidR="006940F4" w:rsidRPr="003E3613" w:rsidRDefault="009E0F06" w:rsidP="00204696">
      <w:pPr>
        <w:spacing w:after="0"/>
        <w:jc w:val="both"/>
        <w:rPr>
          <w:rFonts w:ascii="Book Antiqua" w:hAnsi="Book Antiqua" w:cs="Times New Roman"/>
          <w:color w:val="000000"/>
          <w:sz w:val="23"/>
          <w:szCs w:val="23"/>
          <w:lang w:val="en-GB"/>
        </w:rPr>
      </w:pPr>
      <w:r w:rsidRPr="003E3613">
        <w:rPr>
          <w:rFonts w:ascii="Book Antiqua" w:hAnsi="Book Antiqua" w:cs="Times New Roman"/>
          <w:bCs/>
          <w:sz w:val="23"/>
          <w:szCs w:val="23"/>
          <w:shd w:val="clear" w:color="auto" w:fill="FFFFFF"/>
          <w:lang w:val="en-GB"/>
        </w:rPr>
        <w:t>T</w:t>
      </w:r>
      <w:r w:rsidR="006940F4" w:rsidRPr="003E3613">
        <w:rPr>
          <w:rFonts w:ascii="Book Antiqua" w:hAnsi="Book Antiqua" w:cs="Times New Roman"/>
          <w:bCs/>
          <w:sz w:val="23"/>
          <w:szCs w:val="23"/>
          <w:shd w:val="clear" w:color="auto" w:fill="FFFFFF"/>
          <w:lang w:val="en-GB"/>
        </w:rPr>
        <w:t xml:space="preserve">he procedure </w:t>
      </w:r>
      <w:r w:rsidRPr="003E3613">
        <w:rPr>
          <w:rFonts w:ascii="Book Antiqua" w:hAnsi="Book Antiqua" w:cs="Times New Roman"/>
          <w:bCs/>
          <w:sz w:val="23"/>
          <w:szCs w:val="23"/>
          <w:shd w:val="clear" w:color="auto" w:fill="FFFFFF"/>
          <w:lang w:val="en-GB"/>
        </w:rPr>
        <w:t xml:space="preserve">now </w:t>
      </w:r>
      <w:r w:rsidR="006940F4" w:rsidRPr="003E3613">
        <w:rPr>
          <w:rFonts w:ascii="Book Antiqua" w:hAnsi="Book Antiqua" w:cs="Times New Roman"/>
          <w:bCs/>
          <w:sz w:val="23"/>
          <w:szCs w:val="23"/>
          <w:shd w:val="clear" w:color="auto" w:fill="FFFFFF"/>
          <w:lang w:val="en-GB"/>
        </w:rPr>
        <w:t>continues in the Council of the European Union</w:t>
      </w:r>
      <w:r w:rsidR="00A64625" w:rsidRPr="003E3613">
        <w:rPr>
          <w:rFonts w:ascii="Book Antiqua" w:hAnsi="Book Antiqua" w:cs="Times New Roman"/>
          <w:bCs/>
          <w:sz w:val="23"/>
          <w:szCs w:val="23"/>
          <w:shd w:val="clear" w:color="auto" w:fill="FFFFFF"/>
          <w:lang w:val="en-GB"/>
        </w:rPr>
        <w:t xml:space="preserve"> with a hearing conducted according to the modalities adopted by the Council on 18 July 2019</w:t>
      </w:r>
      <w:r w:rsidRPr="003E3613">
        <w:rPr>
          <w:rFonts w:ascii="Book Antiqua" w:hAnsi="Book Antiqua" w:cs="Times New Roman"/>
          <w:bCs/>
          <w:sz w:val="23"/>
          <w:szCs w:val="23"/>
          <w:shd w:val="clear" w:color="auto" w:fill="FFFFFF"/>
          <w:lang w:val="en-GB"/>
        </w:rPr>
        <w:t>.</w:t>
      </w:r>
      <w:r w:rsidR="006940F4" w:rsidRPr="003E3613">
        <w:rPr>
          <w:rFonts w:ascii="Book Antiqua" w:hAnsi="Book Antiqua" w:cs="Times New Roman"/>
          <w:bCs/>
          <w:sz w:val="23"/>
          <w:szCs w:val="23"/>
          <w:shd w:val="clear" w:color="auto" w:fill="FFFFFF"/>
          <w:lang w:val="en-GB"/>
        </w:rPr>
        <w:t xml:space="preserve"> </w:t>
      </w:r>
      <w:r w:rsidR="006940F4" w:rsidRPr="003E3613">
        <w:rPr>
          <w:rFonts w:ascii="Book Antiqua" w:hAnsi="Book Antiqua" w:cs="Times New Roman"/>
          <w:color w:val="000000"/>
          <w:sz w:val="23"/>
          <w:szCs w:val="23"/>
          <w:lang w:val="en-GB"/>
        </w:rPr>
        <w:t>Member States</w:t>
      </w:r>
      <w:r w:rsidRPr="003E3613">
        <w:rPr>
          <w:rFonts w:ascii="Book Antiqua" w:hAnsi="Book Antiqua" w:cs="Times New Roman"/>
          <w:color w:val="000000"/>
          <w:sz w:val="23"/>
          <w:szCs w:val="23"/>
          <w:lang w:val="en-GB"/>
        </w:rPr>
        <w:t xml:space="preserve"> will assess whether there is</w:t>
      </w:r>
      <w:r w:rsidR="006940F4" w:rsidRPr="003E3613">
        <w:rPr>
          <w:rFonts w:ascii="Book Antiqua" w:hAnsi="Book Antiqua" w:cs="Times New Roman"/>
          <w:color w:val="000000"/>
          <w:sz w:val="23"/>
          <w:szCs w:val="23"/>
          <w:lang w:val="en-GB"/>
        </w:rPr>
        <w:t xml:space="preserve"> a clear risk of a serious breach </w:t>
      </w:r>
      <w:r w:rsidR="00D82AE7" w:rsidRPr="003E3613">
        <w:rPr>
          <w:rFonts w:ascii="Book Antiqua" w:hAnsi="Book Antiqua" w:cs="Times New Roman"/>
          <w:color w:val="000000"/>
          <w:sz w:val="23"/>
          <w:szCs w:val="23"/>
          <w:lang w:val="en-GB"/>
        </w:rPr>
        <w:t xml:space="preserve">by Hungary </w:t>
      </w:r>
      <w:r w:rsidR="006940F4" w:rsidRPr="003E3613">
        <w:rPr>
          <w:rFonts w:ascii="Book Antiqua" w:hAnsi="Book Antiqua" w:cs="Times New Roman"/>
          <w:color w:val="000000"/>
          <w:sz w:val="23"/>
          <w:szCs w:val="23"/>
          <w:lang w:val="en-GB"/>
        </w:rPr>
        <w:t xml:space="preserve">of the values of the Union, as stipulated in Article 2 </w:t>
      </w:r>
      <w:r w:rsidR="00992B2D" w:rsidRPr="003E3613">
        <w:rPr>
          <w:rFonts w:ascii="Book Antiqua" w:hAnsi="Book Antiqua" w:cs="Times New Roman"/>
          <w:color w:val="000000"/>
          <w:sz w:val="23"/>
          <w:szCs w:val="23"/>
          <w:lang w:val="en-GB"/>
        </w:rPr>
        <w:t>TEU.</w:t>
      </w:r>
    </w:p>
    <w:p w14:paraId="6AE85822" w14:textId="77777777" w:rsidR="009E0F06" w:rsidRPr="003E3613" w:rsidRDefault="009E0F06" w:rsidP="00204696">
      <w:pPr>
        <w:spacing w:after="0"/>
        <w:jc w:val="both"/>
        <w:rPr>
          <w:rFonts w:ascii="Book Antiqua" w:hAnsi="Book Antiqua" w:cs="Times New Roman"/>
          <w:color w:val="000000"/>
          <w:sz w:val="23"/>
          <w:szCs w:val="23"/>
          <w:lang w:val="en-GB"/>
        </w:rPr>
      </w:pPr>
    </w:p>
    <w:p w14:paraId="6E89F594" w14:textId="046EBAC5" w:rsidR="00C20406" w:rsidRPr="003E3613" w:rsidRDefault="009E0F06" w:rsidP="00204696">
      <w:pPr>
        <w:spacing w:after="0"/>
        <w:jc w:val="both"/>
        <w:rPr>
          <w:rFonts w:ascii="Book Antiqua" w:hAnsi="Book Antiqua" w:cs="Times New Roman"/>
          <w:b/>
          <w:color w:val="000000"/>
          <w:sz w:val="23"/>
          <w:szCs w:val="23"/>
          <w:lang w:val="en-GB"/>
        </w:rPr>
      </w:pPr>
      <w:r w:rsidRPr="003E3613">
        <w:rPr>
          <w:rFonts w:ascii="Book Antiqua" w:hAnsi="Book Antiqua" w:cs="Times New Roman"/>
          <w:color w:val="000000"/>
          <w:sz w:val="23"/>
          <w:szCs w:val="23"/>
          <w:lang w:val="en-GB"/>
        </w:rPr>
        <w:t xml:space="preserve">This information note </w:t>
      </w:r>
      <w:r w:rsidR="00CF3B49" w:rsidRPr="003E3613">
        <w:rPr>
          <w:rFonts w:ascii="Book Antiqua" w:hAnsi="Book Antiqua" w:cs="Times New Roman"/>
          <w:color w:val="000000"/>
          <w:sz w:val="23"/>
          <w:szCs w:val="23"/>
          <w:lang w:val="en-GB"/>
        </w:rPr>
        <w:t xml:space="preserve">is </w:t>
      </w:r>
      <w:r w:rsidR="00CF3B49" w:rsidRPr="003E3613">
        <w:rPr>
          <w:rFonts w:ascii="Book Antiqua" w:hAnsi="Book Antiqua" w:cs="Times New Roman"/>
          <w:b/>
          <w:color w:val="000000"/>
          <w:sz w:val="23"/>
          <w:szCs w:val="23"/>
          <w:lang w:val="en-GB"/>
        </w:rPr>
        <w:t>an updated version of the text submitted to Member States</w:t>
      </w:r>
      <w:r w:rsidR="00937B89" w:rsidRPr="003E3613">
        <w:rPr>
          <w:rFonts w:ascii="Book Antiqua" w:hAnsi="Book Antiqua" w:cs="Times New Roman"/>
          <w:b/>
          <w:color w:val="000000"/>
          <w:sz w:val="23"/>
          <w:szCs w:val="23"/>
          <w:lang w:val="en-GB"/>
        </w:rPr>
        <w:t xml:space="preserve"> at the General Affairs </w:t>
      </w:r>
      <w:r w:rsidR="00114235" w:rsidRPr="003E3613">
        <w:rPr>
          <w:rFonts w:ascii="Book Antiqua" w:hAnsi="Book Antiqua" w:cs="Times New Roman"/>
          <w:b/>
          <w:color w:val="000000"/>
          <w:sz w:val="23"/>
          <w:szCs w:val="23"/>
          <w:lang w:val="en-GB"/>
        </w:rPr>
        <w:t>Council meeting on 12 November 2018</w:t>
      </w:r>
      <w:r w:rsidR="00CF3B49" w:rsidRPr="003E3613">
        <w:rPr>
          <w:rFonts w:ascii="Book Antiqua" w:hAnsi="Book Antiqua" w:cs="Times New Roman"/>
          <w:color w:val="000000"/>
          <w:sz w:val="23"/>
          <w:szCs w:val="23"/>
          <w:lang w:val="en-GB"/>
        </w:rPr>
        <w:t xml:space="preserve">, and </w:t>
      </w:r>
      <w:r w:rsidR="00114235" w:rsidRPr="003E3613">
        <w:rPr>
          <w:rFonts w:ascii="Book Antiqua" w:hAnsi="Book Antiqua" w:cs="Times New Roman"/>
          <w:color w:val="000000"/>
          <w:sz w:val="23"/>
          <w:szCs w:val="23"/>
          <w:lang w:val="en-GB"/>
        </w:rPr>
        <w:t xml:space="preserve">it </w:t>
      </w:r>
      <w:r w:rsidRPr="003E3613">
        <w:rPr>
          <w:rFonts w:ascii="Book Antiqua" w:hAnsi="Book Antiqua" w:cs="Times New Roman"/>
          <w:color w:val="000000"/>
          <w:sz w:val="23"/>
          <w:szCs w:val="23"/>
          <w:lang w:val="en-GB"/>
        </w:rPr>
        <w:t xml:space="preserve">provides a </w:t>
      </w:r>
      <w:r w:rsidRPr="003E3613">
        <w:rPr>
          <w:rFonts w:ascii="Book Antiqua" w:hAnsi="Book Antiqua" w:cs="Times New Roman"/>
          <w:b/>
          <w:color w:val="000000"/>
          <w:sz w:val="23"/>
          <w:szCs w:val="23"/>
          <w:lang w:val="en-GB"/>
        </w:rPr>
        <w:t>comprehensive and detailed overview of all issues</w:t>
      </w:r>
      <w:r w:rsidR="00CF3B49" w:rsidRPr="003E3613">
        <w:rPr>
          <w:rFonts w:ascii="Book Antiqua" w:hAnsi="Book Antiqua" w:cs="Times New Roman"/>
          <w:color w:val="000000"/>
          <w:sz w:val="23"/>
          <w:szCs w:val="23"/>
          <w:lang w:val="en-GB"/>
        </w:rPr>
        <w:t xml:space="preserve"> raised by </w:t>
      </w:r>
      <w:r w:rsidR="00983EC7" w:rsidRPr="003E3613">
        <w:rPr>
          <w:rFonts w:ascii="Book Antiqua" w:hAnsi="Book Antiqua" w:cs="Times New Roman"/>
          <w:color w:val="000000"/>
          <w:sz w:val="23"/>
          <w:szCs w:val="23"/>
          <w:lang w:val="en-GB"/>
        </w:rPr>
        <w:t xml:space="preserve">the </w:t>
      </w:r>
      <w:r w:rsidR="00CF3B49" w:rsidRPr="003E3613">
        <w:rPr>
          <w:rFonts w:ascii="Book Antiqua" w:hAnsi="Book Antiqua" w:cs="Times New Roman"/>
          <w:color w:val="000000"/>
          <w:sz w:val="23"/>
          <w:szCs w:val="23"/>
          <w:lang w:val="en-GB"/>
        </w:rPr>
        <w:t>European Parliament’s reasoned proposal. It is intended to serve as the basis of discussions at the hearing of Hungary according to Article 7(1) TEU in the Council scheduled for 16 September 2019.</w:t>
      </w:r>
    </w:p>
    <w:p w14:paraId="3D9F17E4" w14:textId="77777777" w:rsidR="00C20406" w:rsidRPr="003E3613" w:rsidRDefault="00C20406" w:rsidP="00204696">
      <w:pPr>
        <w:spacing w:after="0"/>
        <w:jc w:val="both"/>
        <w:rPr>
          <w:rFonts w:ascii="Book Antiqua" w:hAnsi="Book Antiqua" w:cs="Times New Roman"/>
          <w:color w:val="000000"/>
          <w:sz w:val="23"/>
          <w:szCs w:val="23"/>
          <w:lang w:val="en-GB"/>
        </w:rPr>
      </w:pPr>
    </w:p>
    <w:p w14:paraId="33D8D1E2" w14:textId="77777777" w:rsidR="009E0F06" w:rsidRPr="003E3613" w:rsidRDefault="00CF3B49" w:rsidP="00204696">
      <w:pPr>
        <w:spacing w:after="0"/>
        <w:jc w:val="both"/>
        <w:rPr>
          <w:rFonts w:ascii="Book Antiqua" w:hAnsi="Book Antiqua" w:cs="Times New Roman"/>
          <w:color w:val="000000"/>
          <w:sz w:val="23"/>
          <w:szCs w:val="23"/>
          <w:lang w:val="en-GB"/>
        </w:rPr>
      </w:pPr>
      <w:r w:rsidRPr="003E3613">
        <w:rPr>
          <w:rFonts w:ascii="Book Antiqua" w:hAnsi="Book Antiqua" w:cs="Times New Roman"/>
          <w:color w:val="000000"/>
          <w:sz w:val="23"/>
          <w:szCs w:val="23"/>
          <w:lang w:val="en-GB"/>
        </w:rPr>
        <w:t>At the hearing, Hungary is prepared to provide any clarification or additional information requested by Member States that falls under the scope of the procedure.</w:t>
      </w:r>
    </w:p>
    <w:p w14:paraId="1FF8A1CC" w14:textId="77777777" w:rsidR="00C20406" w:rsidRPr="003E3613" w:rsidRDefault="00C20406" w:rsidP="00204696">
      <w:pPr>
        <w:spacing w:after="0" w:line="240" w:lineRule="auto"/>
        <w:jc w:val="both"/>
        <w:rPr>
          <w:rFonts w:ascii="Book Antiqua" w:hAnsi="Book Antiqua" w:cs="Times New Roman"/>
          <w:color w:val="000000"/>
          <w:sz w:val="23"/>
          <w:szCs w:val="23"/>
          <w:lang w:val="en-GB"/>
        </w:rPr>
      </w:pPr>
    </w:p>
    <w:p w14:paraId="2063C8A8" w14:textId="77777777" w:rsidR="00C20406" w:rsidRPr="003E3613" w:rsidRDefault="00C20406" w:rsidP="00204696">
      <w:pPr>
        <w:spacing w:after="0" w:line="240" w:lineRule="auto"/>
        <w:jc w:val="center"/>
        <w:rPr>
          <w:rFonts w:ascii="Book Antiqua" w:hAnsi="Book Antiqua" w:cs="Times New Roman"/>
          <w:bCs/>
          <w:sz w:val="23"/>
          <w:szCs w:val="23"/>
          <w:shd w:val="clear" w:color="auto" w:fill="FFFFFF"/>
          <w:lang w:val="en-GB"/>
        </w:rPr>
      </w:pPr>
      <w:r w:rsidRPr="003E3613">
        <w:rPr>
          <w:rFonts w:ascii="Book Antiqua" w:hAnsi="Book Antiqua" w:cs="Times New Roman"/>
          <w:color w:val="000000"/>
          <w:sz w:val="23"/>
          <w:szCs w:val="23"/>
          <w:lang w:val="en-GB"/>
        </w:rPr>
        <w:t>***</w:t>
      </w:r>
    </w:p>
    <w:p w14:paraId="2F159BB1" w14:textId="77777777" w:rsidR="006940F4" w:rsidRPr="003E3613" w:rsidRDefault="006940F4" w:rsidP="00204696">
      <w:pPr>
        <w:spacing w:after="0" w:line="240" w:lineRule="auto"/>
        <w:jc w:val="both"/>
        <w:rPr>
          <w:rFonts w:ascii="Book Antiqua" w:hAnsi="Book Antiqua" w:cs="Times New Roman"/>
          <w:b/>
          <w:bCs/>
          <w:sz w:val="23"/>
          <w:szCs w:val="23"/>
          <w:shd w:val="clear" w:color="auto" w:fill="FFFFFF"/>
          <w:lang w:val="en-GB"/>
        </w:rPr>
      </w:pPr>
    </w:p>
    <w:p w14:paraId="6B0293CA" w14:textId="77777777" w:rsidR="006940F4" w:rsidRPr="003E3613" w:rsidRDefault="00C20406"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T</w:t>
      </w:r>
      <w:r w:rsidR="006940F4" w:rsidRPr="003E3613">
        <w:rPr>
          <w:rFonts w:ascii="Book Antiqua" w:hAnsi="Book Antiqua" w:cs="Times New Roman"/>
          <w:sz w:val="23"/>
          <w:szCs w:val="23"/>
          <w:lang w:val="en-GB"/>
        </w:rPr>
        <w:t>he Hungarian</w:t>
      </w:r>
      <w:r w:rsidRPr="003E3613">
        <w:rPr>
          <w:rFonts w:ascii="Book Antiqua" w:hAnsi="Book Antiqua" w:cs="Times New Roman"/>
          <w:sz w:val="23"/>
          <w:szCs w:val="23"/>
          <w:lang w:val="en-GB"/>
        </w:rPr>
        <w:t xml:space="preserve"> Government considers</w:t>
      </w:r>
      <w:r w:rsidR="006940F4" w:rsidRPr="003E3613">
        <w:rPr>
          <w:rFonts w:ascii="Book Antiqua" w:hAnsi="Book Antiqua" w:cs="Times New Roman"/>
          <w:sz w:val="23"/>
          <w:szCs w:val="23"/>
          <w:lang w:val="en-GB"/>
        </w:rPr>
        <w:t xml:space="preserve"> that the method of calculating the </w:t>
      </w:r>
      <w:r w:rsidR="00D82AE7" w:rsidRPr="003E3613">
        <w:rPr>
          <w:rFonts w:ascii="Book Antiqua" w:hAnsi="Book Antiqua" w:cs="Times New Roman"/>
          <w:sz w:val="23"/>
          <w:szCs w:val="23"/>
          <w:lang w:val="en-GB"/>
        </w:rPr>
        <w:t xml:space="preserve">votes </w:t>
      </w:r>
      <w:r w:rsidR="006940F4" w:rsidRPr="003E3613">
        <w:rPr>
          <w:rFonts w:ascii="Book Antiqua" w:hAnsi="Book Antiqua" w:cs="Times New Roman"/>
          <w:sz w:val="23"/>
          <w:szCs w:val="23"/>
          <w:lang w:val="en-GB"/>
        </w:rPr>
        <w:t>on the Resolution constitutes a manifest breach of</w:t>
      </w:r>
      <w:r w:rsidRPr="003E3613">
        <w:rPr>
          <w:rFonts w:ascii="Book Antiqua" w:hAnsi="Book Antiqua" w:cs="Times New Roman"/>
          <w:sz w:val="23"/>
          <w:szCs w:val="23"/>
          <w:lang w:val="en-GB"/>
        </w:rPr>
        <w:t xml:space="preserve"> essential procedural rules, therefore </w:t>
      </w:r>
      <w:r w:rsidRPr="003E3613">
        <w:rPr>
          <w:rFonts w:ascii="Book Antiqua" w:hAnsi="Book Antiqua" w:cs="Times New Roman"/>
          <w:b/>
          <w:sz w:val="23"/>
          <w:szCs w:val="23"/>
          <w:lang w:val="en-GB"/>
        </w:rPr>
        <w:t>the Resolution is</w:t>
      </w:r>
      <w:r w:rsidR="006940F4" w:rsidRPr="003E3613">
        <w:rPr>
          <w:rFonts w:ascii="Book Antiqua" w:hAnsi="Book Antiqua" w:cs="Times New Roman"/>
          <w:b/>
          <w:sz w:val="23"/>
          <w:szCs w:val="23"/>
          <w:lang w:val="en-GB"/>
        </w:rPr>
        <w:t xml:space="preserve"> </w:t>
      </w:r>
      <w:r w:rsidR="00983EC7" w:rsidRPr="003E3613">
        <w:rPr>
          <w:rFonts w:ascii="Book Antiqua" w:hAnsi="Book Antiqua" w:cs="Times New Roman"/>
          <w:b/>
          <w:sz w:val="23"/>
          <w:szCs w:val="23"/>
          <w:lang w:val="en-GB"/>
        </w:rPr>
        <w:t xml:space="preserve">null and </w:t>
      </w:r>
      <w:r w:rsidR="006940F4" w:rsidRPr="003E3613">
        <w:rPr>
          <w:rFonts w:ascii="Book Antiqua" w:hAnsi="Book Antiqua" w:cs="Times New Roman"/>
          <w:b/>
          <w:sz w:val="23"/>
          <w:szCs w:val="23"/>
          <w:lang w:val="en-GB"/>
        </w:rPr>
        <w:t>void</w:t>
      </w:r>
      <w:r w:rsidRPr="003E3613">
        <w:rPr>
          <w:rFonts w:ascii="Book Antiqua" w:hAnsi="Book Antiqua" w:cs="Times New Roman"/>
          <w:sz w:val="23"/>
          <w:szCs w:val="23"/>
          <w:lang w:val="en-GB"/>
        </w:rPr>
        <w:t>. Accordingly</w:t>
      </w:r>
      <w:r w:rsidR="006940F4" w:rsidRPr="003E3613">
        <w:rPr>
          <w:rFonts w:ascii="Book Antiqua" w:hAnsi="Book Antiqua" w:cs="Times New Roman"/>
          <w:sz w:val="23"/>
          <w:szCs w:val="23"/>
          <w:lang w:val="en-GB"/>
        </w:rPr>
        <w:t xml:space="preserve">, the Hungarian Government has brought </w:t>
      </w:r>
      <w:r w:rsidR="005C3002" w:rsidRPr="003E3613">
        <w:rPr>
          <w:rFonts w:ascii="Book Antiqua" w:hAnsi="Book Antiqua" w:cs="Times New Roman"/>
          <w:sz w:val="23"/>
          <w:szCs w:val="23"/>
          <w:lang w:val="en-GB"/>
        </w:rPr>
        <w:t>an action before</w:t>
      </w:r>
      <w:r w:rsidR="006940F4" w:rsidRPr="003E3613">
        <w:rPr>
          <w:rFonts w:ascii="Book Antiqua" w:hAnsi="Book Antiqua" w:cs="Times New Roman"/>
          <w:sz w:val="23"/>
          <w:szCs w:val="23"/>
          <w:lang w:val="en-GB"/>
        </w:rPr>
        <w:t xml:space="preserve"> the Court of Justice of the European Union seeking for </w:t>
      </w:r>
      <w:r w:rsidR="00D82AE7" w:rsidRPr="003E3613">
        <w:rPr>
          <w:rFonts w:ascii="Book Antiqua" w:hAnsi="Book Antiqua" w:cs="Times New Roman"/>
          <w:sz w:val="23"/>
          <w:szCs w:val="23"/>
          <w:lang w:val="en-GB"/>
        </w:rPr>
        <w:t xml:space="preserve">the </w:t>
      </w:r>
      <w:r w:rsidR="006940F4" w:rsidRPr="003E3613">
        <w:rPr>
          <w:rFonts w:ascii="Book Antiqua" w:hAnsi="Book Antiqua" w:cs="Times New Roman"/>
          <w:sz w:val="23"/>
          <w:szCs w:val="23"/>
          <w:lang w:val="en-GB"/>
        </w:rPr>
        <w:t>annulment of the Resolution</w:t>
      </w:r>
      <w:r w:rsidR="00221CD2" w:rsidRPr="003E3613">
        <w:rPr>
          <w:rFonts w:ascii="Book Antiqua" w:hAnsi="Book Antiqua" w:cs="Times New Roman"/>
          <w:sz w:val="23"/>
          <w:szCs w:val="23"/>
          <w:lang w:val="en-GB"/>
        </w:rPr>
        <w:t xml:space="preserve"> (Case C-650/18, pending)</w:t>
      </w:r>
      <w:r w:rsidR="006940F4" w:rsidRPr="003E3613">
        <w:rPr>
          <w:rFonts w:ascii="Book Antiqua" w:hAnsi="Book Antiqua" w:cs="Times New Roman"/>
          <w:sz w:val="23"/>
          <w:szCs w:val="23"/>
          <w:lang w:val="en-GB"/>
        </w:rPr>
        <w:t xml:space="preserve">. Thus, the validity of the Resolution is to be decided by the Court of Justice of the European Union. In its action Hungary </w:t>
      </w:r>
      <w:r w:rsidR="00D82AE7" w:rsidRPr="003E3613">
        <w:rPr>
          <w:rFonts w:ascii="Book Antiqua" w:hAnsi="Book Antiqua" w:cs="Times New Roman"/>
          <w:sz w:val="23"/>
          <w:szCs w:val="23"/>
          <w:lang w:val="en-GB"/>
        </w:rPr>
        <w:t>pleads</w:t>
      </w:r>
      <w:r w:rsidR="00221CD2" w:rsidRPr="003E3613">
        <w:rPr>
          <w:rFonts w:ascii="Book Antiqua" w:hAnsi="Book Antiqua" w:cs="Times New Roman"/>
          <w:sz w:val="23"/>
          <w:szCs w:val="23"/>
          <w:lang w:val="en-GB"/>
        </w:rPr>
        <w:t>,</w:t>
      </w:r>
      <w:r w:rsidR="00221CD2" w:rsidRPr="003E3613">
        <w:rPr>
          <w:rFonts w:ascii="Book Antiqua" w:hAnsi="Book Antiqua" w:cs="Times New Roman"/>
          <w:i/>
          <w:sz w:val="23"/>
          <w:szCs w:val="23"/>
          <w:lang w:val="en-GB"/>
        </w:rPr>
        <w:t xml:space="preserve"> inter alia</w:t>
      </w:r>
      <w:r w:rsidR="00221CD2" w:rsidRPr="003E3613">
        <w:rPr>
          <w:rFonts w:ascii="Book Antiqua" w:hAnsi="Book Antiqua" w:cs="Times New Roman"/>
          <w:sz w:val="23"/>
          <w:szCs w:val="23"/>
          <w:lang w:val="en-GB"/>
        </w:rPr>
        <w:t>,</w:t>
      </w:r>
      <w:r w:rsidR="00D82AE7" w:rsidRPr="003E3613">
        <w:rPr>
          <w:rFonts w:ascii="Book Antiqua" w:hAnsi="Book Antiqua" w:cs="Times New Roman"/>
          <w:sz w:val="23"/>
          <w:szCs w:val="23"/>
          <w:lang w:val="en-GB"/>
        </w:rPr>
        <w:t xml:space="preserve"> </w:t>
      </w:r>
      <w:r w:rsidR="006940F4" w:rsidRPr="003E3613">
        <w:rPr>
          <w:rFonts w:ascii="Book Antiqua" w:hAnsi="Book Antiqua" w:cs="Times New Roman"/>
          <w:sz w:val="23"/>
          <w:szCs w:val="23"/>
          <w:lang w:val="en-GB"/>
        </w:rPr>
        <w:t>that the European Parliament has breached Article 354(4) TFEU</w:t>
      </w:r>
      <w:r w:rsidR="00D82AE7" w:rsidRPr="003E3613">
        <w:rPr>
          <w:rFonts w:ascii="Book Antiqua" w:hAnsi="Book Antiqua" w:cs="Times New Roman"/>
          <w:sz w:val="23"/>
          <w:szCs w:val="23"/>
          <w:lang w:val="en-GB"/>
        </w:rPr>
        <w:t>,</w:t>
      </w:r>
      <w:r w:rsidR="006940F4" w:rsidRPr="003E3613">
        <w:rPr>
          <w:rFonts w:ascii="Book Antiqua" w:hAnsi="Book Antiqua" w:cs="Times New Roman"/>
          <w:sz w:val="23"/>
          <w:szCs w:val="23"/>
          <w:lang w:val="en-GB"/>
        </w:rPr>
        <w:t xml:space="preserve"> as well as Article 178(3) of its </w:t>
      </w:r>
      <w:r w:rsidR="00D82AE7" w:rsidRPr="003E3613">
        <w:rPr>
          <w:rFonts w:ascii="Book Antiqua" w:hAnsi="Book Antiqua" w:cs="Times New Roman"/>
          <w:sz w:val="23"/>
          <w:szCs w:val="23"/>
          <w:lang w:val="en-GB"/>
        </w:rPr>
        <w:t xml:space="preserve">own </w:t>
      </w:r>
      <w:r w:rsidR="006940F4" w:rsidRPr="003E3613">
        <w:rPr>
          <w:rFonts w:ascii="Book Antiqua" w:hAnsi="Book Antiqua" w:cs="Times New Roman"/>
          <w:sz w:val="23"/>
          <w:szCs w:val="23"/>
          <w:lang w:val="en-GB"/>
        </w:rPr>
        <w:t>Rules of Procedure by excluding abstentions when calculating the votes cast. If abstentions had been counted as votes cast, the Resolution would not have been adopted.</w:t>
      </w:r>
    </w:p>
    <w:p w14:paraId="5CEF4D2A" w14:textId="7F793A6C" w:rsidR="006940F4" w:rsidRPr="003E3613" w:rsidRDefault="00C20406" w:rsidP="007E19D5">
      <w:pPr>
        <w:spacing w:after="0"/>
        <w:jc w:val="both"/>
        <w:rPr>
          <w:rFonts w:ascii="Book Antiqua" w:hAnsi="Book Antiqua" w:cs="Times New Roman"/>
          <w:b/>
          <w:sz w:val="23"/>
          <w:szCs w:val="23"/>
          <w:lang w:val="en-GB"/>
        </w:rPr>
      </w:pPr>
      <w:r w:rsidRPr="003E3613">
        <w:rPr>
          <w:rFonts w:ascii="Book Antiqua" w:hAnsi="Book Antiqua" w:cs="Times New Roman"/>
          <w:sz w:val="23"/>
          <w:szCs w:val="23"/>
          <w:lang w:val="en-GB"/>
        </w:rPr>
        <w:t>Notwithstanding the legal reservations, the Hungarian Government, in the spir</w:t>
      </w:r>
      <w:r w:rsidR="00090251" w:rsidRPr="003E3613">
        <w:rPr>
          <w:rFonts w:ascii="Book Antiqua" w:hAnsi="Book Antiqua" w:cs="Times New Roman"/>
          <w:sz w:val="23"/>
          <w:szCs w:val="23"/>
          <w:lang w:val="en-GB"/>
        </w:rPr>
        <w:t xml:space="preserve">it of </w:t>
      </w:r>
      <w:r w:rsidR="00763919" w:rsidRPr="003E3613">
        <w:rPr>
          <w:rFonts w:ascii="Book Antiqua" w:hAnsi="Book Antiqua" w:cs="Times New Roman"/>
          <w:b/>
          <w:sz w:val="23"/>
          <w:szCs w:val="23"/>
          <w:lang w:val="en-GB"/>
        </w:rPr>
        <w:t>sincere</w:t>
      </w:r>
      <w:r w:rsidR="00090251" w:rsidRPr="003E3613">
        <w:rPr>
          <w:rFonts w:ascii="Book Antiqua" w:hAnsi="Book Antiqua" w:cs="Times New Roman"/>
          <w:b/>
          <w:sz w:val="23"/>
          <w:szCs w:val="23"/>
          <w:lang w:val="en-GB"/>
        </w:rPr>
        <w:t xml:space="preserve"> cooperation</w:t>
      </w:r>
      <w:r w:rsidR="00090251" w:rsidRPr="003E3613">
        <w:rPr>
          <w:rFonts w:ascii="Book Antiqua" w:hAnsi="Book Antiqua" w:cs="Times New Roman"/>
          <w:sz w:val="23"/>
          <w:szCs w:val="23"/>
          <w:lang w:val="en-GB"/>
        </w:rPr>
        <w:t>, constru</w:t>
      </w:r>
      <w:r w:rsidRPr="003E3613">
        <w:rPr>
          <w:rFonts w:ascii="Book Antiqua" w:hAnsi="Book Antiqua" w:cs="Times New Roman"/>
          <w:sz w:val="23"/>
          <w:szCs w:val="23"/>
          <w:lang w:val="en-GB"/>
        </w:rPr>
        <w:t xml:space="preserve">ctively participates in the procedure pursuant </w:t>
      </w:r>
      <w:r w:rsidR="00090251" w:rsidRPr="003E3613">
        <w:rPr>
          <w:rFonts w:ascii="Book Antiqua" w:hAnsi="Book Antiqua" w:cs="Times New Roman"/>
          <w:sz w:val="23"/>
          <w:szCs w:val="23"/>
          <w:lang w:val="en-GB"/>
        </w:rPr>
        <w:t xml:space="preserve">to </w:t>
      </w:r>
      <w:r w:rsidRPr="003E3613">
        <w:rPr>
          <w:rFonts w:ascii="Book Antiqua" w:hAnsi="Book Antiqua" w:cs="Times New Roman"/>
          <w:sz w:val="23"/>
          <w:szCs w:val="23"/>
          <w:lang w:val="en-GB"/>
        </w:rPr>
        <w:t>Art</w:t>
      </w:r>
      <w:r w:rsidR="00983EC7" w:rsidRPr="003E3613">
        <w:rPr>
          <w:rFonts w:ascii="Book Antiqua" w:hAnsi="Book Antiqua" w:cs="Times New Roman"/>
          <w:sz w:val="23"/>
          <w:szCs w:val="23"/>
          <w:lang w:val="en-GB"/>
        </w:rPr>
        <w:t>icle</w:t>
      </w:r>
      <w:r w:rsidRPr="003E3613">
        <w:rPr>
          <w:rFonts w:ascii="Book Antiqua" w:hAnsi="Book Antiqua" w:cs="Times New Roman"/>
          <w:sz w:val="23"/>
          <w:szCs w:val="23"/>
          <w:lang w:val="en-GB"/>
        </w:rPr>
        <w:t xml:space="preserve"> 7(1) TEU </w:t>
      </w:r>
      <w:r w:rsidR="00090251" w:rsidRPr="003E3613">
        <w:rPr>
          <w:rFonts w:ascii="Book Antiqua" w:hAnsi="Book Antiqua" w:cs="Times New Roman"/>
          <w:sz w:val="23"/>
          <w:szCs w:val="23"/>
          <w:lang w:val="en-GB"/>
        </w:rPr>
        <w:t xml:space="preserve">in order to </w:t>
      </w:r>
      <w:r w:rsidR="00090251" w:rsidRPr="003E3613">
        <w:rPr>
          <w:rFonts w:ascii="Book Antiqua" w:hAnsi="Book Antiqua" w:cs="Times New Roman"/>
          <w:b/>
          <w:sz w:val="23"/>
          <w:szCs w:val="23"/>
          <w:lang w:val="en-GB"/>
        </w:rPr>
        <w:t>facilitate its timely closure</w:t>
      </w:r>
      <w:r w:rsidR="00090251" w:rsidRPr="003E3613">
        <w:rPr>
          <w:rFonts w:ascii="Book Antiqua" w:hAnsi="Book Antiqua" w:cs="Times New Roman"/>
          <w:sz w:val="23"/>
          <w:szCs w:val="23"/>
          <w:lang w:val="en-GB"/>
        </w:rPr>
        <w:t>.</w:t>
      </w:r>
      <w:r w:rsidR="00114235" w:rsidRPr="003E3613">
        <w:rPr>
          <w:rFonts w:ascii="Book Antiqua" w:hAnsi="Book Antiqua" w:cs="Times New Roman"/>
          <w:sz w:val="23"/>
          <w:szCs w:val="23"/>
          <w:lang w:val="en-GB"/>
        </w:rPr>
        <w:t xml:space="preserve"> </w:t>
      </w:r>
    </w:p>
    <w:p w14:paraId="63701F4B" w14:textId="77777777" w:rsidR="00090251" w:rsidRPr="003E3613" w:rsidRDefault="00090251" w:rsidP="00204696">
      <w:pPr>
        <w:spacing w:after="0" w:line="240" w:lineRule="auto"/>
        <w:jc w:val="center"/>
        <w:rPr>
          <w:rFonts w:ascii="Book Antiqua" w:hAnsi="Book Antiqua" w:cs="Times New Roman"/>
          <w:sz w:val="23"/>
          <w:szCs w:val="23"/>
          <w:lang w:val="en-GB"/>
        </w:rPr>
      </w:pPr>
      <w:r w:rsidRPr="003E3613">
        <w:rPr>
          <w:rFonts w:ascii="Book Antiqua" w:hAnsi="Book Antiqua" w:cs="Times New Roman"/>
          <w:sz w:val="23"/>
          <w:szCs w:val="23"/>
          <w:lang w:val="en-GB"/>
        </w:rPr>
        <w:t>***</w:t>
      </w:r>
    </w:p>
    <w:p w14:paraId="5F6D74AF" w14:textId="77777777" w:rsidR="006940F4" w:rsidRPr="003E3613" w:rsidRDefault="006940F4" w:rsidP="00204696">
      <w:pPr>
        <w:spacing w:after="0" w:line="240" w:lineRule="auto"/>
        <w:jc w:val="both"/>
        <w:rPr>
          <w:rFonts w:ascii="Book Antiqua" w:hAnsi="Book Antiqua" w:cs="Times New Roman"/>
          <w:bCs/>
          <w:sz w:val="23"/>
          <w:szCs w:val="23"/>
          <w:shd w:val="clear" w:color="auto" w:fill="FFFFFF"/>
          <w:lang w:val="en-GB"/>
        </w:rPr>
      </w:pPr>
    </w:p>
    <w:p w14:paraId="052241C2" w14:textId="46A8D589" w:rsidR="00A60048" w:rsidRPr="003E3613" w:rsidRDefault="003C6124" w:rsidP="00204696">
      <w:pPr>
        <w:spacing w:after="0"/>
        <w:jc w:val="both"/>
        <w:rPr>
          <w:rFonts w:ascii="Book Antiqua" w:hAnsi="Book Antiqua" w:cs="Times New Roman"/>
          <w:sz w:val="23"/>
          <w:szCs w:val="23"/>
          <w:lang w:val="en-GB"/>
        </w:rPr>
      </w:pPr>
      <w:r w:rsidRPr="003E3613">
        <w:rPr>
          <w:rFonts w:ascii="Book Antiqua" w:hAnsi="Book Antiqua" w:cs="Times New Roman"/>
          <w:b/>
          <w:sz w:val="23"/>
          <w:szCs w:val="23"/>
          <w:lang w:val="en-GB"/>
        </w:rPr>
        <w:lastRenderedPageBreak/>
        <w:t xml:space="preserve">It is common ground that the Union is founded on the values enshrined in Article 2 TEU that are common to the Member States, and Hungary is strongly committed to these values. </w:t>
      </w:r>
      <w:r w:rsidR="008001C0" w:rsidRPr="003E3613">
        <w:rPr>
          <w:rFonts w:ascii="Book Antiqua" w:hAnsi="Book Antiqua" w:cs="Times New Roman"/>
          <w:sz w:val="23"/>
          <w:szCs w:val="23"/>
          <w:lang w:val="en-GB"/>
        </w:rPr>
        <w:t>Human dignity,</w:t>
      </w:r>
      <w:r w:rsidR="008001C0" w:rsidRPr="003E3613">
        <w:rPr>
          <w:rFonts w:ascii="Book Antiqua" w:hAnsi="Book Antiqua" w:cs="Times New Roman"/>
          <w:b/>
          <w:sz w:val="23"/>
          <w:szCs w:val="23"/>
          <w:lang w:val="en-GB"/>
        </w:rPr>
        <w:t xml:space="preserve"> </w:t>
      </w:r>
      <w:r w:rsidR="008001C0" w:rsidRPr="003E3613">
        <w:rPr>
          <w:rFonts w:ascii="Book Antiqua" w:hAnsi="Book Antiqua" w:cs="Times New Roman"/>
          <w:sz w:val="23"/>
          <w:szCs w:val="23"/>
          <w:lang w:val="en-GB"/>
        </w:rPr>
        <w:t>d</w:t>
      </w:r>
      <w:r w:rsidRPr="003E3613">
        <w:rPr>
          <w:rFonts w:ascii="Book Antiqua" w:hAnsi="Book Antiqua" w:cs="Times New Roman"/>
          <w:sz w:val="23"/>
          <w:szCs w:val="23"/>
          <w:lang w:val="en-GB"/>
        </w:rPr>
        <w:t>emocracy</w:t>
      </w:r>
      <w:r w:rsidR="008001C0" w:rsidRPr="003E3613">
        <w:rPr>
          <w:rFonts w:ascii="Book Antiqua" w:hAnsi="Book Antiqua" w:cs="Times New Roman"/>
          <w:sz w:val="23"/>
          <w:szCs w:val="23"/>
          <w:lang w:val="en-GB"/>
        </w:rPr>
        <w:t>, rule of law</w:t>
      </w:r>
      <w:r w:rsidRPr="003E3613">
        <w:rPr>
          <w:rFonts w:ascii="Book Antiqua" w:hAnsi="Book Antiqua" w:cs="Times New Roman"/>
          <w:sz w:val="23"/>
          <w:szCs w:val="23"/>
          <w:lang w:val="en-GB"/>
        </w:rPr>
        <w:t xml:space="preserve">, </w:t>
      </w:r>
      <w:r w:rsidR="008001C0" w:rsidRPr="003E3613">
        <w:rPr>
          <w:rFonts w:ascii="Book Antiqua" w:hAnsi="Book Antiqua" w:cs="Times New Roman"/>
          <w:sz w:val="23"/>
          <w:szCs w:val="23"/>
          <w:lang w:val="en-GB"/>
        </w:rPr>
        <w:t xml:space="preserve">equality, </w:t>
      </w:r>
      <w:r w:rsidRPr="003E3613">
        <w:rPr>
          <w:rFonts w:ascii="Book Antiqua" w:hAnsi="Book Antiqua" w:cs="Times New Roman"/>
          <w:sz w:val="23"/>
          <w:szCs w:val="23"/>
          <w:lang w:val="en-GB"/>
        </w:rPr>
        <w:t xml:space="preserve">respect for </w:t>
      </w:r>
      <w:r w:rsidR="008001C0" w:rsidRPr="003E3613">
        <w:rPr>
          <w:rFonts w:ascii="Book Antiqua" w:hAnsi="Book Antiqua" w:cs="Times New Roman"/>
          <w:sz w:val="23"/>
          <w:szCs w:val="23"/>
          <w:lang w:val="en-GB"/>
        </w:rPr>
        <w:t>human and minority rights</w:t>
      </w:r>
      <w:r w:rsidRPr="003E3613">
        <w:rPr>
          <w:rFonts w:ascii="Book Antiqua" w:hAnsi="Book Antiqua" w:cs="Times New Roman"/>
          <w:sz w:val="23"/>
          <w:szCs w:val="23"/>
          <w:lang w:val="en-GB"/>
        </w:rPr>
        <w:t xml:space="preserve"> are all values </w:t>
      </w:r>
      <w:r w:rsidR="008001C0" w:rsidRPr="003E3613">
        <w:rPr>
          <w:rFonts w:ascii="Book Antiqua" w:hAnsi="Book Antiqua" w:cs="Times New Roman"/>
          <w:sz w:val="23"/>
          <w:szCs w:val="23"/>
          <w:lang w:val="en-GB"/>
        </w:rPr>
        <w:t xml:space="preserve">that are also </w:t>
      </w:r>
      <w:r w:rsidRPr="003E3613">
        <w:rPr>
          <w:rFonts w:ascii="Book Antiqua" w:hAnsi="Book Antiqua" w:cs="Times New Roman"/>
          <w:sz w:val="23"/>
          <w:szCs w:val="23"/>
          <w:lang w:val="en-GB"/>
        </w:rPr>
        <w:t xml:space="preserve">enshrined in the </w:t>
      </w:r>
      <w:r w:rsidRPr="003E3613">
        <w:rPr>
          <w:rFonts w:ascii="Book Antiqua" w:hAnsi="Book Antiqua" w:cs="Times New Roman"/>
          <w:b/>
          <w:sz w:val="23"/>
          <w:szCs w:val="23"/>
          <w:lang w:val="en-GB"/>
        </w:rPr>
        <w:t>Fundamental Law of Hungary</w:t>
      </w:r>
      <w:r w:rsidR="008001C0" w:rsidRPr="003E3613">
        <w:rPr>
          <w:rFonts w:ascii="Book Antiqua" w:hAnsi="Book Antiqua" w:cs="Times New Roman"/>
          <w:b/>
          <w:sz w:val="23"/>
          <w:szCs w:val="23"/>
          <w:lang w:val="en-GB"/>
        </w:rPr>
        <w:t>.</w:t>
      </w:r>
      <w:r w:rsidR="00A60048" w:rsidRPr="003E3613">
        <w:rPr>
          <w:rFonts w:ascii="Book Antiqua" w:hAnsi="Book Antiqua" w:cs="Times New Roman"/>
          <w:b/>
          <w:sz w:val="23"/>
          <w:szCs w:val="23"/>
          <w:lang w:val="en-GB"/>
        </w:rPr>
        <w:t xml:space="preserve"> </w:t>
      </w:r>
      <w:r w:rsidR="008001C0" w:rsidRPr="003E3613">
        <w:rPr>
          <w:rFonts w:ascii="Book Antiqua" w:hAnsi="Book Antiqua" w:cs="Times New Roman"/>
          <w:sz w:val="23"/>
          <w:szCs w:val="23"/>
          <w:lang w:val="en-GB"/>
        </w:rPr>
        <w:t xml:space="preserve">Hungary maintains a complex and effective system of </w:t>
      </w:r>
      <w:r w:rsidR="008001C0" w:rsidRPr="003E3613">
        <w:rPr>
          <w:rFonts w:ascii="Book Antiqua" w:hAnsi="Book Antiqua" w:cs="Times New Roman"/>
          <w:b/>
          <w:sz w:val="23"/>
          <w:szCs w:val="23"/>
          <w:lang w:val="en-GB"/>
        </w:rPr>
        <w:t>domestic institutional guarantees</w:t>
      </w:r>
      <w:r w:rsidR="008001C0" w:rsidRPr="003E3613">
        <w:rPr>
          <w:rFonts w:ascii="Book Antiqua" w:hAnsi="Book Antiqua" w:cs="Times New Roman"/>
          <w:sz w:val="23"/>
          <w:szCs w:val="23"/>
          <w:lang w:val="en-GB"/>
        </w:rPr>
        <w:t xml:space="preserve"> to safeguard these values</w:t>
      </w:r>
      <w:r w:rsidR="00A60048" w:rsidRPr="003E3613">
        <w:rPr>
          <w:rFonts w:ascii="Book Antiqua" w:hAnsi="Book Antiqua" w:cs="Times New Roman"/>
          <w:sz w:val="23"/>
          <w:szCs w:val="23"/>
          <w:lang w:val="en-GB"/>
        </w:rPr>
        <w:t>.</w:t>
      </w:r>
    </w:p>
    <w:p w14:paraId="0E415D56" w14:textId="77777777" w:rsidR="00A60048" w:rsidRPr="003E3613" w:rsidRDefault="00A60048" w:rsidP="00204696">
      <w:pPr>
        <w:spacing w:after="0" w:line="240" w:lineRule="auto"/>
        <w:jc w:val="both"/>
        <w:rPr>
          <w:rFonts w:ascii="Book Antiqua" w:hAnsi="Book Antiqua" w:cs="Times New Roman"/>
          <w:sz w:val="23"/>
          <w:szCs w:val="23"/>
          <w:lang w:val="en-GB"/>
        </w:rPr>
      </w:pPr>
    </w:p>
    <w:p w14:paraId="7CA66602" w14:textId="756D7A0D" w:rsidR="00A60048" w:rsidRPr="003E3613" w:rsidRDefault="00A60048"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The Hungarian Government recalls that Article 4(2) TEU provides that </w:t>
      </w:r>
      <w:r w:rsidRPr="003E3613">
        <w:rPr>
          <w:rFonts w:ascii="Book Antiqua" w:hAnsi="Book Antiqua" w:cs="Times New Roman"/>
          <w:b/>
          <w:sz w:val="23"/>
          <w:szCs w:val="23"/>
          <w:lang w:val="en-GB"/>
        </w:rPr>
        <w:t xml:space="preserve">the Union shall respect the national identities of the Member States, inherent in </w:t>
      </w:r>
      <w:r w:rsidR="00992B2D" w:rsidRPr="003E3613">
        <w:rPr>
          <w:rFonts w:ascii="Book Antiqua" w:hAnsi="Book Antiqua" w:cs="Times New Roman"/>
          <w:b/>
          <w:sz w:val="23"/>
          <w:szCs w:val="23"/>
          <w:lang w:val="en-GB"/>
        </w:rPr>
        <w:t xml:space="preserve">their </w:t>
      </w:r>
      <w:r w:rsidR="00992B2D" w:rsidRPr="003E3613">
        <w:rPr>
          <w:rFonts w:ascii="Book Antiqua" w:hAnsi="Book Antiqua" w:cs="Times New Roman"/>
          <w:sz w:val="23"/>
          <w:szCs w:val="23"/>
          <w:lang w:val="en-GB"/>
        </w:rPr>
        <w:t>constitutional</w:t>
      </w:r>
      <w:r w:rsidRPr="003E3613">
        <w:rPr>
          <w:rFonts w:ascii="Book Antiqua" w:hAnsi="Book Antiqua" w:cs="Times New Roman"/>
          <w:b/>
          <w:sz w:val="23"/>
          <w:szCs w:val="23"/>
          <w:lang w:val="en-GB"/>
        </w:rPr>
        <w:t xml:space="preserve"> structures</w:t>
      </w:r>
      <w:r w:rsidR="00DB1E97" w:rsidRPr="003E3613">
        <w:rPr>
          <w:rFonts w:ascii="Book Antiqua" w:hAnsi="Book Antiqua" w:cs="Times New Roman"/>
          <w:sz w:val="23"/>
          <w:szCs w:val="23"/>
          <w:lang w:val="en-GB"/>
        </w:rPr>
        <w:t>. A</w:t>
      </w:r>
      <w:r w:rsidRPr="003E3613">
        <w:rPr>
          <w:rFonts w:ascii="Book Antiqua" w:hAnsi="Book Antiqua" w:cs="Times New Roman"/>
          <w:sz w:val="23"/>
          <w:szCs w:val="23"/>
          <w:lang w:val="en-GB"/>
        </w:rPr>
        <w:t xml:space="preserve"> general review of constitutional </w:t>
      </w:r>
      <w:r w:rsidR="00992B2D" w:rsidRPr="003E3613">
        <w:rPr>
          <w:rFonts w:ascii="Book Antiqua" w:hAnsi="Book Antiqua" w:cs="Times New Roman"/>
          <w:sz w:val="23"/>
          <w:szCs w:val="23"/>
          <w:lang w:val="en-GB"/>
        </w:rPr>
        <w:t>rules is</w:t>
      </w:r>
      <w:r w:rsidRPr="003E3613">
        <w:rPr>
          <w:rFonts w:ascii="Book Antiqua" w:hAnsi="Book Antiqua" w:cs="Times New Roman"/>
          <w:sz w:val="23"/>
          <w:szCs w:val="23"/>
          <w:lang w:val="en-GB"/>
        </w:rPr>
        <w:t xml:space="preserve"> not among the powers conferred on the Union by Member States.</w:t>
      </w:r>
    </w:p>
    <w:p w14:paraId="16A45CA8" w14:textId="77777777" w:rsidR="00A60048" w:rsidRPr="003E3613" w:rsidRDefault="00A60048" w:rsidP="00204696">
      <w:pPr>
        <w:spacing w:after="0" w:line="240" w:lineRule="auto"/>
        <w:jc w:val="both"/>
        <w:rPr>
          <w:rFonts w:ascii="Book Antiqua" w:hAnsi="Book Antiqua" w:cs="Times New Roman"/>
          <w:sz w:val="23"/>
          <w:szCs w:val="23"/>
          <w:lang w:val="en-GB"/>
        </w:rPr>
      </w:pPr>
    </w:p>
    <w:p w14:paraId="3A834B4F" w14:textId="1BF105D5" w:rsidR="003C6124" w:rsidRPr="003E3613" w:rsidRDefault="00A60048" w:rsidP="00204696">
      <w:pPr>
        <w:spacing w:after="0"/>
        <w:jc w:val="both"/>
        <w:rPr>
          <w:rFonts w:ascii="Book Antiqua" w:hAnsi="Book Antiqua" w:cs="Times New Roman"/>
          <w:b/>
          <w:sz w:val="23"/>
          <w:szCs w:val="23"/>
          <w:lang w:val="en-GB"/>
        </w:rPr>
      </w:pPr>
      <w:r w:rsidRPr="003E3613">
        <w:rPr>
          <w:rFonts w:ascii="Book Antiqua" w:hAnsi="Book Antiqua" w:cs="Times New Roman"/>
          <w:sz w:val="23"/>
          <w:szCs w:val="23"/>
          <w:lang w:val="en-GB"/>
        </w:rPr>
        <w:t>Hungary</w:t>
      </w:r>
      <w:r w:rsidR="008001C0" w:rsidRPr="003E3613">
        <w:rPr>
          <w:rFonts w:ascii="Book Antiqua" w:hAnsi="Book Antiqua" w:cs="Times New Roman"/>
          <w:sz w:val="23"/>
          <w:szCs w:val="23"/>
          <w:lang w:val="en-GB"/>
        </w:rPr>
        <w:t xml:space="preserve"> participates in a number of </w:t>
      </w:r>
      <w:r w:rsidR="008001C0" w:rsidRPr="003E3613">
        <w:rPr>
          <w:rFonts w:ascii="Book Antiqua" w:hAnsi="Book Antiqua" w:cs="Times New Roman"/>
          <w:b/>
          <w:sz w:val="23"/>
          <w:szCs w:val="23"/>
          <w:lang w:val="en-GB"/>
        </w:rPr>
        <w:t>international control and monitoring mechanisms</w:t>
      </w:r>
      <w:r w:rsidR="008001C0" w:rsidRPr="003E3613">
        <w:rPr>
          <w:rFonts w:ascii="Book Antiqua" w:hAnsi="Book Antiqua" w:cs="Times New Roman"/>
          <w:sz w:val="23"/>
          <w:szCs w:val="23"/>
          <w:lang w:val="en-GB"/>
        </w:rPr>
        <w:t xml:space="preserve"> to verify compliance with international obligations</w:t>
      </w:r>
      <w:r w:rsidRPr="003E3613">
        <w:rPr>
          <w:rFonts w:ascii="Book Antiqua" w:hAnsi="Book Antiqua" w:cs="Times New Roman"/>
          <w:sz w:val="23"/>
          <w:szCs w:val="23"/>
          <w:lang w:val="en-GB"/>
        </w:rPr>
        <w:t>, including those related to the respect of the values enshrined in Art</w:t>
      </w:r>
      <w:r w:rsidR="006557A8" w:rsidRPr="003E3613">
        <w:rPr>
          <w:rFonts w:ascii="Book Antiqua" w:hAnsi="Book Antiqua" w:cs="Times New Roman"/>
          <w:sz w:val="23"/>
          <w:szCs w:val="23"/>
          <w:lang w:val="en-GB"/>
        </w:rPr>
        <w:t>icle</w:t>
      </w:r>
      <w:r w:rsidRPr="003E3613">
        <w:rPr>
          <w:rFonts w:ascii="Book Antiqua" w:hAnsi="Book Antiqua" w:cs="Times New Roman"/>
          <w:sz w:val="23"/>
          <w:szCs w:val="23"/>
          <w:lang w:val="en-GB"/>
        </w:rPr>
        <w:t xml:space="preserve"> 2 TEU</w:t>
      </w:r>
      <w:r w:rsidR="008001C0" w:rsidRPr="003E3613">
        <w:rPr>
          <w:rFonts w:ascii="Book Antiqua" w:hAnsi="Book Antiqua" w:cs="Times New Roman"/>
          <w:sz w:val="23"/>
          <w:szCs w:val="23"/>
          <w:lang w:val="en-GB"/>
        </w:rPr>
        <w:t>.</w:t>
      </w:r>
      <w:r w:rsidR="00280816" w:rsidRPr="003E3613">
        <w:rPr>
          <w:rFonts w:ascii="Book Antiqua" w:hAnsi="Book Antiqua" w:cs="Times New Roman"/>
          <w:sz w:val="23"/>
          <w:szCs w:val="23"/>
          <w:lang w:val="en-GB"/>
        </w:rPr>
        <w:t xml:space="preserve"> In recent years Hungary has been subject to </w:t>
      </w:r>
      <w:r w:rsidR="006557A8" w:rsidRPr="003E3613">
        <w:rPr>
          <w:rFonts w:ascii="Book Antiqua" w:hAnsi="Book Antiqua" w:cs="Times New Roman"/>
          <w:sz w:val="23"/>
          <w:szCs w:val="23"/>
          <w:lang w:val="en-GB"/>
        </w:rPr>
        <w:t xml:space="preserve">an </w:t>
      </w:r>
      <w:r w:rsidR="00280816" w:rsidRPr="003E3613">
        <w:rPr>
          <w:rFonts w:ascii="Book Antiqua" w:hAnsi="Book Antiqua" w:cs="Times New Roman"/>
          <w:sz w:val="23"/>
          <w:szCs w:val="23"/>
          <w:lang w:val="en-GB"/>
        </w:rPr>
        <w:t xml:space="preserve">unprecedented international scrutiny </w:t>
      </w:r>
      <w:r w:rsidR="00CB676C" w:rsidRPr="003E3613">
        <w:rPr>
          <w:rFonts w:ascii="Book Antiqua" w:hAnsi="Book Antiqua" w:cs="Times New Roman"/>
          <w:sz w:val="23"/>
          <w:szCs w:val="23"/>
          <w:lang w:val="en-GB"/>
        </w:rPr>
        <w:t>in a series of international procedures that need not be repeated on this occasion.</w:t>
      </w:r>
    </w:p>
    <w:p w14:paraId="59ECEAF7" w14:textId="77777777" w:rsidR="002C3FF9" w:rsidRPr="003E3613" w:rsidRDefault="002C3FF9" w:rsidP="00204696">
      <w:pPr>
        <w:spacing w:after="0" w:line="240" w:lineRule="auto"/>
        <w:jc w:val="both"/>
        <w:rPr>
          <w:rFonts w:ascii="Book Antiqua" w:hAnsi="Book Antiqua" w:cs="Times New Roman"/>
          <w:sz w:val="23"/>
          <w:szCs w:val="23"/>
          <w:lang w:val="en-GB"/>
        </w:rPr>
      </w:pPr>
    </w:p>
    <w:p w14:paraId="70FEFAB1" w14:textId="77777777" w:rsidR="008001C0" w:rsidRPr="003E3613" w:rsidRDefault="008001C0" w:rsidP="00204696">
      <w:pPr>
        <w:spacing w:after="0" w:line="240" w:lineRule="auto"/>
        <w:jc w:val="center"/>
        <w:rPr>
          <w:rFonts w:ascii="Book Antiqua" w:hAnsi="Book Antiqua" w:cs="Times New Roman"/>
          <w:bCs/>
          <w:sz w:val="23"/>
          <w:szCs w:val="23"/>
          <w:shd w:val="clear" w:color="auto" w:fill="FFFFFF"/>
          <w:lang w:val="en-GB"/>
        </w:rPr>
      </w:pPr>
      <w:r w:rsidRPr="003E3613">
        <w:rPr>
          <w:rFonts w:ascii="Book Antiqua" w:hAnsi="Book Antiqua" w:cs="Times New Roman"/>
          <w:sz w:val="23"/>
          <w:szCs w:val="23"/>
          <w:lang w:val="en-GB"/>
        </w:rPr>
        <w:t>***</w:t>
      </w:r>
    </w:p>
    <w:p w14:paraId="00E446E6" w14:textId="77777777" w:rsidR="003C6124" w:rsidRPr="003E3613" w:rsidRDefault="003C6124" w:rsidP="00204696">
      <w:pPr>
        <w:spacing w:after="0" w:line="240" w:lineRule="auto"/>
        <w:jc w:val="both"/>
        <w:rPr>
          <w:rFonts w:ascii="Book Antiqua" w:hAnsi="Book Antiqua" w:cs="Times New Roman"/>
          <w:bCs/>
          <w:sz w:val="23"/>
          <w:szCs w:val="23"/>
          <w:shd w:val="clear" w:color="auto" w:fill="FFFFFF"/>
          <w:lang w:val="en-GB"/>
        </w:rPr>
      </w:pPr>
    </w:p>
    <w:p w14:paraId="50809CED" w14:textId="08798D28" w:rsidR="006940F4" w:rsidRPr="003E3613" w:rsidRDefault="002C3FF9" w:rsidP="00204696">
      <w:pPr>
        <w:spacing w:after="0"/>
        <w:jc w:val="both"/>
        <w:rPr>
          <w:rFonts w:ascii="Book Antiqua" w:hAnsi="Book Antiqua" w:cs="Times New Roman"/>
          <w:sz w:val="23"/>
          <w:szCs w:val="23"/>
          <w:lang w:val="en-GB"/>
        </w:rPr>
      </w:pPr>
      <w:r w:rsidRPr="003E3613">
        <w:rPr>
          <w:rFonts w:ascii="Book Antiqua" w:hAnsi="Book Antiqua" w:cs="Times New Roman"/>
          <w:b/>
          <w:sz w:val="23"/>
          <w:szCs w:val="23"/>
          <w:lang w:val="en-GB"/>
        </w:rPr>
        <w:t>T</w:t>
      </w:r>
      <w:r w:rsidR="006940F4" w:rsidRPr="003E3613">
        <w:rPr>
          <w:rFonts w:ascii="Book Antiqua" w:hAnsi="Book Antiqua" w:cs="Times New Roman"/>
          <w:b/>
          <w:sz w:val="23"/>
          <w:szCs w:val="23"/>
          <w:lang w:val="en-GB"/>
        </w:rPr>
        <w:t xml:space="preserve">he Hungarian Government is of the view that </w:t>
      </w:r>
      <w:r w:rsidR="00CB676C" w:rsidRPr="003E3613">
        <w:rPr>
          <w:rFonts w:ascii="Book Antiqua" w:hAnsi="Book Antiqua" w:cs="Times New Roman"/>
          <w:b/>
          <w:sz w:val="23"/>
          <w:szCs w:val="23"/>
          <w:lang w:val="en-GB"/>
        </w:rPr>
        <w:t xml:space="preserve">the </w:t>
      </w:r>
      <w:r w:rsidRPr="003E3613">
        <w:rPr>
          <w:rFonts w:ascii="Book Antiqua" w:hAnsi="Book Antiqua" w:cs="Times New Roman"/>
          <w:b/>
          <w:sz w:val="23"/>
          <w:szCs w:val="23"/>
          <w:lang w:val="en-GB"/>
        </w:rPr>
        <w:t>Resolution of the European Parliament is politically motivated, biased, and factually incorrect in many aspects, therefore its conclusions</w:t>
      </w:r>
      <w:r w:rsidR="006940F4" w:rsidRPr="003E3613">
        <w:rPr>
          <w:rFonts w:ascii="Book Antiqua" w:hAnsi="Book Antiqua" w:cs="Times New Roman"/>
          <w:b/>
          <w:sz w:val="23"/>
          <w:szCs w:val="23"/>
          <w:lang w:val="en-GB"/>
        </w:rPr>
        <w:t xml:space="preserve"> are unjustified.</w:t>
      </w:r>
      <w:r w:rsidR="006940F4" w:rsidRPr="003E3613">
        <w:rPr>
          <w:rFonts w:ascii="Book Antiqua" w:hAnsi="Book Antiqua" w:cs="Times New Roman"/>
          <w:sz w:val="23"/>
          <w:szCs w:val="23"/>
          <w:lang w:val="en-GB"/>
        </w:rPr>
        <w:t xml:space="preserve"> </w:t>
      </w:r>
      <w:r w:rsidR="00280816" w:rsidRPr="003E3613">
        <w:rPr>
          <w:rFonts w:ascii="Book Antiqua" w:hAnsi="Book Antiqua" w:cs="Times New Roman"/>
          <w:sz w:val="23"/>
          <w:szCs w:val="23"/>
          <w:lang w:val="en-GB"/>
        </w:rPr>
        <w:t xml:space="preserve">In addition, it addresses </w:t>
      </w:r>
      <w:r w:rsidR="00280816" w:rsidRPr="003E3613">
        <w:rPr>
          <w:rFonts w:ascii="Book Antiqua" w:hAnsi="Book Antiqua" w:cs="Times New Roman"/>
          <w:b/>
          <w:sz w:val="23"/>
          <w:szCs w:val="23"/>
          <w:lang w:val="en-GB"/>
        </w:rPr>
        <w:t>a number of issues that manifestly fall outside the legitimate scope of the procedure</w:t>
      </w:r>
      <w:r w:rsidR="00280816" w:rsidRPr="003E3613">
        <w:rPr>
          <w:rFonts w:ascii="Book Antiqua" w:hAnsi="Book Antiqua" w:cs="Times New Roman"/>
          <w:sz w:val="23"/>
          <w:szCs w:val="23"/>
          <w:lang w:val="en-GB"/>
        </w:rPr>
        <w:t xml:space="preserve"> under Art</w:t>
      </w:r>
      <w:r w:rsidR="006557A8" w:rsidRPr="003E3613">
        <w:rPr>
          <w:rFonts w:ascii="Book Antiqua" w:hAnsi="Book Antiqua" w:cs="Times New Roman"/>
          <w:sz w:val="23"/>
          <w:szCs w:val="23"/>
          <w:lang w:val="en-GB"/>
        </w:rPr>
        <w:t>icle</w:t>
      </w:r>
      <w:r w:rsidR="00280816" w:rsidRPr="003E3613">
        <w:rPr>
          <w:rFonts w:ascii="Book Antiqua" w:hAnsi="Book Antiqua" w:cs="Times New Roman"/>
          <w:sz w:val="23"/>
          <w:szCs w:val="23"/>
          <w:lang w:val="en-GB"/>
        </w:rPr>
        <w:t xml:space="preserve"> 7(1) because they are </w:t>
      </w:r>
      <w:r w:rsidR="006557A8" w:rsidRPr="003E3613">
        <w:rPr>
          <w:rFonts w:ascii="Book Antiqua" w:hAnsi="Book Antiqua" w:cs="Times New Roman"/>
          <w:sz w:val="23"/>
          <w:szCs w:val="23"/>
          <w:lang w:val="en-GB"/>
        </w:rPr>
        <w:t xml:space="preserve">either </w:t>
      </w:r>
      <w:r w:rsidR="00280816" w:rsidRPr="003E3613">
        <w:rPr>
          <w:rFonts w:ascii="Book Antiqua" w:hAnsi="Book Antiqua" w:cs="Times New Roman"/>
          <w:sz w:val="23"/>
          <w:szCs w:val="23"/>
          <w:lang w:val="en-GB"/>
        </w:rPr>
        <w:t>not related to the respect of values enshrined in Article 2 TEU</w:t>
      </w:r>
      <w:r w:rsidR="006557A8" w:rsidRPr="003E3613">
        <w:rPr>
          <w:rFonts w:ascii="Book Antiqua" w:hAnsi="Book Antiqua" w:cs="Times New Roman"/>
          <w:sz w:val="23"/>
          <w:szCs w:val="23"/>
          <w:lang w:val="en-GB"/>
        </w:rPr>
        <w:t>,</w:t>
      </w:r>
      <w:r w:rsidR="00280816" w:rsidRPr="003E3613">
        <w:rPr>
          <w:rFonts w:ascii="Book Antiqua" w:hAnsi="Book Antiqua" w:cs="Times New Roman"/>
          <w:sz w:val="23"/>
          <w:szCs w:val="23"/>
          <w:lang w:val="en-GB"/>
        </w:rPr>
        <w:t xml:space="preserve"> or they have been subject of other procedures under the Treaties that are closed or pending.</w:t>
      </w:r>
    </w:p>
    <w:p w14:paraId="711112DA" w14:textId="77777777" w:rsidR="006940F4" w:rsidRPr="003E3613" w:rsidRDefault="006940F4" w:rsidP="00204696">
      <w:pPr>
        <w:spacing w:after="0"/>
        <w:jc w:val="both"/>
        <w:rPr>
          <w:rFonts w:ascii="Book Antiqua" w:hAnsi="Book Antiqua" w:cs="Times New Roman"/>
          <w:sz w:val="23"/>
          <w:szCs w:val="23"/>
          <w:lang w:val="en-GB"/>
        </w:rPr>
      </w:pPr>
    </w:p>
    <w:p w14:paraId="370D29EF" w14:textId="4DB2CA12" w:rsidR="006940F4" w:rsidRPr="003E3613" w:rsidRDefault="00A60048"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The Hungarian Government maintains that </w:t>
      </w:r>
      <w:r w:rsidRPr="003E3613">
        <w:rPr>
          <w:rFonts w:ascii="Book Antiqua" w:hAnsi="Book Antiqua" w:cs="Times New Roman"/>
          <w:b/>
          <w:sz w:val="23"/>
          <w:szCs w:val="23"/>
          <w:lang w:val="en-GB"/>
        </w:rPr>
        <w:t xml:space="preserve">none of the statements included in the reasoned proposal, individually or in their entirety, substantiate that there would be a clear risk of a serious breach by Hungary of the values on which </w:t>
      </w:r>
      <w:r w:rsidR="006557A8" w:rsidRPr="003E3613">
        <w:rPr>
          <w:rFonts w:ascii="Book Antiqua" w:hAnsi="Book Antiqua" w:cs="Times New Roman"/>
          <w:b/>
          <w:sz w:val="23"/>
          <w:szCs w:val="23"/>
          <w:lang w:val="en-GB"/>
        </w:rPr>
        <w:t xml:space="preserve">our </w:t>
      </w:r>
      <w:r w:rsidRPr="003E3613">
        <w:rPr>
          <w:rFonts w:ascii="Book Antiqua" w:hAnsi="Book Antiqua" w:cs="Times New Roman"/>
          <w:b/>
          <w:sz w:val="23"/>
          <w:szCs w:val="23"/>
          <w:lang w:val="en-GB"/>
        </w:rPr>
        <w:t>Union is founded.</w:t>
      </w:r>
    </w:p>
    <w:p w14:paraId="0F0E8FAB" w14:textId="77777777" w:rsidR="006940F4" w:rsidRPr="003E3613" w:rsidRDefault="006940F4" w:rsidP="007E19D5">
      <w:pPr>
        <w:spacing w:after="0" w:line="240" w:lineRule="auto"/>
        <w:jc w:val="both"/>
        <w:rPr>
          <w:rFonts w:ascii="Book Antiqua" w:hAnsi="Book Antiqua" w:cs="Times New Roman"/>
          <w:sz w:val="23"/>
          <w:szCs w:val="23"/>
          <w:lang w:val="en-GB"/>
        </w:rPr>
      </w:pPr>
    </w:p>
    <w:p w14:paraId="3CAA3E6E" w14:textId="77777777" w:rsidR="00A60048" w:rsidRPr="003E3613" w:rsidRDefault="00A60048" w:rsidP="007E19D5">
      <w:pPr>
        <w:spacing w:after="0" w:line="240" w:lineRule="auto"/>
        <w:jc w:val="center"/>
        <w:rPr>
          <w:rFonts w:ascii="Book Antiqua" w:hAnsi="Book Antiqua" w:cs="Times New Roman"/>
          <w:sz w:val="23"/>
          <w:szCs w:val="23"/>
          <w:lang w:val="en-GB"/>
        </w:rPr>
      </w:pPr>
      <w:r w:rsidRPr="003E3613">
        <w:rPr>
          <w:rFonts w:ascii="Book Antiqua" w:hAnsi="Book Antiqua" w:cs="Times New Roman"/>
          <w:sz w:val="23"/>
          <w:szCs w:val="23"/>
          <w:lang w:val="en-GB"/>
        </w:rPr>
        <w:t>***</w:t>
      </w:r>
    </w:p>
    <w:p w14:paraId="6A29DB59" w14:textId="77777777" w:rsidR="00DB1E97" w:rsidRPr="003E3613" w:rsidRDefault="00DB1E97" w:rsidP="007E19D5">
      <w:pPr>
        <w:spacing w:after="0" w:line="240" w:lineRule="auto"/>
        <w:jc w:val="center"/>
        <w:rPr>
          <w:rFonts w:ascii="Book Antiqua" w:hAnsi="Book Antiqua" w:cs="Times New Roman"/>
          <w:sz w:val="23"/>
          <w:szCs w:val="23"/>
          <w:lang w:val="en-GB"/>
        </w:rPr>
      </w:pPr>
    </w:p>
    <w:p w14:paraId="0144FE7E" w14:textId="195F9E22" w:rsidR="00A60048" w:rsidRPr="003E3613" w:rsidRDefault="0050676E" w:rsidP="00204696">
      <w:pPr>
        <w:spacing w:after="0"/>
        <w:jc w:val="both"/>
        <w:rPr>
          <w:rFonts w:ascii="Book Antiqua" w:hAnsi="Book Antiqua" w:cs="Times New Roman"/>
          <w:bCs/>
          <w:sz w:val="23"/>
          <w:szCs w:val="23"/>
          <w:shd w:val="clear" w:color="auto" w:fill="FFFFFF"/>
          <w:lang w:val="en-GB"/>
        </w:rPr>
      </w:pPr>
      <w:r w:rsidRPr="003E3613">
        <w:rPr>
          <w:rFonts w:ascii="Book Antiqua" w:hAnsi="Book Antiqua" w:cs="Times New Roman"/>
          <w:b/>
          <w:sz w:val="23"/>
          <w:szCs w:val="23"/>
          <w:lang w:val="en-GB"/>
        </w:rPr>
        <w:t>The values enshrined in Article 2 TEU, as well as, s</w:t>
      </w:r>
      <w:r w:rsidR="00DB1E97" w:rsidRPr="003E3613">
        <w:rPr>
          <w:rFonts w:ascii="Book Antiqua" w:hAnsi="Book Antiqua" w:cs="Times New Roman"/>
          <w:b/>
          <w:sz w:val="23"/>
          <w:szCs w:val="23"/>
          <w:lang w:val="en-GB"/>
        </w:rPr>
        <w:t>olidarity, cohesion and trust between Member States are the foundation</w:t>
      </w:r>
      <w:r w:rsidRPr="003E3613">
        <w:rPr>
          <w:rFonts w:ascii="Book Antiqua" w:hAnsi="Book Antiqua" w:cs="Times New Roman"/>
          <w:b/>
          <w:sz w:val="23"/>
          <w:szCs w:val="23"/>
          <w:lang w:val="en-GB"/>
        </w:rPr>
        <w:t>s</w:t>
      </w:r>
      <w:r w:rsidR="00DB1E97" w:rsidRPr="003E3613">
        <w:rPr>
          <w:rFonts w:ascii="Book Antiqua" w:hAnsi="Book Antiqua" w:cs="Times New Roman"/>
          <w:b/>
          <w:sz w:val="23"/>
          <w:szCs w:val="23"/>
          <w:lang w:val="en-GB"/>
        </w:rPr>
        <w:t xml:space="preserve"> of the Union. The </w:t>
      </w:r>
      <w:r w:rsidR="00F4565F" w:rsidRPr="003E3613">
        <w:rPr>
          <w:rFonts w:ascii="Book Antiqua" w:hAnsi="Book Antiqua" w:cs="Times New Roman"/>
          <w:b/>
          <w:sz w:val="23"/>
          <w:szCs w:val="23"/>
          <w:lang w:val="en-GB"/>
        </w:rPr>
        <w:t xml:space="preserve">most important </w:t>
      </w:r>
      <w:r w:rsidR="00DB1E97" w:rsidRPr="003E3613">
        <w:rPr>
          <w:rFonts w:ascii="Book Antiqua" w:hAnsi="Book Antiqua" w:cs="Times New Roman"/>
          <w:b/>
          <w:sz w:val="23"/>
          <w:szCs w:val="23"/>
          <w:lang w:val="en-GB"/>
        </w:rPr>
        <w:t xml:space="preserve">benchmark against which the current procedure </w:t>
      </w:r>
      <w:r w:rsidRPr="003E3613">
        <w:rPr>
          <w:rFonts w:ascii="Book Antiqua" w:hAnsi="Book Antiqua" w:cs="Times New Roman"/>
          <w:b/>
          <w:sz w:val="23"/>
          <w:szCs w:val="23"/>
          <w:lang w:val="en-GB"/>
        </w:rPr>
        <w:t xml:space="preserve">should </w:t>
      </w:r>
      <w:r w:rsidR="00DB1E97" w:rsidRPr="003E3613">
        <w:rPr>
          <w:rFonts w:ascii="Book Antiqua" w:hAnsi="Book Antiqua" w:cs="Times New Roman"/>
          <w:b/>
          <w:sz w:val="23"/>
          <w:szCs w:val="23"/>
          <w:lang w:val="en-GB"/>
        </w:rPr>
        <w:t>be measured is whether it strengthens the</w:t>
      </w:r>
      <w:r w:rsidR="00210BC0" w:rsidRPr="003E3613">
        <w:rPr>
          <w:rFonts w:ascii="Book Antiqua" w:hAnsi="Book Antiqua" w:cs="Times New Roman"/>
          <w:b/>
          <w:sz w:val="23"/>
          <w:szCs w:val="23"/>
          <w:lang w:val="en-GB"/>
        </w:rPr>
        <w:t xml:space="preserve"> above </w:t>
      </w:r>
      <w:r w:rsidR="00DB1E97" w:rsidRPr="003E3613">
        <w:rPr>
          <w:rFonts w:ascii="Book Antiqua" w:hAnsi="Book Antiqua" w:cs="Times New Roman"/>
          <w:b/>
          <w:sz w:val="23"/>
          <w:szCs w:val="23"/>
          <w:lang w:val="en-GB"/>
        </w:rPr>
        <w:t xml:space="preserve">foundations and the unity of the European Union. </w:t>
      </w:r>
      <w:r w:rsidR="00F4565F" w:rsidRPr="003E3613">
        <w:rPr>
          <w:rFonts w:ascii="Book Antiqua" w:hAnsi="Book Antiqua" w:cs="Times New Roman"/>
          <w:b/>
          <w:sz w:val="23"/>
          <w:szCs w:val="23"/>
          <w:lang w:val="en-GB"/>
        </w:rPr>
        <w:t>Only an evidence-based and fair process that respects the equ</w:t>
      </w:r>
      <w:r w:rsidR="00DA25AD" w:rsidRPr="003E3613">
        <w:rPr>
          <w:rFonts w:ascii="Book Antiqua" w:hAnsi="Book Antiqua" w:cs="Times New Roman"/>
          <w:b/>
          <w:sz w:val="23"/>
          <w:szCs w:val="23"/>
          <w:lang w:val="en-GB"/>
        </w:rPr>
        <w:t>a</w:t>
      </w:r>
      <w:r w:rsidR="00F4565F" w:rsidRPr="003E3613">
        <w:rPr>
          <w:rFonts w:ascii="Book Antiqua" w:hAnsi="Book Antiqua" w:cs="Times New Roman"/>
          <w:b/>
          <w:sz w:val="23"/>
          <w:szCs w:val="23"/>
          <w:lang w:val="en-GB"/>
        </w:rPr>
        <w:t xml:space="preserve">lity of </w:t>
      </w:r>
      <w:r w:rsidR="00DA25AD" w:rsidRPr="003E3613">
        <w:rPr>
          <w:rFonts w:ascii="Book Antiqua" w:hAnsi="Book Antiqua" w:cs="Times New Roman"/>
          <w:b/>
          <w:sz w:val="23"/>
          <w:szCs w:val="23"/>
          <w:lang w:val="en-GB"/>
        </w:rPr>
        <w:t>M</w:t>
      </w:r>
      <w:r w:rsidR="00F4565F" w:rsidRPr="003E3613">
        <w:rPr>
          <w:rFonts w:ascii="Book Antiqua" w:hAnsi="Book Antiqua" w:cs="Times New Roman"/>
          <w:b/>
          <w:sz w:val="23"/>
          <w:szCs w:val="23"/>
          <w:lang w:val="en-GB"/>
        </w:rPr>
        <w:t xml:space="preserve">ember States </w:t>
      </w:r>
      <w:r w:rsidR="00B0232B" w:rsidRPr="003E3613">
        <w:rPr>
          <w:rFonts w:ascii="Book Antiqua" w:hAnsi="Book Antiqua" w:cs="Times New Roman"/>
          <w:b/>
          <w:sz w:val="23"/>
          <w:szCs w:val="23"/>
          <w:lang w:val="en-GB"/>
        </w:rPr>
        <w:t>and does not follow a hidden political agenda may contribute to these objectives.</w:t>
      </w:r>
    </w:p>
    <w:p w14:paraId="5B6AB3F4" w14:textId="77777777" w:rsidR="006940F4" w:rsidRPr="003E3613" w:rsidRDefault="006940F4" w:rsidP="00204696">
      <w:pPr>
        <w:rPr>
          <w:rFonts w:ascii="Book Antiqua" w:eastAsiaTheme="minorHAnsi" w:hAnsi="Book Antiqua"/>
          <w:bCs/>
          <w:sz w:val="23"/>
          <w:szCs w:val="23"/>
          <w:lang w:val="en-GB" w:eastAsia="en-US"/>
        </w:rPr>
      </w:pPr>
      <w:r w:rsidRPr="003E3613">
        <w:rPr>
          <w:rFonts w:ascii="Book Antiqua" w:eastAsiaTheme="minorHAnsi" w:hAnsi="Book Antiqua"/>
          <w:bCs/>
          <w:sz w:val="23"/>
          <w:szCs w:val="23"/>
          <w:lang w:val="en-GB" w:eastAsia="en-US"/>
        </w:rPr>
        <w:br w:type="page"/>
      </w:r>
    </w:p>
    <w:p w14:paraId="27868497" w14:textId="77777777" w:rsidR="00394BEB" w:rsidRPr="003E3613" w:rsidRDefault="00394BEB" w:rsidP="00204696">
      <w:pPr>
        <w:rPr>
          <w:rFonts w:ascii="Book Antiqua" w:eastAsiaTheme="minorHAnsi" w:hAnsi="Book Antiqua"/>
          <w:bCs/>
          <w:sz w:val="23"/>
          <w:szCs w:val="23"/>
          <w:lang w:val="en-GB" w:eastAsia="en-US"/>
        </w:rPr>
      </w:pPr>
    </w:p>
    <w:p w14:paraId="6E994C60" w14:textId="77777777" w:rsidR="00394BEB" w:rsidRPr="003E3613" w:rsidRDefault="00394BEB" w:rsidP="00204696">
      <w:pPr>
        <w:rPr>
          <w:rFonts w:ascii="Book Antiqua" w:eastAsiaTheme="minorHAnsi" w:hAnsi="Book Antiqua"/>
          <w:bCs/>
          <w:sz w:val="23"/>
          <w:szCs w:val="23"/>
          <w:lang w:val="en-GB" w:eastAsia="en-US"/>
        </w:rPr>
      </w:pPr>
    </w:p>
    <w:p w14:paraId="0A13EF92" w14:textId="77777777" w:rsidR="00394BEB" w:rsidRPr="003E3613" w:rsidRDefault="00394BEB" w:rsidP="00204696">
      <w:pPr>
        <w:rPr>
          <w:rFonts w:ascii="Book Antiqua" w:eastAsiaTheme="minorHAnsi" w:hAnsi="Book Antiqua"/>
          <w:bCs/>
          <w:sz w:val="23"/>
          <w:szCs w:val="23"/>
          <w:lang w:val="en-GB" w:eastAsia="en-US"/>
        </w:rPr>
      </w:pPr>
    </w:p>
    <w:p w14:paraId="39DA6EB5" w14:textId="77777777" w:rsidR="00394BEB" w:rsidRPr="003E3613" w:rsidRDefault="00394BEB" w:rsidP="00204696">
      <w:pPr>
        <w:rPr>
          <w:rFonts w:ascii="Book Antiqua" w:eastAsiaTheme="minorHAnsi" w:hAnsi="Book Antiqua"/>
          <w:bCs/>
          <w:sz w:val="23"/>
          <w:szCs w:val="23"/>
          <w:lang w:val="en-GB" w:eastAsia="en-US"/>
        </w:rPr>
      </w:pPr>
    </w:p>
    <w:p w14:paraId="0BD5F837" w14:textId="77777777" w:rsidR="00394BEB" w:rsidRPr="003E3613" w:rsidRDefault="00394BEB" w:rsidP="00204696">
      <w:pPr>
        <w:rPr>
          <w:rFonts w:ascii="Book Antiqua" w:eastAsiaTheme="minorHAnsi" w:hAnsi="Book Antiqua"/>
          <w:bCs/>
          <w:sz w:val="23"/>
          <w:szCs w:val="23"/>
          <w:lang w:val="en-GB" w:eastAsia="en-US"/>
        </w:rPr>
      </w:pPr>
    </w:p>
    <w:p w14:paraId="2A9FFD05" w14:textId="77777777" w:rsidR="00394BEB" w:rsidRPr="003E3613" w:rsidRDefault="00394BEB" w:rsidP="00204696">
      <w:pPr>
        <w:rPr>
          <w:rFonts w:ascii="Book Antiqua" w:eastAsiaTheme="minorHAnsi" w:hAnsi="Book Antiqua"/>
          <w:bCs/>
          <w:sz w:val="23"/>
          <w:szCs w:val="23"/>
          <w:lang w:val="en-GB" w:eastAsia="en-US"/>
        </w:rPr>
      </w:pPr>
    </w:p>
    <w:p w14:paraId="56BA74A5" w14:textId="77777777" w:rsidR="00394BEB" w:rsidRPr="003E3613" w:rsidRDefault="00394BEB" w:rsidP="00204696">
      <w:pPr>
        <w:rPr>
          <w:rFonts w:ascii="Book Antiqua" w:eastAsiaTheme="minorHAnsi" w:hAnsi="Book Antiqua"/>
          <w:bCs/>
          <w:sz w:val="23"/>
          <w:szCs w:val="23"/>
          <w:lang w:val="en-GB" w:eastAsia="en-US"/>
        </w:rPr>
      </w:pPr>
    </w:p>
    <w:p w14:paraId="4A19B0E3" w14:textId="77777777" w:rsidR="00394BEB" w:rsidRPr="003E3613" w:rsidRDefault="00394BEB" w:rsidP="00204696">
      <w:pPr>
        <w:rPr>
          <w:rFonts w:ascii="Book Antiqua" w:eastAsiaTheme="minorHAnsi" w:hAnsi="Book Antiqua"/>
          <w:bCs/>
          <w:sz w:val="23"/>
          <w:szCs w:val="23"/>
          <w:lang w:val="en-GB" w:eastAsia="en-US"/>
        </w:rPr>
      </w:pPr>
    </w:p>
    <w:p w14:paraId="56A3D13A" w14:textId="77777777" w:rsidR="00394BEB" w:rsidRPr="003E3613" w:rsidRDefault="00394BEB" w:rsidP="00204696">
      <w:pPr>
        <w:rPr>
          <w:rFonts w:ascii="Book Antiqua" w:eastAsiaTheme="minorHAnsi" w:hAnsi="Book Antiqua"/>
          <w:bCs/>
          <w:sz w:val="23"/>
          <w:szCs w:val="23"/>
          <w:lang w:val="en-GB" w:eastAsia="en-US"/>
        </w:rPr>
      </w:pPr>
    </w:p>
    <w:p w14:paraId="659E72F6" w14:textId="77777777" w:rsidR="00394BEB" w:rsidRPr="003E3613" w:rsidRDefault="00394BEB" w:rsidP="00204696">
      <w:pPr>
        <w:rPr>
          <w:rFonts w:ascii="Book Antiqua" w:eastAsiaTheme="minorHAnsi" w:hAnsi="Book Antiqua"/>
          <w:sz w:val="23"/>
          <w:szCs w:val="23"/>
          <w:lang w:val="en-GB" w:eastAsia="en-US"/>
        </w:rPr>
      </w:pPr>
    </w:p>
    <w:p w14:paraId="0AAD3FDB" w14:textId="77777777" w:rsidR="004262B2" w:rsidRPr="003E3613" w:rsidRDefault="004262B2" w:rsidP="00204696">
      <w:pPr>
        <w:spacing w:after="0"/>
        <w:jc w:val="center"/>
        <w:rPr>
          <w:rFonts w:ascii="Book Antiqua" w:hAnsi="Book Antiqua" w:cs="Times New Roman"/>
          <w:b/>
          <w:sz w:val="23"/>
          <w:szCs w:val="23"/>
          <w:u w:val="single"/>
          <w:lang w:val="en-GB"/>
        </w:rPr>
      </w:pPr>
    </w:p>
    <w:p w14:paraId="33776B08" w14:textId="77777777" w:rsidR="00394BEB" w:rsidRPr="003E3613" w:rsidRDefault="004262B2" w:rsidP="00204696">
      <w:pPr>
        <w:pStyle w:val="ListParagraph"/>
        <w:numPr>
          <w:ilvl w:val="0"/>
          <w:numId w:val="23"/>
        </w:numPr>
        <w:tabs>
          <w:tab w:val="left" w:pos="4111"/>
        </w:tabs>
        <w:spacing w:after="0"/>
        <w:jc w:val="center"/>
        <w:rPr>
          <w:rFonts w:ascii="Book Antiqua" w:hAnsi="Book Antiqua" w:cs="Times New Roman"/>
          <w:sz w:val="23"/>
          <w:szCs w:val="23"/>
          <w:lang w:val="en-GB"/>
        </w:rPr>
      </w:pPr>
      <w:r w:rsidRPr="003E3613">
        <w:rPr>
          <w:rFonts w:ascii="Book Antiqua" w:hAnsi="Book Antiqua" w:cs="Times New Roman"/>
          <w:b/>
          <w:sz w:val="23"/>
          <w:szCs w:val="23"/>
          <w:lang w:val="en-GB"/>
        </w:rPr>
        <w:t>Annex to the Information Note</w:t>
      </w:r>
    </w:p>
    <w:p w14:paraId="0751EDC6" w14:textId="77777777" w:rsidR="00394BEB" w:rsidRPr="003E3613" w:rsidRDefault="00394BEB" w:rsidP="00204696">
      <w:pPr>
        <w:tabs>
          <w:tab w:val="left" w:pos="4111"/>
        </w:tabs>
        <w:spacing w:after="0"/>
        <w:ind w:left="360"/>
        <w:jc w:val="both"/>
        <w:rPr>
          <w:rFonts w:ascii="Book Antiqua" w:hAnsi="Book Antiqua" w:cs="Times New Roman"/>
          <w:sz w:val="23"/>
          <w:szCs w:val="23"/>
          <w:lang w:val="en-GB"/>
        </w:rPr>
      </w:pPr>
    </w:p>
    <w:p w14:paraId="6D1B6C90" w14:textId="77777777" w:rsidR="00394BEB" w:rsidRPr="003E3613" w:rsidRDefault="00394BEB" w:rsidP="00204696">
      <w:pPr>
        <w:tabs>
          <w:tab w:val="left" w:pos="4111"/>
        </w:tabs>
        <w:spacing w:after="0"/>
        <w:ind w:left="360"/>
        <w:jc w:val="both"/>
        <w:rPr>
          <w:rFonts w:ascii="Book Antiqua" w:hAnsi="Book Antiqua" w:cs="Times New Roman"/>
          <w:sz w:val="23"/>
          <w:szCs w:val="23"/>
          <w:lang w:val="en-GB"/>
        </w:rPr>
      </w:pPr>
    </w:p>
    <w:p w14:paraId="5020D3E3" w14:textId="77777777" w:rsidR="00394BEB" w:rsidRPr="003E3613" w:rsidRDefault="00394BEB" w:rsidP="00204696">
      <w:pPr>
        <w:tabs>
          <w:tab w:val="left" w:pos="4111"/>
        </w:tabs>
        <w:spacing w:after="0"/>
        <w:ind w:left="360"/>
        <w:jc w:val="center"/>
        <w:rPr>
          <w:rFonts w:ascii="Book Antiqua" w:hAnsi="Book Antiqua" w:cs="Times New Roman"/>
          <w:sz w:val="23"/>
          <w:szCs w:val="23"/>
          <w:lang w:val="en-GB"/>
        </w:rPr>
      </w:pPr>
    </w:p>
    <w:p w14:paraId="166D83CF" w14:textId="77777777" w:rsidR="00394BEB" w:rsidRPr="003E3613" w:rsidRDefault="00394BEB" w:rsidP="00204696">
      <w:pPr>
        <w:tabs>
          <w:tab w:val="left" w:pos="4111"/>
        </w:tabs>
        <w:spacing w:after="0"/>
        <w:ind w:left="360"/>
        <w:jc w:val="both"/>
        <w:rPr>
          <w:rFonts w:ascii="Book Antiqua" w:hAnsi="Book Antiqua" w:cs="Times New Roman"/>
          <w:sz w:val="23"/>
          <w:szCs w:val="23"/>
          <w:lang w:val="en-GB"/>
        </w:rPr>
      </w:pPr>
    </w:p>
    <w:p w14:paraId="02665599" w14:textId="77777777" w:rsidR="00394BEB" w:rsidRPr="003E3613" w:rsidRDefault="00394BEB" w:rsidP="00204696">
      <w:pPr>
        <w:tabs>
          <w:tab w:val="left" w:pos="4111"/>
        </w:tabs>
        <w:spacing w:after="0"/>
        <w:ind w:left="360"/>
        <w:jc w:val="both"/>
        <w:rPr>
          <w:rFonts w:ascii="Book Antiqua" w:hAnsi="Book Antiqua" w:cs="Times New Roman"/>
          <w:sz w:val="23"/>
          <w:szCs w:val="23"/>
          <w:lang w:val="en-GB"/>
        </w:rPr>
      </w:pPr>
    </w:p>
    <w:p w14:paraId="2AEE874E" w14:textId="7783E5CA" w:rsidR="00272F10" w:rsidRPr="003E3613" w:rsidRDefault="00272F10" w:rsidP="00204696">
      <w:pPr>
        <w:tabs>
          <w:tab w:val="left" w:pos="4111"/>
        </w:tabs>
        <w:spacing w:after="0"/>
        <w:ind w:left="360"/>
        <w:jc w:val="both"/>
        <w:rPr>
          <w:rFonts w:ascii="Book Antiqua" w:hAnsi="Book Antiqua" w:cs="Times New Roman"/>
          <w:sz w:val="23"/>
          <w:szCs w:val="23"/>
          <w:lang w:val="en-GB"/>
        </w:rPr>
      </w:pPr>
      <w:r w:rsidRPr="003E3613">
        <w:rPr>
          <w:rFonts w:ascii="Book Antiqua" w:hAnsi="Book Antiqua" w:cs="Times New Roman"/>
          <w:sz w:val="23"/>
          <w:szCs w:val="23"/>
          <w:lang w:val="en-GB"/>
        </w:rPr>
        <w:t>Detailed Comments of the Hungarian Government addressed to the Members of the Council of the European Union on the Resolution adopted by the European Parliament of 12 September 2018 on a proposal calling on the Council to determine, pursuant to Article 7(1) of the Treaty on European Union, the existence of a clear risk of a serious breach by Hungary of the values on which the Union is founded</w:t>
      </w:r>
    </w:p>
    <w:p w14:paraId="1A13801B" w14:textId="792639E3" w:rsidR="00A64625" w:rsidRPr="003E3613" w:rsidRDefault="00A64625" w:rsidP="00204696">
      <w:pPr>
        <w:tabs>
          <w:tab w:val="left" w:pos="4111"/>
        </w:tabs>
        <w:spacing w:after="0"/>
        <w:ind w:left="360"/>
        <w:jc w:val="both"/>
        <w:rPr>
          <w:rFonts w:ascii="Book Antiqua" w:hAnsi="Book Antiqua" w:cs="Times New Roman"/>
          <w:sz w:val="23"/>
          <w:szCs w:val="23"/>
          <w:lang w:val="en-GB"/>
        </w:rPr>
      </w:pPr>
    </w:p>
    <w:p w14:paraId="4A87AE81" w14:textId="523E5A36" w:rsidR="00A64625" w:rsidRPr="003E3613" w:rsidRDefault="00A64625" w:rsidP="00204696">
      <w:pPr>
        <w:tabs>
          <w:tab w:val="left" w:pos="4111"/>
        </w:tabs>
        <w:spacing w:after="0"/>
        <w:ind w:left="360"/>
        <w:jc w:val="both"/>
        <w:rPr>
          <w:rFonts w:ascii="Book Antiqua" w:hAnsi="Book Antiqua" w:cs="Times New Roman"/>
          <w:sz w:val="23"/>
          <w:szCs w:val="23"/>
          <w:lang w:val="en-GB"/>
        </w:rPr>
      </w:pPr>
    </w:p>
    <w:p w14:paraId="3D17B12B" w14:textId="105329FF" w:rsidR="00A64625" w:rsidRPr="003E3613" w:rsidRDefault="00A64625" w:rsidP="00204696">
      <w:pPr>
        <w:tabs>
          <w:tab w:val="left" w:pos="4111"/>
        </w:tabs>
        <w:spacing w:after="0"/>
        <w:ind w:left="360"/>
        <w:jc w:val="both"/>
        <w:rPr>
          <w:rFonts w:ascii="Book Antiqua" w:hAnsi="Book Antiqua" w:cs="Times New Roman"/>
          <w:sz w:val="23"/>
          <w:szCs w:val="23"/>
          <w:lang w:val="en-GB"/>
        </w:rPr>
      </w:pPr>
      <w:r w:rsidRPr="003E3613">
        <w:rPr>
          <w:rFonts w:ascii="Book Antiqua" w:hAnsi="Book Antiqua" w:cs="Times New Roman"/>
          <w:i/>
          <w:iCs/>
          <w:color w:val="000000"/>
          <w:sz w:val="23"/>
          <w:szCs w:val="23"/>
          <w:lang w:val="en-GB"/>
        </w:rPr>
        <w:t>The Annex to the information note is structured according to the titles of the reasoned proposal. The titles are introduced by a brief assessment of the Hungarian Government. The relevant text of the reasoned proposal is cited in italics, which is followed by the detailed position and legal arguments of the Hungarian Government.</w:t>
      </w:r>
    </w:p>
    <w:p w14:paraId="1BC98213" w14:textId="77777777" w:rsidR="00272F10" w:rsidRPr="003E3613" w:rsidRDefault="00272F10" w:rsidP="00204696">
      <w:pPr>
        <w:pStyle w:val="TOCHeading"/>
        <w:keepNext w:val="0"/>
        <w:keepLines w:val="0"/>
        <w:spacing w:before="0"/>
        <w:rPr>
          <w:rFonts w:ascii="Book Antiqua" w:eastAsiaTheme="minorHAnsi" w:hAnsi="Book Antiqua" w:cstheme="minorBidi"/>
          <w:b w:val="0"/>
          <w:bCs w:val="0"/>
          <w:color w:val="auto"/>
          <w:sz w:val="22"/>
          <w:szCs w:val="22"/>
          <w:lang w:val="en-GB" w:eastAsia="en-US"/>
        </w:rPr>
      </w:pPr>
    </w:p>
    <w:p w14:paraId="1C8FC901" w14:textId="77777777" w:rsidR="00272F10" w:rsidRPr="003E3613" w:rsidRDefault="00272F10" w:rsidP="00204696">
      <w:pPr>
        <w:rPr>
          <w:rFonts w:ascii="Book Antiqua" w:eastAsiaTheme="minorHAnsi" w:hAnsi="Book Antiqua"/>
          <w:lang w:val="en-GB" w:eastAsia="en-US"/>
        </w:rPr>
      </w:pPr>
      <w:r w:rsidRPr="003E3613">
        <w:rPr>
          <w:rFonts w:ascii="Book Antiqua" w:eastAsiaTheme="minorHAnsi" w:hAnsi="Book Antiqua"/>
          <w:b/>
          <w:bCs/>
          <w:lang w:val="en-GB" w:eastAsia="en-US"/>
        </w:rPr>
        <w:br w:type="page"/>
      </w:r>
    </w:p>
    <w:sdt>
      <w:sdtPr>
        <w:rPr>
          <w:rFonts w:ascii="Book Antiqua" w:eastAsiaTheme="minorHAnsi" w:hAnsi="Book Antiqua" w:cstheme="minorBidi"/>
          <w:b w:val="0"/>
          <w:bCs w:val="0"/>
          <w:color w:val="auto"/>
          <w:sz w:val="22"/>
          <w:szCs w:val="22"/>
          <w:lang w:val="en-GB" w:eastAsia="en-US"/>
        </w:rPr>
        <w:id w:val="1462608038"/>
        <w:docPartObj>
          <w:docPartGallery w:val="Table of Contents"/>
          <w:docPartUnique/>
        </w:docPartObj>
      </w:sdtPr>
      <w:sdtEndPr>
        <w:rPr>
          <w:rFonts w:eastAsiaTheme="minorEastAsia"/>
          <w:sz w:val="23"/>
          <w:szCs w:val="23"/>
          <w:lang w:eastAsia="hu-HU"/>
        </w:rPr>
      </w:sdtEndPr>
      <w:sdtContent>
        <w:p w14:paraId="531EE462" w14:textId="77777777" w:rsidR="008E30B5" w:rsidRPr="003E3613" w:rsidRDefault="008E30B5" w:rsidP="00204696">
          <w:pPr>
            <w:pStyle w:val="TOCHeading"/>
            <w:keepNext w:val="0"/>
            <w:keepLines w:val="0"/>
            <w:spacing w:before="0"/>
            <w:rPr>
              <w:rFonts w:ascii="Book Antiqua" w:eastAsiaTheme="minorHAnsi" w:hAnsi="Book Antiqua" w:cstheme="minorBidi"/>
              <w:b w:val="0"/>
              <w:bCs w:val="0"/>
              <w:color w:val="auto"/>
              <w:sz w:val="22"/>
              <w:szCs w:val="22"/>
              <w:lang w:val="en-GB" w:eastAsia="en-US"/>
            </w:rPr>
          </w:pPr>
          <w:r w:rsidRPr="003E3613">
            <w:rPr>
              <w:rFonts w:ascii="Book Antiqua" w:hAnsi="Book Antiqua"/>
              <w:color w:val="auto"/>
              <w:sz w:val="22"/>
              <w:szCs w:val="22"/>
              <w:lang w:val="en-GB"/>
            </w:rPr>
            <w:t>Contents</w:t>
          </w:r>
        </w:p>
        <w:p w14:paraId="632C6635" w14:textId="77777777" w:rsidR="008E30B5" w:rsidRPr="003E3613" w:rsidRDefault="008E30B5" w:rsidP="00204696">
          <w:pPr>
            <w:spacing w:after="0"/>
            <w:rPr>
              <w:rFonts w:ascii="Book Antiqua" w:hAnsi="Book Antiqua"/>
              <w:lang w:val="en-GB"/>
            </w:rPr>
          </w:pPr>
        </w:p>
        <w:p w14:paraId="24A34ECA" w14:textId="1891E107" w:rsidR="007A7E18" w:rsidRPr="00BA7A6B" w:rsidRDefault="008E30B5">
          <w:pPr>
            <w:pStyle w:val="TOC1"/>
            <w:rPr>
              <w:rFonts w:eastAsiaTheme="minorEastAsia"/>
              <w:b w:val="0"/>
              <w:lang w:val="hu-HU" w:eastAsia="hu-HU"/>
            </w:rPr>
          </w:pPr>
          <w:r w:rsidRPr="00BA7A6B">
            <w:fldChar w:fldCharType="begin"/>
          </w:r>
          <w:r w:rsidRPr="00BA7A6B">
            <w:instrText xml:space="preserve"> TOC \o "1-3" \h \z \u </w:instrText>
          </w:r>
          <w:r w:rsidRPr="00BA7A6B">
            <w:fldChar w:fldCharType="separate"/>
          </w:r>
          <w:hyperlink w:anchor="_Toc19120764" w:history="1">
            <w:r w:rsidR="007A7E18" w:rsidRPr="00BA7A6B">
              <w:rPr>
                <w:rStyle w:val="Hyperlink"/>
              </w:rPr>
              <w:t>Functioning of the constitutional and electoral system</w:t>
            </w:r>
            <w:r w:rsidR="007A7E18" w:rsidRPr="00BA7A6B">
              <w:rPr>
                <w:webHidden/>
              </w:rPr>
              <w:tab/>
            </w:r>
            <w:r w:rsidR="008333B9">
              <w:rPr>
                <w:webHidden/>
              </w:rPr>
              <w:t>7</w:t>
            </w:r>
          </w:hyperlink>
        </w:p>
        <w:p w14:paraId="28125561" w14:textId="592138BC" w:rsidR="007A7E18" w:rsidRPr="00BA7A6B" w:rsidRDefault="0020718C">
          <w:pPr>
            <w:pStyle w:val="TOC2"/>
            <w:tabs>
              <w:tab w:val="right" w:leader="dot" w:pos="9062"/>
            </w:tabs>
            <w:rPr>
              <w:rFonts w:ascii="Book Antiqua" w:eastAsiaTheme="minorEastAsia" w:hAnsi="Book Antiqua"/>
              <w:noProof/>
              <w:lang w:eastAsia="hu-HU"/>
            </w:rPr>
          </w:pPr>
          <w:hyperlink w:anchor="_Toc19120765" w:history="1">
            <w:r w:rsidR="007A7E18" w:rsidRPr="00BA7A6B">
              <w:rPr>
                <w:rStyle w:val="Hyperlink"/>
                <w:rFonts w:ascii="Book Antiqua" w:hAnsi="Book Antiqua"/>
                <w:noProof/>
                <w:lang w:val="en-GB"/>
              </w:rPr>
              <w:t>Constitution-making process in Hungary</w:t>
            </w:r>
            <w:r w:rsidR="007A7E18" w:rsidRPr="00BA7A6B">
              <w:rPr>
                <w:rFonts w:ascii="Book Antiqua" w:hAnsi="Book Antiqua"/>
                <w:noProof/>
                <w:webHidden/>
              </w:rPr>
              <w:tab/>
            </w:r>
            <w:r w:rsidR="008333B9">
              <w:rPr>
                <w:rFonts w:ascii="Book Antiqua" w:hAnsi="Book Antiqua"/>
                <w:noProof/>
                <w:webHidden/>
              </w:rPr>
              <w:t>7</w:t>
            </w:r>
          </w:hyperlink>
        </w:p>
        <w:p w14:paraId="62623457" w14:textId="5902599E" w:rsidR="007A7E18" w:rsidRPr="00BA7A6B" w:rsidRDefault="0020718C">
          <w:pPr>
            <w:pStyle w:val="TOC2"/>
            <w:tabs>
              <w:tab w:val="right" w:leader="dot" w:pos="9062"/>
            </w:tabs>
            <w:rPr>
              <w:rFonts w:ascii="Book Antiqua" w:eastAsiaTheme="minorEastAsia" w:hAnsi="Book Antiqua"/>
              <w:noProof/>
              <w:lang w:eastAsia="hu-HU"/>
            </w:rPr>
          </w:pPr>
          <w:hyperlink w:anchor="_Toc19120766" w:history="1">
            <w:r w:rsidR="007A7E18" w:rsidRPr="00BA7A6B">
              <w:rPr>
                <w:rStyle w:val="Hyperlink"/>
                <w:rFonts w:ascii="Book Antiqua" w:hAnsi="Book Antiqua"/>
                <w:noProof/>
                <w:lang w:val="en-GB"/>
              </w:rPr>
              <w:t>Competences of the Hungarian Constitutional Court</w:t>
            </w:r>
            <w:r w:rsidR="007A7E18" w:rsidRPr="00BA7A6B">
              <w:rPr>
                <w:rFonts w:ascii="Book Antiqua" w:hAnsi="Book Antiqua"/>
                <w:noProof/>
                <w:webHidden/>
              </w:rPr>
              <w:tab/>
            </w:r>
            <w:r w:rsidR="008333B9">
              <w:rPr>
                <w:rFonts w:ascii="Book Antiqua" w:hAnsi="Book Antiqua"/>
                <w:noProof/>
                <w:webHidden/>
              </w:rPr>
              <w:t>8</w:t>
            </w:r>
          </w:hyperlink>
        </w:p>
        <w:p w14:paraId="6C7EE018" w14:textId="6CD19536" w:rsidR="007A7E18" w:rsidRPr="00BA7A6B" w:rsidRDefault="0020718C">
          <w:pPr>
            <w:pStyle w:val="TOC2"/>
            <w:tabs>
              <w:tab w:val="right" w:leader="dot" w:pos="9062"/>
            </w:tabs>
            <w:rPr>
              <w:rFonts w:ascii="Book Antiqua" w:eastAsiaTheme="minorEastAsia" w:hAnsi="Book Antiqua"/>
              <w:noProof/>
              <w:lang w:eastAsia="hu-HU"/>
            </w:rPr>
          </w:pPr>
          <w:hyperlink w:anchor="_Toc19120767" w:history="1">
            <w:r w:rsidR="007A7E18" w:rsidRPr="00BA7A6B">
              <w:rPr>
                <w:rStyle w:val="Hyperlink"/>
                <w:rFonts w:ascii="Book Antiqua" w:hAnsi="Book Antiqua"/>
                <w:noProof/>
                <w:lang w:val="en-GB"/>
              </w:rPr>
              <w:t>Delineation of single-member constituencies</w:t>
            </w:r>
            <w:r w:rsidR="007A7E18" w:rsidRPr="00BA7A6B">
              <w:rPr>
                <w:rFonts w:ascii="Book Antiqua" w:hAnsi="Book Antiqua"/>
                <w:noProof/>
                <w:webHidden/>
              </w:rPr>
              <w:tab/>
            </w:r>
            <w:r w:rsidR="008333B9">
              <w:rPr>
                <w:rFonts w:ascii="Book Antiqua" w:hAnsi="Book Antiqua"/>
                <w:noProof/>
                <w:webHidden/>
              </w:rPr>
              <w:t>11</w:t>
            </w:r>
          </w:hyperlink>
        </w:p>
        <w:p w14:paraId="5A67E789" w14:textId="696446E5" w:rsidR="007A7E18" w:rsidRPr="00BA7A6B" w:rsidRDefault="0020718C">
          <w:pPr>
            <w:pStyle w:val="TOC2"/>
            <w:tabs>
              <w:tab w:val="right" w:leader="dot" w:pos="9062"/>
            </w:tabs>
            <w:rPr>
              <w:rFonts w:ascii="Book Antiqua" w:eastAsiaTheme="minorEastAsia" w:hAnsi="Book Antiqua"/>
              <w:noProof/>
              <w:lang w:eastAsia="hu-HU"/>
            </w:rPr>
          </w:pPr>
          <w:hyperlink w:anchor="_Toc19120768" w:history="1">
            <w:r w:rsidR="007A7E18" w:rsidRPr="00BA7A6B">
              <w:rPr>
                <w:rStyle w:val="Hyperlink"/>
                <w:rFonts w:ascii="Book Antiqua" w:hAnsi="Book Antiqua"/>
                <w:noProof/>
                <w:lang w:val="en-GB"/>
              </w:rPr>
              <w:t>National consultation “Let’s stop Brussels”</w:t>
            </w:r>
            <w:r w:rsidR="007A7E18" w:rsidRPr="00BA7A6B">
              <w:rPr>
                <w:rFonts w:ascii="Book Antiqua" w:hAnsi="Book Antiqua"/>
                <w:noProof/>
                <w:webHidden/>
              </w:rPr>
              <w:tab/>
            </w:r>
            <w:r w:rsidR="008333B9">
              <w:rPr>
                <w:rFonts w:ascii="Book Antiqua" w:hAnsi="Book Antiqua"/>
                <w:noProof/>
                <w:webHidden/>
              </w:rPr>
              <w:t>13</w:t>
            </w:r>
          </w:hyperlink>
        </w:p>
        <w:p w14:paraId="5F2A657C" w14:textId="7EDBA3FA" w:rsidR="007A7E18" w:rsidRPr="00BA7A6B" w:rsidRDefault="0020718C">
          <w:pPr>
            <w:pStyle w:val="TOC1"/>
            <w:rPr>
              <w:rFonts w:eastAsiaTheme="minorEastAsia"/>
              <w:b w:val="0"/>
              <w:lang w:val="hu-HU" w:eastAsia="hu-HU"/>
            </w:rPr>
          </w:pPr>
          <w:hyperlink w:anchor="_Toc19120769" w:history="1">
            <w:r w:rsidR="007A7E18" w:rsidRPr="00BA7A6B">
              <w:rPr>
                <w:rStyle w:val="Hyperlink"/>
              </w:rPr>
              <w:t>Independence of the judiciary and of other institutions and the rights of judges</w:t>
            </w:r>
            <w:r w:rsidR="007A7E18" w:rsidRPr="00BA7A6B">
              <w:rPr>
                <w:webHidden/>
              </w:rPr>
              <w:tab/>
            </w:r>
            <w:r w:rsidR="008333B9">
              <w:rPr>
                <w:webHidden/>
              </w:rPr>
              <w:t>14</w:t>
            </w:r>
          </w:hyperlink>
        </w:p>
        <w:p w14:paraId="78842368" w14:textId="591ECA9E" w:rsidR="007A7E18" w:rsidRPr="00BA7A6B" w:rsidRDefault="0020718C">
          <w:pPr>
            <w:pStyle w:val="TOC2"/>
            <w:tabs>
              <w:tab w:val="right" w:leader="dot" w:pos="9062"/>
            </w:tabs>
            <w:rPr>
              <w:rFonts w:ascii="Book Antiqua" w:eastAsiaTheme="minorEastAsia" w:hAnsi="Book Antiqua"/>
              <w:noProof/>
              <w:lang w:eastAsia="hu-HU"/>
            </w:rPr>
          </w:pPr>
          <w:hyperlink w:anchor="_Toc19120770" w:history="1">
            <w:r w:rsidR="007A7E18" w:rsidRPr="00BA7A6B">
              <w:rPr>
                <w:rStyle w:val="Hyperlink"/>
                <w:rFonts w:ascii="Book Antiqua" w:hAnsi="Book Antiqua"/>
                <w:noProof/>
                <w:lang w:val="en-GB"/>
              </w:rPr>
              <w:t>Centralised administration of courts / independence of judges and lawyers</w:t>
            </w:r>
            <w:r w:rsidR="007A7E18" w:rsidRPr="00BA7A6B">
              <w:rPr>
                <w:rFonts w:ascii="Book Antiqua" w:hAnsi="Book Antiqua"/>
                <w:noProof/>
                <w:webHidden/>
              </w:rPr>
              <w:tab/>
            </w:r>
            <w:r w:rsidR="008333B9">
              <w:rPr>
                <w:rFonts w:ascii="Book Antiqua" w:hAnsi="Book Antiqua"/>
                <w:noProof/>
                <w:webHidden/>
              </w:rPr>
              <w:t>15</w:t>
            </w:r>
          </w:hyperlink>
        </w:p>
        <w:p w14:paraId="004F3310" w14:textId="4F7126C9" w:rsidR="007A7E18" w:rsidRPr="00BA7A6B" w:rsidRDefault="0020718C">
          <w:pPr>
            <w:pStyle w:val="TOC2"/>
            <w:tabs>
              <w:tab w:val="right" w:leader="dot" w:pos="9062"/>
            </w:tabs>
            <w:rPr>
              <w:rFonts w:ascii="Book Antiqua" w:eastAsiaTheme="minorEastAsia" w:hAnsi="Book Antiqua"/>
              <w:noProof/>
              <w:lang w:eastAsia="hu-HU"/>
            </w:rPr>
          </w:pPr>
          <w:hyperlink w:anchor="_Toc19120771" w:history="1">
            <w:r w:rsidR="007A7E18" w:rsidRPr="00BA7A6B">
              <w:rPr>
                <w:rStyle w:val="Hyperlink"/>
                <w:rFonts w:ascii="Book Antiqua" w:hAnsi="Book Antiqua"/>
                <w:noProof/>
                <w:lang w:val="en-GB"/>
              </w:rPr>
              <w:t>Competences of the president of the National Judicial Office</w:t>
            </w:r>
            <w:r w:rsidR="007A7E18" w:rsidRPr="00BA7A6B">
              <w:rPr>
                <w:rFonts w:ascii="Book Antiqua" w:hAnsi="Book Antiqua"/>
                <w:noProof/>
                <w:webHidden/>
              </w:rPr>
              <w:tab/>
            </w:r>
            <w:r w:rsidR="008333B9">
              <w:rPr>
                <w:rFonts w:ascii="Book Antiqua" w:hAnsi="Book Antiqua"/>
                <w:noProof/>
                <w:webHidden/>
              </w:rPr>
              <w:t>21</w:t>
            </w:r>
          </w:hyperlink>
        </w:p>
        <w:p w14:paraId="79669E0A" w14:textId="1F700139" w:rsidR="007A7E18" w:rsidRPr="00BA7A6B" w:rsidRDefault="0020718C">
          <w:pPr>
            <w:pStyle w:val="TOC2"/>
            <w:tabs>
              <w:tab w:val="right" w:leader="dot" w:pos="9062"/>
            </w:tabs>
            <w:rPr>
              <w:rFonts w:ascii="Book Antiqua" w:eastAsiaTheme="minorEastAsia" w:hAnsi="Book Antiqua"/>
              <w:noProof/>
              <w:lang w:eastAsia="hu-HU"/>
            </w:rPr>
          </w:pPr>
          <w:hyperlink w:anchor="_Toc19120772" w:history="1">
            <w:r w:rsidR="007A7E18" w:rsidRPr="00BA7A6B">
              <w:rPr>
                <w:rStyle w:val="Hyperlink"/>
                <w:rFonts w:ascii="Book Antiqua" w:hAnsi="Book Antiqua"/>
                <w:noProof/>
                <w:lang w:val="en-GB"/>
              </w:rPr>
              <w:t>New system of administrative courts</w:t>
            </w:r>
            <w:r w:rsidR="007A7E18" w:rsidRPr="00BA7A6B">
              <w:rPr>
                <w:rFonts w:ascii="Book Antiqua" w:hAnsi="Book Antiqua"/>
                <w:noProof/>
                <w:webHidden/>
              </w:rPr>
              <w:tab/>
            </w:r>
            <w:r w:rsidR="008333B9">
              <w:rPr>
                <w:rFonts w:ascii="Book Antiqua" w:hAnsi="Book Antiqua"/>
                <w:noProof/>
                <w:webHidden/>
              </w:rPr>
              <w:t>22</w:t>
            </w:r>
          </w:hyperlink>
        </w:p>
        <w:p w14:paraId="70C9CC6F" w14:textId="3A0030FA" w:rsidR="007A7E18" w:rsidRPr="00BA7A6B" w:rsidRDefault="0020718C">
          <w:pPr>
            <w:pStyle w:val="TOC2"/>
            <w:tabs>
              <w:tab w:val="right" w:leader="dot" w:pos="9062"/>
            </w:tabs>
            <w:rPr>
              <w:rFonts w:ascii="Book Antiqua" w:eastAsiaTheme="minorEastAsia" w:hAnsi="Book Antiqua"/>
              <w:noProof/>
              <w:lang w:eastAsia="hu-HU"/>
            </w:rPr>
          </w:pPr>
          <w:hyperlink w:anchor="_Toc19120773" w:history="1">
            <w:r w:rsidR="007A7E18" w:rsidRPr="00BA7A6B">
              <w:rPr>
                <w:rStyle w:val="Hyperlink"/>
                <w:rFonts w:ascii="Book Antiqua" w:hAnsi="Book Antiqua"/>
                <w:noProof/>
                <w:lang w:val="en-GB"/>
              </w:rPr>
              <w:t>Compulsory retirement of judges, prosecutors and notaries</w:t>
            </w:r>
            <w:r w:rsidR="007A7E18" w:rsidRPr="00BA7A6B">
              <w:rPr>
                <w:rFonts w:ascii="Book Antiqua" w:hAnsi="Book Antiqua"/>
                <w:noProof/>
                <w:webHidden/>
              </w:rPr>
              <w:tab/>
            </w:r>
            <w:r w:rsidR="008333B9">
              <w:rPr>
                <w:rFonts w:ascii="Book Antiqua" w:hAnsi="Book Antiqua"/>
                <w:noProof/>
                <w:webHidden/>
              </w:rPr>
              <w:t>23</w:t>
            </w:r>
          </w:hyperlink>
        </w:p>
        <w:p w14:paraId="08B4AEA5" w14:textId="7075D57D" w:rsidR="007A7E18" w:rsidRPr="00BA7A6B" w:rsidRDefault="0020718C">
          <w:pPr>
            <w:pStyle w:val="TOC2"/>
            <w:tabs>
              <w:tab w:val="right" w:leader="dot" w:pos="9062"/>
            </w:tabs>
            <w:rPr>
              <w:rFonts w:ascii="Book Antiqua" w:eastAsiaTheme="minorEastAsia" w:hAnsi="Book Antiqua"/>
              <w:noProof/>
              <w:lang w:eastAsia="hu-HU"/>
            </w:rPr>
          </w:pPr>
          <w:hyperlink w:anchor="_Toc19120774" w:history="1">
            <w:r w:rsidR="007A7E18" w:rsidRPr="00BA7A6B">
              <w:rPr>
                <w:rStyle w:val="Hyperlink"/>
                <w:rFonts w:ascii="Book Antiqua" w:hAnsi="Book Antiqua"/>
                <w:noProof/>
                <w:lang w:val="en-GB"/>
              </w:rPr>
              <w:t>Violation of the right to a fair trial (Gazsó v. Hungary)</w:t>
            </w:r>
            <w:r w:rsidR="007A7E18" w:rsidRPr="00BA7A6B">
              <w:rPr>
                <w:rFonts w:ascii="Book Antiqua" w:hAnsi="Book Antiqua"/>
                <w:noProof/>
                <w:webHidden/>
              </w:rPr>
              <w:tab/>
            </w:r>
            <w:r w:rsidR="008333B9">
              <w:rPr>
                <w:rFonts w:ascii="Book Antiqua" w:hAnsi="Book Antiqua"/>
                <w:noProof/>
                <w:webHidden/>
              </w:rPr>
              <w:t>25</w:t>
            </w:r>
          </w:hyperlink>
        </w:p>
        <w:p w14:paraId="169CAE36" w14:textId="5F133D4C" w:rsidR="007A7E18" w:rsidRPr="00BA7A6B" w:rsidRDefault="0020718C">
          <w:pPr>
            <w:pStyle w:val="TOC2"/>
            <w:tabs>
              <w:tab w:val="right" w:leader="dot" w:pos="9062"/>
            </w:tabs>
            <w:rPr>
              <w:rFonts w:ascii="Book Antiqua" w:eastAsiaTheme="minorEastAsia" w:hAnsi="Book Antiqua"/>
              <w:noProof/>
              <w:lang w:eastAsia="hu-HU"/>
            </w:rPr>
          </w:pPr>
          <w:hyperlink w:anchor="_Toc19120775" w:history="1">
            <w:r w:rsidR="007A7E18" w:rsidRPr="00BA7A6B">
              <w:rPr>
                <w:rStyle w:val="Hyperlink"/>
                <w:rFonts w:ascii="Book Antiqua" w:hAnsi="Book Antiqua"/>
                <w:noProof/>
                <w:lang w:val="en-GB"/>
              </w:rPr>
              <w:t>Violation of the right of access to a court (Baka v. Hungary)</w:t>
            </w:r>
            <w:r w:rsidR="007A7E18" w:rsidRPr="00BA7A6B">
              <w:rPr>
                <w:rFonts w:ascii="Book Antiqua" w:hAnsi="Book Antiqua"/>
                <w:noProof/>
                <w:webHidden/>
              </w:rPr>
              <w:tab/>
            </w:r>
            <w:r w:rsidR="008333B9">
              <w:rPr>
                <w:rFonts w:ascii="Book Antiqua" w:hAnsi="Book Antiqua"/>
                <w:noProof/>
                <w:webHidden/>
              </w:rPr>
              <w:t>27</w:t>
            </w:r>
          </w:hyperlink>
        </w:p>
        <w:p w14:paraId="13D3FEEC" w14:textId="6CE3EFFE" w:rsidR="007A7E18" w:rsidRPr="00BA7A6B" w:rsidRDefault="0020718C">
          <w:pPr>
            <w:pStyle w:val="TOC2"/>
            <w:tabs>
              <w:tab w:val="right" w:leader="dot" w:pos="9062"/>
            </w:tabs>
            <w:rPr>
              <w:rFonts w:ascii="Book Antiqua" w:eastAsiaTheme="minorEastAsia" w:hAnsi="Book Antiqua"/>
              <w:noProof/>
              <w:lang w:eastAsia="hu-HU"/>
            </w:rPr>
          </w:pPr>
          <w:hyperlink w:anchor="_Toc19120776" w:history="1">
            <w:r w:rsidR="007A7E18" w:rsidRPr="00BA7A6B">
              <w:rPr>
                <w:rStyle w:val="Hyperlink"/>
                <w:rFonts w:ascii="Book Antiqua" w:hAnsi="Book Antiqua"/>
                <w:noProof/>
                <w:lang w:val="en-GB"/>
              </w:rPr>
              <w:t>Criticisms concerning the prosecution service</w:t>
            </w:r>
            <w:r w:rsidR="007A7E18" w:rsidRPr="00BA7A6B">
              <w:rPr>
                <w:rFonts w:ascii="Book Antiqua" w:hAnsi="Book Antiqua"/>
                <w:noProof/>
                <w:webHidden/>
              </w:rPr>
              <w:tab/>
            </w:r>
            <w:r w:rsidR="008333B9">
              <w:rPr>
                <w:rFonts w:ascii="Book Antiqua" w:hAnsi="Book Antiqua"/>
                <w:noProof/>
                <w:webHidden/>
              </w:rPr>
              <w:t>31</w:t>
            </w:r>
          </w:hyperlink>
        </w:p>
        <w:p w14:paraId="46E76B24" w14:textId="27DA6670" w:rsidR="007A7E18" w:rsidRPr="00BA7A6B" w:rsidRDefault="0020718C">
          <w:pPr>
            <w:pStyle w:val="TOC1"/>
            <w:rPr>
              <w:rFonts w:eastAsiaTheme="minorEastAsia"/>
              <w:b w:val="0"/>
              <w:lang w:val="hu-HU" w:eastAsia="hu-HU"/>
            </w:rPr>
          </w:pPr>
          <w:hyperlink w:anchor="_Toc19120777" w:history="1">
            <w:r w:rsidR="007A7E18" w:rsidRPr="00BA7A6B">
              <w:rPr>
                <w:rStyle w:val="Hyperlink"/>
              </w:rPr>
              <w:t>Corruption and conflicts of interest</w:t>
            </w:r>
            <w:r w:rsidR="007A7E18" w:rsidRPr="00BA7A6B">
              <w:rPr>
                <w:webHidden/>
              </w:rPr>
              <w:tab/>
            </w:r>
            <w:r w:rsidR="008333B9">
              <w:rPr>
                <w:webHidden/>
              </w:rPr>
              <w:t>33</w:t>
            </w:r>
          </w:hyperlink>
        </w:p>
        <w:p w14:paraId="370621E4" w14:textId="7BD8C6CD" w:rsidR="007A7E18" w:rsidRPr="00BA7A6B" w:rsidRDefault="0020718C">
          <w:pPr>
            <w:pStyle w:val="TOC2"/>
            <w:tabs>
              <w:tab w:val="right" w:leader="dot" w:pos="9062"/>
            </w:tabs>
            <w:rPr>
              <w:rFonts w:ascii="Book Antiqua" w:eastAsiaTheme="minorEastAsia" w:hAnsi="Book Antiqua"/>
              <w:noProof/>
              <w:lang w:eastAsia="hu-HU"/>
            </w:rPr>
          </w:pPr>
          <w:hyperlink w:anchor="_Toc19120778" w:history="1">
            <w:r w:rsidR="007A7E18" w:rsidRPr="00BA7A6B">
              <w:rPr>
                <w:rStyle w:val="Hyperlink"/>
                <w:rFonts w:ascii="Book Antiqua" w:hAnsi="Book Antiqua"/>
                <w:noProof/>
                <w:lang w:val="en-GB"/>
              </w:rPr>
              <w:t>Conflicts of interest of members of the Hungarian Parliament</w:t>
            </w:r>
            <w:r w:rsidR="007A7E18" w:rsidRPr="00BA7A6B">
              <w:rPr>
                <w:rFonts w:ascii="Book Antiqua" w:hAnsi="Book Antiqua"/>
                <w:noProof/>
                <w:webHidden/>
              </w:rPr>
              <w:tab/>
            </w:r>
            <w:r w:rsidR="008333B9">
              <w:rPr>
                <w:rFonts w:ascii="Book Antiqua" w:hAnsi="Book Antiqua"/>
                <w:noProof/>
                <w:webHidden/>
              </w:rPr>
              <w:t>34</w:t>
            </w:r>
          </w:hyperlink>
        </w:p>
        <w:p w14:paraId="014EEB31" w14:textId="7516C208" w:rsidR="007A7E18" w:rsidRPr="00BA7A6B" w:rsidRDefault="0020718C">
          <w:pPr>
            <w:pStyle w:val="TOC2"/>
            <w:tabs>
              <w:tab w:val="right" w:leader="dot" w:pos="9062"/>
            </w:tabs>
            <w:rPr>
              <w:rFonts w:ascii="Book Antiqua" w:eastAsiaTheme="minorEastAsia" w:hAnsi="Book Antiqua"/>
              <w:noProof/>
              <w:lang w:eastAsia="hu-HU"/>
            </w:rPr>
          </w:pPr>
          <w:hyperlink w:anchor="_Toc19120779" w:history="1">
            <w:r w:rsidR="007A7E18" w:rsidRPr="00BA7A6B">
              <w:rPr>
                <w:rStyle w:val="Hyperlink"/>
                <w:rFonts w:ascii="Book Antiqua" w:hAnsi="Book Antiqua"/>
                <w:noProof/>
                <w:lang w:val="en-GB"/>
              </w:rPr>
              <w:t>Limited monitoring of campaign spending</w:t>
            </w:r>
            <w:r w:rsidR="007A7E18" w:rsidRPr="00BA7A6B">
              <w:rPr>
                <w:rFonts w:ascii="Book Antiqua" w:hAnsi="Book Antiqua"/>
                <w:noProof/>
                <w:webHidden/>
              </w:rPr>
              <w:tab/>
            </w:r>
            <w:r w:rsidR="008333B9">
              <w:rPr>
                <w:rFonts w:ascii="Book Antiqua" w:hAnsi="Book Antiqua"/>
                <w:noProof/>
                <w:webHidden/>
              </w:rPr>
              <w:t>35</w:t>
            </w:r>
          </w:hyperlink>
        </w:p>
        <w:p w14:paraId="4BA17597" w14:textId="04964057" w:rsidR="007A7E18" w:rsidRPr="00BA7A6B" w:rsidRDefault="0020718C">
          <w:pPr>
            <w:pStyle w:val="TOC2"/>
            <w:tabs>
              <w:tab w:val="right" w:leader="dot" w:pos="9062"/>
            </w:tabs>
            <w:rPr>
              <w:rFonts w:ascii="Book Antiqua" w:eastAsiaTheme="minorEastAsia" w:hAnsi="Book Antiqua"/>
              <w:noProof/>
              <w:lang w:eastAsia="hu-HU"/>
            </w:rPr>
          </w:pPr>
          <w:hyperlink w:anchor="_Toc19120780" w:history="1">
            <w:r w:rsidR="007A7E18" w:rsidRPr="00BA7A6B">
              <w:rPr>
                <w:rStyle w:val="Hyperlink"/>
                <w:rFonts w:ascii="Book Antiqua" w:hAnsi="Book Antiqua"/>
                <w:noProof/>
                <w:lang w:val="en-GB"/>
              </w:rPr>
              <w:t>Withdrawal from the Open Government Partnership</w:t>
            </w:r>
            <w:r w:rsidR="007A7E18" w:rsidRPr="00BA7A6B">
              <w:rPr>
                <w:rFonts w:ascii="Book Antiqua" w:hAnsi="Book Antiqua"/>
                <w:noProof/>
                <w:webHidden/>
              </w:rPr>
              <w:tab/>
            </w:r>
            <w:r w:rsidR="008333B9">
              <w:rPr>
                <w:rFonts w:ascii="Book Antiqua" w:hAnsi="Book Antiqua"/>
                <w:noProof/>
                <w:webHidden/>
              </w:rPr>
              <w:t>36</w:t>
            </w:r>
          </w:hyperlink>
        </w:p>
        <w:p w14:paraId="0C2903F1" w14:textId="0C0C07AD" w:rsidR="007A7E18" w:rsidRPr="00BA7A6B" w:rsidRDefault="0020718C">
          <w:pPr>
            <w:pStyle w:val="TOC2"/>
            <w:tabs>
              <w:tab w:val="right" w:leader="dot" w:pos="9062"/>
            </w:tabs>
            <w:rPr>
              <w:rFonts w:ascii="Book Antiqua" w:eastAsiaTheme="minorEastAsia" w:hAnsi="Book Antiqua"/>
              <w:noProof/>
              <w:lang w:eastAsia="hu-HU"/>
            </w:rPr>
          </w:pPr>
          <w:hyperlink w:anchor="_Toc19120781" w:history="1">
            <w:r w:rsidR="007A7E18" w:rsidRPr="00BA7A6B">
              <w:rPr>
                <w:rStyle w:val="Hyperlink"/>
                <w:rFonts w:ascii="Book Antiqua" w:hAnsi="Book Antiqua"/>
                <w:noProof/>
                <w:lang w:val="en-GB"/>
              </w:rPr>
              <w:t>The follow-up of the OLAF’s recommendations and public procurement</w:t>
            </w:r>
            <w:r w:rsidR="007A7E18" w:rsidRPr="00BA7A6B">
              <w:rPr>
                <w:rFonts w:ascii="Book Antiqua" w:hAnsi="Book Antiqua"/>
                <w:noProof/>
                <w:webHidden/>
              </w:rPr>
              <w:tab/>
            </w:r>
            <w:r w:rsidR="008333B9">
              <w:rPr>
                <w:rFonts w:ascii="Book Antiqua" w:hAnsi="Book Antiqua"/>
                <w:noProof/>
                <w:webHidden/>
              </w:rPr>
              <w:t>37</w:t>
            </w:r>
          </w:hyperlink>
        </w:p>
        <w:p w14:paraId="1C88EA94" w14:textId="4421B974" w:rsidR="007A7E18" w:rsidRPr="00BA7A6B" w:rsidRDefault="0020718C">
          <w:pPr>
            <w:pStyle w:val="TOC2"/>
            <w:tabs>
              <w:tab w:val="right" w:leader="dot" w:pos="9062"/>
            </w:tabs>
            <w:rPr>
              <w:rFonts w:ascii="Book Antiqua" w:eastAsiaTheme="minorEastAsia" w:hAnsi="Book Antiqua"/>
              <w:noProof/>
              <w:lang w:eastAsia="hu-HU"/>
            </w:rPr>
          </w:pPr>
          <w:hyperlink w:anchor="_Toc19120782" w:history="1">
            <w:r w:rsidR="007A7E18" w:rsidRPr="00BA7A6B">
              <w:rPr>
                <w:rStyle w:val="Hyperlink"/>
                <w:rFonts w:ascii="Book Antiqua" w:hAnsi="Book Antiqua"/>
                <w:noProof/>
                <w:lang w:val="en-GB"/>
              </w:rPr>
              <w:t>Public procurement</w:t>
            </w:r>
            <w:r w:rsidR="007A7E18" w:rsidRPr="00BA7A6B">
              <w:rPr>
                <w:rFonts w:ascii="Book Antiqua" w:hAnsi="Book Antiqua"/>
                <w:noProof/>
                <w:webHidden/>
              </w:rPr>
              <w:tab/>
            </w:r>
            <w:r w:rsidR="008333B9">
              <w:rPr>
                <w:rFonts w:ascii="Book Antiqua" w:hAnsi="Book Antiqua"/>
                <w:noProof/>
                <w:webHidden/>
              </w:rPr>
              <w:t>40</w:t>
            </w:r>
          </w:hyperlink>
        </w:p>
        <w:p w14:paraId="4B9BE1D1" w14:textId="5C38C7C7" w:rsidR="007A7E18" w:rsidRPr="00BA7A6B" w:rsidRDefault="0020718C">
          <w:pPr>
            <w:pStyle w:val="TOC2"/>
            <w:tabs>
              <w:tab w:val="right" w:leader="dot" w:pos="9062"/>
            </w:tabs>
            <w:rPr>
              <w:rFonts w:ascii="Book Antiqua" w:eastAsiaTheme="minorEastAsia" w:hAnsi="Book Antiqua"/>
              <w:noProof/>
              <w:lang w:eastAsia="hu-HU"/>
            </w:rPr>
          </w:pPr>
          <w:hyperlink w:anchor="_Toc19120783" w:history="1">
            <w:r w:rsidR="007A7E18" w:rsidRPr="00BA7A6B">
              <w:rPr>
                <w:rStyle w:val="Hyperlink"/>
                <w:rFonts w:ascii="Book Antiqua" w:hAnsi="Book Antiqua"/>
                <w:noProof/>
                <w:lang w:val="en-GB"/>
              </w:rPr>
              <w:t>Effective governance and corruption</w:t>
            </w:r>
            <w:r w:rsidR="007A7E18" w:rsidRPr="00BA7A6B">
              <w:rPr>
                <w:rFonts w:ascii="Book Antiqua" w:hAnsi="Book Antiqua"/>
                <w:noProof/>
                <w:webHidden/>
              </w:rPr>
              <w:tab/>
            </w:r>
            <w:r w:rsidR="008333B9">
              <w:rPr>
                <w:rFonts w:ascii="Book Antiqua" w:hAnsi="Book Antiqua"/>
                <w:noProof/>
                <w:webHidden/>
              </w:rPr>
              <w:t>44</w:t>
            </w:r>
          </w:hyperlink>
        </w:p>
        <w:p w14:paraId="3632F5A7" w14:textId="1DE6EA84" w:rsidR="007A7E18" w:rsidRPr="00BA7A6B" w:rsidRDefault="0020718C">
          <w:pPr>
            <w:pStyle w:val="TOC1"/>
            <w:rPr>
              <w:rFonts w:eastAsiaTheme="minorEastAsia"/>
              <w:b w:val="0"/>
              <w:lang w:val="hu-HU" w:eastAsia="hu-HU"/>
            </w:rPr>
          </w:pPr>
          <w:hyperlink w:anchor="_Toc19120784" w:history="1">
            <w:r w:rsidR="007A7E18" w:rsidRPr="00BA7A6B">
              <w:rPr>
                <w:rStyle w:val="Hyperlink"/>
              </w:rPr>
              <w:t>Privacy and data protection</w:t>
            </w:r>
            <w:r w:rsidR="007A7E18" w:rsidRPr="00BA7A6B">
              <w:rPr>
                <w:webHidden/>
              </w:rPr>
              <w:tab/>
            </w:r>
            <w:r w:rsidR="008333B9">
              <w:rPr>
                <w:webHidden/>
              </w:rPr>
              <w:t>48</w:t>
            </w:r>
          </w:hyperlink>
        </w:p>
        <w:p w14:paraId="5C06E2A1" w14:textId="530AD8D5" w:rsidR="007A7E18" w:rsidRPr="00BA7A6B" w:rsidRDefault="0020718C">
          <w:pPr>
            <w:pStyle w:val="TOC2"/>
            <w:tabs>
              <w:tab w:val="right" w:leader="dot" w:pos="9062"/>
            </w:tabs>
            <w:rPr>
              <w:rFonts w:ascii="Book Antiqua" w:eastAsiaTheme="minorEastAsia" w:hAnsi="Book Antiqua"/>
              <w:noProof/>
              <w:lang w:eastAsia="hu-HU"/>
            </w:rPr>
          </w:pPr>
          <w:hyperlink w:anchor="_Toc19120785" w:history="1">
            <w:r w:rsidR="007A7E18" w:rsidRPr="00BA7A6B">
              <w:rPr>
                <w:rStyle w:val="Hyperlink"/>
                <w:rFonts w:ascii="Book Antiqua" w:hAnsi="Book Antiqua"/>
                <w:noProof/>
                <w:lang w:val="en-GB"/>
              </w:rPr>
              <w:t>Violation of the respect for private life (Szabó and Vissy v. Hungary)</w:t>
            </w:r>
            <w:r w:rsidR="007A7E18" w:rsidRPr="00BA7A6B">
              <w:rPr>
                <w:rFonts w:ascii="Book Antiqua" w:hAnsi="Book Antiqua"/>
                <w:noProof/>
                <w:webHidden/>
              </w:rPr>
              <w:tab/>
            </w:r>
            <w:r w:rsidR="008333B9">
              <w:rPr>
                <w:rFonts w:ascii="Book Antiqua" w:hAnsi="Book Antiqua"/>
                <w:noProof/>
                <w:webHidden/>
              </w:rPr>
              <w:t>48</w:t>
            </w:r>
          </w:hyperlink>
        </w:p>
        <w:p w14:paraId="0F3127F6" w14:textId="7B814B4C" w:rsidR="007A7E18" w:rsidRPr="00BA7A6B" w:rsidRDefault="0020718C">
          <w:pPr>
            <w:pStyle w:val="TOC2"/>
            <w:tabs>
              <w:tab w:val="right" w:leader="dot" w:pos="9062"/>
            </w:tabs>
            <w:rPr>
              <w:rFonts w:ascii="Book Antiqua" w:eastAsiaTheme="minorEastAsia" w:hAnsi="Book Antiqua"/>
              <w:noProof/>
              <w:lang w:eastAsia="hu-HU"/>
            </w:rPr>
          </w:pPr>
          <w:hyperlink w:anchor="_Toc19120786" w:history="1">
            <w:r w:rsidR="007A7E18" w:rsidRPr="00BA7A6B">
              <w:rPr>
                <w:rStyle w:val="Hyperlink"/>
                <w:rFonts w:ascii="Book Antiqua" w:hAnsi="Book Antiqua"/>
                <w:noProof/>
                <w:lang w:val="en-GB"/>
              </w:rPr>
              <w:t>Legal framework on secret surveillance for national security purposes</w:t>
            </w:r>
            <w:r w:rsidR="007A7E18" w:rsidRPr="00BA7A6B">
              <w:rPr>
                <w:rFonts w:ascii="Book Antiqua" w:hAnsi="Book Antiqua"/>
                <w:noProof/>
                <w:webHidden/>
              </w:rPr>
              <w:tab/>
            </w:r>
            <w:r w:rsidR="008333B9">
              <w:rPr>
                <w:rFonts w:ascii="Book Antiqua" w:hAnsi="Book Antiqua"/>
                <w:noProof/>
                <w:webHidden/>
              </w:rPr>
              <w:t>49</w:t>
            </w:r>
          </w:hyperlink>
        </w:p>
        <w:p w14:paraId="6BD6CA4D" w14:textId="74B96A94" w:rsidR="007A7E18" w:rsidRPr="00BA7A6B" w:rsidRDefault="0020718C">
          <w:pPr>
            <w:pStyle w:val="TOC1"/>
            <w:rPr>
              <w:rFonts w:eastAsiaTheme="minorEastAsia"/>
              <w:b w:val="0"/>
              <w:lang w:val="hu-HU" w:eastAsia="hu-HU"/>
            </w:rPr>
          </w:pPr>
          <w:hyperlink w:anchor="_Toc19120787" w:history="1">
            <w:r w:rsidR="007A7E18" w:rsidRPr="00BA7A6B">
              <w:rPr>
                <w:rStyle w:val="Hyperlink"/>
              </w:rPr>
              <w:t>Freedom of expression</w:t>
            </w:r>
            <w:r w:rsidR="007A7E18" w:rsidRPr="00BA7A6B">
              <w:rPr>
                <w:webHidden/>
              </w:rPr>
              <w:tab/>
            </w:r>
            <w:r w:rsidR="008333B9">
              <w:rPr>
                <w:webHidden/>
              </w:rPr>
              <w:t>50</w:t>
            </w:r>
          </w:hyperlink>
        </w:p>
        <w:p w14:paraId="2A1BE62F" w14:textId="4CDCC1AB" w:rsidR="007A7E18" w:rsidRPr="00BA7A6B" w:rsidRDefault="0020718C">
          <w:pPr>
            <w:pStyle w:val="TOC2"/>
            <w:tabs>
              <w:tab w:val="right" w:leader="dot" w:pos="9062"/>
            </w:tabs>
            <w:rPr>
              <w:rFonts w:ascii="Book Antiqua" w:eastAsiaTheme="minorEastAsia" w:hAnsi="Book Antiqua"/>
              <w:noProof/>
              <w:lang w:eastAsia="hu-HU"/>
            </w:rPr>
          </w:pPr>
          <w:hyperlink w:anchor="_Toc19120788" w:history="1">
            <w:r w:rsidR="007A7E18" w:rsidRPr="00BA7A6B">
              <w:rPr>
                <w:rStyle w:val="Hyperlink"/>
                <w:rFonts w:ascii="Book Antiqua" w:hAnsi="Book Antiqua"/>
                <w:noProof/>
                <w:lang w:val="en-GB"/>
              </w:rPr>
              <w:t>Media legislation</w:t>
            </w:r>
            <w:r w:rsidR="007A7E18" w:rsidRPr="00BA7A6B">
              <w:rPr>
                <w:rFonts w:ascii="Book Antiqua" w:hAnsi="Book Antiqua"/>
                <w:noProof/>
                <w:webHidden/>
              </w:rPr>
              <w:tab/>
            </w:r>
            <w:r w:rsidR="008333B9">
              <w:rPr>
                <w:rFonts w:ascii="Book Antiqua" w:hAnsi="Book Antiqua"/>
                <w:noProof/>
                <w:webHidden/>
              </w:rPr>
              <w:t>51</w:t>
            </w:r>
          </w:hyperlink>
        </w:p>
        <w:p w14:paraId="0B5A5672" w14:textId="0087D1D4" w:rsidR="007A7E18" w:rsidRPr="00BA7A6B" w:rsidRDefault="0020718C">
          <w:pPr>
            <w:pStyle w:val="TOC2"/>
            <w:tabs>
              <w:tab w:val="right" w:leader="dot" w:pos="9062"/>
            </w:tabs>
            <w:rPr>
              <w:rFonts w:ascii="Book Antiqua" w:eastAsiaTheme="minorEastAsia" w:hAnsi="Book Antiqua"/>
              <w:noProof/>
              <w:lang w:eastAsia="hu-HU"/>
            </w:rPr>
          </w:pPr>
          <w:hyperlink w:anchor="_Toc19120789" w:history="1">
            <w:r w:rsidR="007A7E18" w:rsidRPr="00BA7A6B">
              <w:rPr>
                <w:rStyle w:val="Hyperlink"/>
                <w:rFonts w:ascii="Book Antiqua" w:hAnsi="Book Antiqua"/>
                <w:noProof/>
                <w:lang w:val="en-GB"/>
              </w:rPr>
              <w:t>Election of the members of the Media Council</w:t>
            </w:r>
            <w:r w:rsidR="007A7E18" w:rsidRPr="00BA7A6B">
              <w:rPr>
                <w:rFonts w:ascii="Book Antiqua" w:hAnsi="Book Antiqua"/>
                <w:noProof/>
                <w:webHidden/>
              </w:rPr>
              <w:tab/>
            </w:r>
            <w:r w:rsidR="008333B9">
              <w:rPr>
                <w:rFonts w:ascii="Book Antiqua" w:hAnsi="Book Antiqua"/>
                <w:noProof/>
                <w:webHidden/>
              </w:rPr>
              <w:t>56</w:t>
            </w:r>
          </w:hyperlink>
        </w:p>
        <w:p w14:paraId="23B2FDD3" w14:textId="32D0C6E8" w:rsidR="007A7E18" w:rsidRPr="00BA7A6B" w:rsidRDefault="0020718C">
          <w:pPr>
            <w:pStyle w:val="TOC2"/>
            <w:tabs>
              <w:tab w:val="right" w:leader="dot" w:pos="9062"/>
            </w:tabs>
            <w:rPr>
              <w:rFonts w:ascii="Book Antiqua" w:eastAsiaTheme="minorEastAsia" w:hAnsi="Book Antiqua"/>
              <w:noProof/>
              <w:lang w:eastAsia="hu-HU"/>
            </w:rPr>
          </w:pPr>
          <w:hyperlink w:anchor="_Toc19120790" w:history="1">
            <w:r w:rsidR="007A7E18" w:rsidRPr="00BA7A6B">
              <w:rPr>
                <w:rStyle w:val="Hyperlink"/>
                <w:rFonts w:ascii="Book Antiqua" w:hAnsi="Book Antiqua"/>
                <w:noProof/>
                <w:lang w:val="en-GB"/>
              </w:rPr>
              <w:t>Act CXII of 2011 on Informational Self-Determination and Freedom of Information</w:t>
            </w:r>
            <w:r w:rsidR="007A7E18" w:rsidRPr="00BA7A6B">
              <w:rPr>
                <w:rFonts w:ascii="Book Antiqua" w:hAnsi="Book Antiqua"/>
                <w:noProof/>
                <w:webHidden/>
              </w:rPr>
              <w:tab/>
            </w:r>
            <w:r w:rsidR="008333B9">
              <w:rPr>
                <w:rFonts w:ascii="Book Antiqua" w:hAnsi="Book Antiqua"/>
                <w:noProof/>
                <w:webHidden/>
              </w:rPr>
              <w:t>58</w:t>
            </w:r>
          </w:hyperlink>
        </w:p>
        <w:p w14:paraId="24C05A26" w14:textId="4B143F2A" w:rsidR="007A7E18" w:rsidRPr="00BA7A6B" w:rsidRDefault="0020718C">
          <w:pPr>
            <w:pStyle w:val="TOC2"/>
            <w:tabs>
              <w:tab w:val="right" w:leader="dot" w:pos="9062"/>
            </w:tabs>
            <w:rPr>
              <w:rFonts w:ascii="Book Antiqua" w:eastAsiaTheme="minorEastAsia" w:hAnsi="Book Antiqua"/>
              <w:noProof/>
              <w:lang w:eastAsia="hu-HU"/>
            </w:rPr>
          </w:pPr>
          <w:hyperlink w:anchor="_Toc19120791" w:history="1">
            <w:r w:rsidR="007A7E18" w:rsidRPr="00BA7A6B">
              <w:rPr>
                <w:rStyle w:val="Hyperlink"/>
                <w:rFonts w:ascii="Book Antiqua" w:hAnsi="Book Antiqua"/>
                <w:noProof/>
                <w:lang w:val="en-GB"/>
              </w:rPr>
              <w:t>Freedom of the media and of association during the 8 April 2018 elections</w:t>
            </w:r>
            <w:r w:rsidR="007A7E18" w:rsidRPr="00BA7A6B">
              <w:rPr>
                <w:rFonts w:ascii="Book Antiqua" w:hAnsi="Book Antiqua"/>
                <w:noProof/>
                <w:webHidden/>
              </w:rPr>
              <w:tab/>
            </w:r>
            <w:r w:rsidR="008333B9">
              <w:rPr>
                <w:rFonts w:ascii="Book Antiqua" w:hAnsi="Book Antiqua"/>
                <w:noProof/>
                <w:webHidden/>
              </w:rPr>
              <w:t>60</w:t>
            </w:r>
          </w:hyperlink>
        </w:p>
        <w:p w14:paraId="024F3D20" w14:textId="2D590ADC" w:rsidR="007A7E18" w:rsidRPr="00BA7A6B" w:rsidRDefault="0020718C">
          <w:pPr>
            <w:pStyle w:val="TOC2"/>
            <w:tabs>
              <w:tab w:val="right" w:leader="dot" w:pos="9062"/>
            </w:tabs>
            <w:rPr>
              <w:rFonts w:ascii="Book Antiqua" w:eastAsiaTheme="minorEastAsia" w:hAnsi="Book Antiqua"/>
              <w:noProof/>
              <w:lang w:eastAsia="hu-HU"/>
            </w:rPr>
          </w:pPr>
          <w:hyperlink w:anchor="_Toc19120792" w:history="1">
            <w:r w:rsidR="007A7E18" w:rsidRPr="00BA7A6B">
              <w:rPr>
                <w:rStyle w:val="Hyperlink"/>
                <w:rFonts w:ascii="Book Antiqua" w:hAnsi="Book Antiqua"/>
                <w:noProof/>
                <w:lang w:val="en-GB"/>
              </w:rPr>
              <w:t>Restrictions on freedom of opinion and expression</w:t>
            </w:r>
            <w:r w:rsidR="007A7E18" w:rsidRPr="00BA7A6B">
              <w:rPr>
                <w:rFonts w:ascii="Book Antiqua" w:hAnsi="Book Antiqua"/>
                <w:noProof/>
                <w:webHidden/>
              </w:rPr>
              <w:tab/>
            </w:r>
            <w:r w:rsidR="008333B9">
              <w:rPr>
                <w:rFonts w:ascii="Book Antiqua" w:hAnsi="Book Antiqua"/>
                <w:noProof/>
                <w:webHidden/>
              </w:rPr>
              <w:t>61</w:t>
            </w:r>
          </w:hyperlink>
        </w:p>
        <w:p w14:paraId="34E89585" w14:textId="15480FB4" w:rsidR="007A7E18" w:rsidRPr="00BA7A6B" w:rsidRDefault="0020718C">
          <w:pPr>
            <w:pStyle w:val="TOC2"/>
            <w:tabs>
              <w:tab w:val="right" w:leader="dot" w:pos="9062"/>
            </w:tabs>
            <w:rPr>
              <w:rFonts w:ascii="Book Antiqua" w:eastAsiaTheme="minorEastAsia" w:hAnsi="Book Antiqua"/>
              <w:noProof/>
              <w:lang w:eastAsia="hu-HU"/>
            </w:rPr>
          </w:pPr>
          <w:hyperlink w:anchor="_Toc19120793" w:history="1">
            <w:r w:rsidR="007A7E18" w:rsidRPr="00BA7A6B">
              <w:rPr>
                <w:rStyle w:val="Hyperlink"/>
                <w:rFonts w:ascii="Book Antiqua" w:hAnsi="Book Antiqua"/>
                <w:noProof/>
                <w:lang w:val="en-GB"/>
              </w:rPr>
              <w:t>Publication of a list of people allegedly working to “topple the government” and the denial of accreditation to several independent journalists</w:t>
            </w:r>
            <w:r w:rsidR="007A7E18" w:rsidRPr="00BA7A6B">
              <w:rPr>
                <w:rFonts w:ascii="Book Antiqua" w:hAnsi="Book Antiqua"/>
                <w:noProof/>
                <w:webHidden/>
              </w:rPr>
              <w:tab/>
            </w:r>
            <w:r w:rsidR="008333B9">
              <w:rPr>
                <w:rFonts w:ascii="Book Antiqua" w:hAnsi="Book Antiqua"/>
                <w:noProof/>
                <w:webHidden/>
              </w:rPr>
              <w:t>62</w:t>
            </w:r>
          </w:hyperlink>
        </w:p>
        <w:p w14:paraId="59BCDF31" w14:textId="788F393F" w:rsidR="007A7E18" w:rsidRPr="00BA7A6B" w:rsidRDefault="0020718C">
          <w:pPr>
            <w:pStyle w:val="TOC1"/>
            <w:rPr>
              <w:rFonts w:eastAsiaTheme="minorEastAsia"/>
              <w:b w:val="0"/>
              <w:lang w:val="hu-HU" w:eastAsia="hu-HU"/>
            </w:rPr>
          </w:pPr>
          <w:hyperlink w:anchor="_Toc19120794" w:history="1">
            <w:r w:rsidR="007A7E18" w:rsidRPr="00BA7A6B">
              <w:rPr>
                <w:rStyle w:val="Hyperlink"/>
              </w:rPr>
              <w:t>Academic freedom</w:t>
            </w:r>
            <w:r w:rsidR="007A7E18" w:rsidRPr="00BA7A6B">
              <w:rPr>
                <w:webHidden/>
              </w:rPr>
              <w:tab/>
            </w:r>
            <w:r w:rsidR="008333B9">
              <w:rPr>
                <w:webHidden/>
              </w:rPr>
              <w:t>63</w:t>
            </w:r>
          </w:hyperlink>
        </w:p>
        <w:p w14:paraId="3DCB3D68" w14:textId="2FC5FD4C" w:rsidR="007A7E18" w:rsidRPr="00BA7A6B" w:rsidRDefault="0020718C">
          <w:pPr>
            <w:pStyle w:val="TOC2"/>
            <w:tabs>
              <w:tab w:val="right" w:leader="dot" w:pos="9062"/>
            </w:tabs>
            <w:rPr>
              <w:rFonts w:ascii="Book Antiqua" w:eastAsiaTheme="minorEastAsia" w:hAnsi="Book Antiqua"/>
              <w:noProof/>
              <w:lang w:eastAsia="hu-HU"/>
            </w:rPr>
          </w:pPr>
          <w:hyperlink w:anchor="_Toc19120795" w:history="1">
            <w:r w:rsidR="007A7E18" w:rsidRPr="00BA7A6B">
              <w:rPr>
                <w:rStyle w:val="Hyperlink"/>
                <w:rFonts w:ascii="Book Antiqua" w:hAnsi="Book Antiqua"/>
                <w:noProof/>
                <w:lang w:val="en-GB"/>
              </w:rPr>
              <w:t>Amendment of Act CCIV of 2011 on National Tertiary Education</w:t>
            </w:r>
            <w:r w:rsidR="007A7E18" w:rsidRPr="00BA7A6B">
              <w:rPr>
                <w:rFonts w:ascii="Book Antiqua" w:hAnsi="Book Antiqua"/>
                <w:noProof/>
                <w:webHidden/>
              </w:rPr>
              <w:tab/>
            </w:r>
            <w:r w:rsidR="008333B9">
              <w:rPr>
                <w:rFonts w:ascii="Book Antiqua" w:hAnsi="Book Antiqua"/>
                <w:noProof/>
                <w:webHidden/>
              </w:rPr>
              <w:t>64</w:t>
            </w:r>
          </w:hyperlink>
        </w:p>
        <w:p w14:paraId="38FF9A1F" w14:textId="7D7EB836" w:rsidR="007A7E18" w:rsidRPr="00BA7A6B" w:rsidRDefault="0020718C">
          <w:pPr>
            <w:pStyle w:val="TOC2"/>
            <w:tabs>
              <w:tab w:val="right" w:leader="dot" w:pos="9062"/>
            </w:tabs>
            <w:rPr>
              <w:rFonts w:ascii="Book Antiqua" w:eastAsiaTheme="minorEastAsia" w:hAnsi="Book Antiqua"/>
              <w:noProof/>
              <w:lang w:eastAsia="hu-HU"/>
            </w:rPr>
          </w:pPr>
          <w:hyperlink w:anchor="_Toc19120796" w:history="1">
            <w:r w:rsidR="007A7E18" w:rsidRPr="00BA7A6B">
              <w:rPr>
                <w:rStyle w:val="Hyperlink"/>
                <w:rFonts w:ascii="Book Antiqua" w:hAnsi="Book Antiqua"/>
                <w:noProof/>
                <w:lang w:val="en-GB"/>
              </w:rPr>
              <w:t>Negotiations with foreign higher education institutions</w:t>
            </w:r>
            <w:r w:rsidR="007A7E18" w:rsidRPr="00BA7A6B">
              <w:rPr>
                <w:rFonts w:ascii="Book Antiqua" w:hAnsi="Book Antiqua"/>
                <w:noProof/>
                <w:webHidden/>
              </w:rPr>
              <w:tab/>
            </w:r>
            <w:r w:rsidR="008333B9">
              <w:rPr>
                <w:rFonts w:ascii="Book Antiqua" w:hAnsi="Book Antiqua"/>
                <w:noProof/>
                <w:webHidden/>
              </w:rPr>
              <w:t>66</w:t>
            </w:r>
          </w:hyperlink>
        </w:p>
        <w:p w14:paraId="40C85AD9" w14:textId="7353A910" w:rsidR="007A7E18" w:rsidRPr="00BA7A6B" w:rsidRDefault="0020718C">
          <w:pPr>
            <w:pStyle w:val="TOC2"/>
            <w:tabs>
              <w:tab w:val="right" w:leader="dot" w:pos="9062"/>
            </w:tabs>
            <w:rPr>
              <w:rFonts w:ascii="Book Antiqua" w:eastAsiaTheme="minorEastAsia" w:hAnsi="Book Antiqua"/>
              <w:noProof/>
              <w:lang w:eastAsia="hu-HU"/>
            </w:rPr>
          </w:pPr>
          <w:hyperlink w:anchor="_Toc19120797" w:history="1">
            <w:r w:rsidR="007A7E18" w:rsidRPr="00BA7A6B">
              <w:rPr>
                <w:rStyle w:val="Hyperlink"/>
                <w:rFonts w:ascii="Book Antiqua" w:hAnsi="Book Antiqua"/>
                <w:noProof/>
                <w:lang w:val="en-GB"/>
              </w:rPr>
              <w:t>Disproportionate restrictions on Union and non-Union universities</w:t>
            </w:r>
            <w:r w:rsidR="007A7E18" w:rsidRPr="00BA7A6B">
              <w:rPr>
                <w:rFonts w:ascii="Book Antiqua" w:hAnsi="Book Antiqua"/>
                <w:noProof/>
                <w:webHidden/>
              </w:rPr>
              <w:tab/>
            </w:r>
            <w:r w:rsidR="008333B9">
              <w:rPr>
                <w:rFonts w:ascii="Book Antiqua" w:hAnsi="Book Antiqua"/>
                <w:noProof/>
                <w:webHidden/>
              </w:rPr>
              <w:t>68</w:t>
            </w:r>
          </w:hyperlink>
        </w:p>
        <w:p w14:paraId="61520A86" w14:textId="1E866974" w:rsidR="007A7E18" w:rsidRPr="00BA7A6B" w:rsidRDefault="0020718C">
          <w:pPr>
            <w:pStyle w:val="TOC1"/>
            <w:rPr>
              <w:rFonts w:eastAsiaTheme="minorEastAsia"/>
              <w:b w:val="0"/>
              <w:lang w:val="hu-HU" w:eastAsia="hu-HU"/>
            </w:rPr>
          </w:pPr>
          <w:hyperlink w:anchor="_Toc19120798" w:history="1">
            <w:r w:rsidR="007A7E18" w:rsidRPr="00BA7A6B">
              <w:rPr>
                <w:rStyle w:val="Hyperlink"/>
              </w:rPr>
              <w:t>Freedom of religion</w:t>
            </w:r>
            <w:r w:rsidR="007A7E18" w:rsidRPr="00BA7A6B">
              <w:rPr>
                <w:webHidden/>
              </w:rPr>
              <w:tab/>
            </w:r>
            <w:r w:rsidR="008333B9">
              <w:rPr>
                <w:webHidden/>
              </w:rPr>
              <w:t>69</w:t>
            </w:r>
          </w:hyperlink>
        </w:p>
        <w:p w14:paraId="236AB2C3" w14:textId="7887F6AF" w:rsidR="007A7E18" w:rsidRPr="00BA7A6B" w:rsidRDefault="0020718C">
          <w:pPr>
            <w:pStyle w:val="TOC2"/>
            <w:tabs>
              <w:tab w:val="right" w:leader="dot" w:pos="9062"/>
            </w:tabs>
            <w:rPr>
              <w:rFonts w:ascii="Book Antiqua" w:eastAsiaTheme="minorEastAsia" w:hAnsi="Book Antiqua"/>
              <w:noProof/>
              <w:lang w:eastAsia="hu-HU"/>
            </w:rPr>
          </w:pPr>
          <w:hyperlink w:anchor="_Toc19120799" w:history="1">
            <w:r w:rsidR="007A7E18" w:rsidRPr="00BA7A6B">
              <w:rPr>
                <w:rStyle w:val="Hyperlink"/>
                <w:rFonts w:ascii="Book Antiqua" w:hAnsi="Book Antiqua"/>
                <w:noProof/>
                <w:lang w:val="en-GB"/>
              </w:rPr>
              <w:t>Right to Freedom of Conscience and the Legal Status of Religious Communities</w:t>
            </w:r>
            <w:r w:rsidR="007A7E18" w:rsidRPr="00BA7A6B">
              <w:rPr>
                <w:rFonts w:ascii="Book Antiqua" w:hAnsi="Book Antiqua"/>
                <w:noProof/>
                <w:webHidden/>
              </w:rPr>
              <w:tab/>
            </w:r>
            <w:r w:rsidR="008333B9">
              <w:rPr>
                <w:rFonts w:ascii="Book Antiqua" w:hAnsi="Book Antiqua"/>
                <w:noProof/>
                <w:webHidden/>
              </w:rPr>
              <w:t>70</w:t>
            </w:r>
          </w:hyperlink>
        </w:p>
        <w:p w14:paraId="4F58B4E3" w14:textId="58ABBA20" w:rsidR="007A7E18" w:rsidRPr="00BA7A6B" w:rsidRDefault="0020718C">
          <w:pPr>
            <w:pStyle w:val="TOC2"/>
            <w:tabs>
              <w:tab w:val="right" w:leader="dot" w:pos="9062"/>
            </w:tabs>
            <w:rPr>
              <w:rFonts w:ascii="Book Antiqua" w:eastAsiaTheme="minorEastAsia" w:hAnsi="Book Antiqua"/>
              <w:noProof/>
              <w:lang w:eastAsia="hu-HU"/>
            </w:rPr>
          </w:pPr>
          <w:hyperlink w:anchor="_Toc19120800" w:history="1">
            <w:r w:rsidR="007A7E18" w:rsidRPr="00BA7A6B">
              <w:rPr>
                <w:rStyle w:val="Hyperlink"/>
                <w:rFonts w:ascii="Book Antiqua" w:hAnsi="Book Antiqua"/>
                <w:noProof/>
                <w:lang w:val="en-GB"/>
              </w:rPr>
              <w:t>Unconstitutional deregistration of recognised churches</w:t>
            </w:r>
            <w:r w:rsidR="007A7E18" w:rsidRPr="00BA7A6B">
              <w:rPr>
                <w:rFonts w:ascii="Book Antiqua" w:hAnsi="Book Antiqua"/>
                <w:noProof/>
                <w:webHidden/>
              </w:rPr>
              <w:tab/>
            </w:r>
            <w:r w:rsidR="008333B9">
              <w:rPr>
                <w:rFonts w:ascii="Book Antiqua" w:hAnsi="Book Antiqua"/>
                <w:noProof/>
                <w:webHidden/>
              </w:rPr>
              <w:t>72</w:t>
            </w:r>
          </w:hyperlink>
        </w:p>
        <w:p w14:paraId="19203E56" w14:textId="3CADFC15" w:rsidR="007A7E18" w:rsidRPr="00BA7A6B" w:rsidRDefault="0020718C">
          <w:pPr>
            <w:pStyle w:val="TOC2"/>
            <w:tabs>
              <w:tab w:val="right" w:leader="dot" w:pos="9062"/>
            </w:tabs>
            <w:rPr>
              <w:rFonts w:ascii="Book Antiqua" w:eastAsiaTheme="minorEastAsia" w:hAnsi="Book Antiqua"/>
              <w:noProof/>
              <w:lang w:eastAsia="hu-HU"/>
            </w:rPr>
          </w:pPr>
          <w:hyperlink w:anchor="_Toc19120801" w:history="1">
            <w:r w:rsidR="007A7E18" w:rsidRPr="00BA7A6B">
              <w:rPr>
                <w:rStyle w:val="Hyperlink"/>
                <w:rFonts w:ascii="Book Antiqua" w:hAnsi="Book Antiqua"/>
                <w:noProof/>
                <w:lang w:val="en-GB"/>
              </w:rPr>
              <w:t>Violation of the freedom of conscience and religion</w:t>
            </w:r>
            <w:r w:rsidR="007A7E18" w:rsidRPr="00BA7A6B">
              <w:rPr>
                <w:rFonts w:ascii="Book Antiqua" w:hAnsi="Book Antiqua"/>
                <w:noProof/>
                <w:webHidden/>
              </w:rPr>
              <w:tab/>
            </w:r>
            <w:r w:rsidR="008333B9">
              <w:rPr>
                <w:rFonts w:ascii="Book Antiqua" w:hAnsi="Book Antiqua"/>
                <w:noProof/>
                <w:webHidden/>
              </w:rPr>
              <w:t>73</w:t>
            </w:r>
          </w:hyperlink>
        </w:p>
        <w:p w14:paraId="050422DE" w14:textId="6C52620C" w:rsidR="007A7E18" w:rsidRPr="00BA7A6B" w:rsidRDefault="0020718C">
          <w:pPr>
            <w:pStyle w:val="TOC1"/>
            <w:rPr>
              <w:rFonts w:eastAsiaTheme="minorEastAsia"/>
              <w:b w:val="0"/>
              <w:lang w:val="hu-HU" w:eastAsia="hu-HU"/>
            </w:rPr>
          </w:pPr>
          <w:hyperlink w:anchor="_Toc19120802" w:history="1">
            <w:r w:rsidR="007A7E18" w:rsidRPr="00BA7A6B">
              <w:rPr>
                <w:rStyle w:val="Hyperlink"/>
              </w:rPr>
              <w:t>Freedom of association</w:t>
            </w:r>
            <w:r w:rsidR="007A7E18" w:rsidRPr="00BA7A6B">
              <w:rPr>
                <w:webHidden/>
              </w:rPr>
              <w:tab/>
            </w:r>
            <w:r w:rsidR="008333B9">
              <w:rPr>
                <w:webHidden/>
              </w:rPr>
              <w:t>76</w:t>
            </w:r>
          </w:hyperlink>
        </w:p>
        <w:p w14:paraId="0ABA45EA" w14:textId="1BF954E9" w:rsidR="007A7E18" w:rsidRPr="00BA7A6B" w:rsidRDefault="0020718C">
          <w:pPr>
            <w:pStyle w:val="TOC2"/>
            <w:tabs>
              <w:tab w:val="right" w:leader="dot" w:pos="9062"/>
            </w:tabs>
            <w:rPr>
              <w:rFonts w:ascii="Book Antiqua" w:eastAsiaTheme="minorEastAsia" w:hAnsi="Book Antiqua"/>
              <w:noProof/>
              <w:lang w:eastAsia="hu-HU"/>
            </w:rPr>
          </w:pPr>
          <w:hyperlink w:anchor="_Toc19120803" w:history="1">
            <w:r w:rsidR="007A7E18" w:rsidRPr="00BA7A6B">
              <w:rPr>
                <w:rStyle w:val="Hyperlink"/>
                <w:rFonts w:ascii="Book Antiqua" w:hAnsi="Book Antiqua"/>
                <w:noProof/>
                <w:lang w:val="en-GB"/>
              </w:rPr>
              <w:t>Audits of NGOs which were beneficiaries of the Norwegian Civil Fund</w:t>
            </w:r>
            <w:r w:rsidR="007A7E18" w:rsidRPr="00BA7A6B">
              <w:rPr>
                <w:rFonts w:ascii="Book Antiqua" w:hAnsi="Book Antiqua"/>
                <w:noProof/>
                <w:webHidden/>
              </w:rPr>
              <w:tab/>
            </w:r>
            <w:r w:rsidR="008333B9">
              <w:rPr>
                <w:rFonts w:ascii="Book Antiqua" w:hAnsi="Book Antiqua"/>
                <w:noProof/>
                <w:webHidden/>
              </w:rPr>
              <w:t>76</w:t>
            </w:r>
          </w:hyperlink>
        </w:p>
        <w:p w14:paraId="2718DC61" w14:textId="453692CD" w:rsidR="007A7E18" w:rsidRPr="00BA7A6B" w:rsidRDefault="0020718C">
          <w:pPr>
            <w:pStyle w:val="TOC2"/>
            <w:tabs>
              <w:tab w:val="right" w:leader="dot" w:pos="9062"/>
            </w:tabs>
            <w:rPr>
              <w:rFonts w:ascii="Book Antiqua" w:eastAsiaTheme="minorEastAsia" w:hAnsi="Book Antiqua"/>
              <w:noProof/>
              <w:lang w:eastAsia="hu-HU"/>
            </w:rPr>
          </w:pPr>
          <w:hyperlink w:anchor="_Toc19120804" w:history="1">
            <w:r w:rsidR="007A7E18" w:rsidRPr="00BA7A6B">
              <w:rPr>
                <w:rStyle w:val="Hyperlink"/>
                <w:rFonts w:ascii="Book Antiqua" w:hAnsi="Book Antiqua"/>
                <w:noProof/>
                <w:lang w:val="en-GB"/>
              </w:rPr>
              <w:t>The law on the Transparency of Organisations Receiving Support from Abroad</w:t>
            </w:r>
            <w:r w:rsidR="007A7E18" w:rsidRPr="00BA7A6B">
              <w:rPr>
                <w:rFonts w:ascii="Book Antiqua" w:hAnsi="Book Antiqua"/>
                <w:noProof/>
                <w:webHidden/>
              </w:rPr>
              <w:tab/>
            </w:r>
            <w:r w:rsidR="008333B9">
              <w:rPr>
                <w:rFonts w:ascii="Book Antiqua" w:hAnsi="Book Antiqua"/>
                <w:noProof/>
                <w:webHidden/>
              </w:rPr>
              <w:t>77</w:t>
            </w:r>
          </w:hyperlink>
        </w:p>
        <w:p w14:paraId="7FCB3BD1" w14:textId="00FF1D74" w:rsidR="007A7E18" w:rsidRPr="00BA7A6B" w:rsidRDefault="0020718C">
          <w:pPr>
            <w:pStyle w:val="TOC2"/>
            <w:tabs>
              <w:tab w:val="right" w:leader="dot" w:pos="9062"/>
            </w:tabs>
            <w:rPr>
              <w:rFonts w:ascii="Book Antiqua" w:eastAsiaTheme="minorEastAsia" w:hAnsi="Book Antiqua"/>
              <w:noProof/>
              <w:lang w:eastAsia="hu-HU"/>
            </w:rPr>
          </w:pPr>
          <w:hyperlink w:anchor="_Toc19120805" w:history="1">
            <w:r w:rsidR="007A7E18" w:rsidRPr="00BA7A6B">
              <w:rPr>
                <w:rStyle w:val="Hyperlink"/>
                <w:rFonts w:ascii="Book Antiqua" w:hAnsi="Book Antiqua"/>
                <w:noProof/>
                <w:lang w:val="en-GB"/>
              </w:rPr>
              <w:t>Interference with the freedom of association and expression</w:t>
            </w:r>
            <w:r w:rsidR="007A7E18" w:rsidRPr="00BA7A6B">
              <w:rPr>
                <w:rFonts w:ascii="Book Antiqua" w:hAnsi="Book Antiqua"/>
                <w:noProof/>
                <w:webHidden/>
              </w:rPr>
              <w:tab/>
            </w:r>
            <w:r w:rsidR="008333B9">
              <w:rPr>
                <w:rFonts w:ascii="Book Antiqua" w:hAnsi="Book Antiqua"/>
                <w:noProof/>
                <w:webHidden/>
              </w:rPr>
              <w:t>79</w:t>
            </w:r>
          </w:hyperlink>
        </w:p>
        <w:p w14:paraId="32C2C52D" w14:textId="314E34E8" w:rsidR="007A7E18" w:rsidRPr="00BA7A6B" w:rsidRDefault="0020718C">
          <w:pPr>
            <w:pStyle w:val="TOC2"/>
            <w:tabs>
              <w:tab w:val="right" w:leader="dot" w:pos="9062"/>
            </w:tabs>
            <w:rPr>
              <w:rFonts w:ascii="Book Antiqua" w:eastAsiaTheme="minorEastAsia" w:hAnsi="Book Antiqua"/>
              <w:noProof/>
              <w:lang w:eastAsia="hu-HU"/>
            </w:rPr>
          </w:pPr>
          <w:hyperlink w:anchor="_Toc19120806" w:history="1">
            <w:r w:rsidR="007A7E18" w:rsidRPr="00BA7A6B">
              <w:rPr>
                <w:rStyle w:val="Hyperlink"/>
                <w:rFonts w:ascii="Book Antiqua" w:hAnsi="Book Antiqua"/>
                <w:noProof/>
                <w:lang w:val="en-GB"/>
              </w:rPr>
              <w:t>Transparency of Organisations Receiving Support from Abroad</w:t>
            </w:r>
            <w:r w:rsidR="007A7E18" w:rsidRPr="00BA7A6B">
              <w:rPr>
                <w:rFonts w:ascii="Book Antiqua" w:hAnsi="Book Antiqua"/>
                <w:noProof/>
                <w:webHidden/>
              </w:rPr>
              <w:tab/>
            </w:r>
            <w:r w:rsidR="008333B9">
              <w:rPr>
                <w:rFonts w:ascii="Book Antiqua" w:hAnsi="Book Antiqua"/>
                <w:noProof/>
                <w:webHidden/>
              </w:rPr>
              <w:t>80</w:t>
            </w:r>
          </w:hyperlink>
        </w:p>
        <w:p w14:paraId="751319C0" w14:textId="4ACDBA3F" w:rsidR="007A7E18" w:rsidRPr="00BA7A6B" w:rsidRDefault="0020718C">
          <w:pPr>
            <w:pStyle w:val="TOC2"/>
            <w:tabs>
              <w:tab w:val="right" w:leader="dot" w:pos="9062"/>
            </w:tabs>
            <w:rPr>
              <w:rFonts w:ascii="Book Antiqua" w:eastAsiaTheme="minorEastAsia" w:hAnsi="Book Antiqua"/>
              <w:noProof/>
              <w:lang w:eastAsia="hu-HU"/>
            </w:rPr>
          </w:pPr>
          <w:hyperlink w:anchor="_Toc19120807" w:history="1">
            <w:r w:rsidR="007A7E18" w:rsidRPr="00BA7A6B">
              <w:rPr>
                <w:rStyle w:val="Hyperlink"/>
                <w:rFonts w:ascii="Book Antiqua" w:hAnsi="Book Antiqua"/>
                <w:noProof/>
                <w:lang w:val="en-GB"/>
              </w:rPr>
              <w:t>The ‘Stop-Soros’ legislative package</w:t>
            </w:r>
            <w:r w:rsidR="007A7E18" w:rsidRPr="00BA7A6B">
              <w:rPr>
                <w:rFonts w:ascii="Book Antiqua" w:hAnsi="Book Antiqua"/>
                <w:noProof/>
                <w:webHidden/>
              </w:rPr>
              <w:tab/>
            </w:r>
            <w:r w:rsidR="008333B9">
              <w:rPr>
                <w:rFonts w:ascii="Book Antiqua" w:hAnsi="Book Antiqua"/>
                <w:noProof/>
                <w:webHidden/>
              </w:rPr>
              <w:t>82</w:t>
            </w:r>
          </w:hyperlink>
        </w:p>
        <w:p w14:paraId="78CFC2BF" w14:textId="237E6F9C" w:rsidR="007A7E18" w:rsidRPr="00BA7A6B" w:rsidRDefault="0020718C">
          <w:pPr>
            <w:pStyle w:val="TOC1"/>
            <w:rPr>
              <w:rFonts w:eastAsiaTheme="minorEastAsia"/>
              <w:b w:val="0"/>
              <w:lang w:val="hu-HU" w:eastAsia="hu-HU"/>
            </w:rPr>
          </w:pPr>
          <w:hyperlink w:anchor="_Toc19120808" w:history="1">
            <w:r w:rsidR="007A7E18" w:rsidRPr="00BA7A6B">
              <w:rPr>
                <w:rStyle w:val="Hyperlink"/>
              </w:rPr>
              <w:t>Right to equal treatment</w:t>
            </w:r>
            <w:r w:rsidR="007A7E18" w:rsidRPr="00BA7A6B">
              <w:rPr>
                <w:webHidden/>
              </w:rPr>
              <w:tab/>
            </w:r>
            <w:r w:rsidR="008333B9">
              <w:rPr>
                <w:webHidden/>
              </w:rPr>
              <w:t>89</w:t>
            </w:r>
          </w:hyperlink>
        </w:p>
        <w:p w14:paraId="556F1E15" w14:textId="5AC25E70" w:rsidR="007A7E18" w:rsidRPr="00BA7A6B" w:rsidRDefault="0020718C">
          <w:pPr>
            <w:pStyle w:val="TOC2"/>
            <w:tabs>
              <w:tab w:val="right" w:leader="dot" w:pos="9062"/>
            </w:tabs>
            <w:rPr>
              <w:rFonts w:ascii="Book Antiqua" w:eastAsiaTheme="minorEastAsia" w:hAnsi="Book Antiqua"/>
              <w:noProof/>
              <w:lang w:eastAsia="hu-HU"/>
            </w:rPr>
          </w:pPr>
          <w:hyperlink w:anchor="_Toc19120809" w:history="1">
            <w:r w:rsidR="007A7E18" w:rsidRPr="00BA7A6B">
              <w:rPr>
                <w:rStyle w:val="Hyperlink"/>
                <w:rFonts w:ascii="Book Antiqua" w:hAnsi="Book Antiqua"/>
                <w:noProof/>
                <w:lang w:val="en-GB"/>
              </w:rPr>
              <w:t>Uneven balance between the protection of families and women’s rights</w:t>
            </w:r>
            <w:r w:rsidR="007A7E18" w:rsidRPr="00BA7A6B">
              <w:rPr>
                <w:rFonts w:ascii="Book Antiqua" w:hAnsi="Book Antiqua"/>
                <w:noProof/>
                <w:webHidden/>
              </w:rPr>
              <w:tab/>
            </w:r>
            <w:r w:rsidR="008333B9">
              <w:rPr>
                <w:rFonts w:ascii="Book Antiqua" w:hAnsi="Book Antiqua"/>
                <w:noProof/>
                <w:webHidden/>
              </w:rPr>
              <w:t>90</w:t>
            </w:r>
          </w:hyperlink>
        </w:p>
        <w:p w14:paraId="22E1FFD8" w14:textId="42C9C87C" w:rsidR="007A7E18" w:rsidRPr="00BA7A6B" w:rsidRDefault="0020718C">
          <w:pPr>
            <w:pStyle w:val="TOC2"/>
            <w:tabs>
              <w:tab w:val="right" w:leader="dot" w:pos="9062"/>
            </w:tabs>
            <w:rPr>
              <w:rFonts w:ascii="Book Antiqua" w:eastAsiaTheme="minorEastAsia" w:hAnsi="Book Antiqua"/>
              <w:noProof/>
              <w:lang w:eastAsia="hu-HU"/>
            </w:rPr>
          </w:pPr>
          <w:hyperlink w:anchor="_Toc19120810" w:history="1">
            <w:r w:rsidR="007A7E18" w:rsidRPr="00BA7A6B">
              <w:rPr>
                <w:rStyle w:val="Hyperlink"/>
                <w:rFonts w:ascii="Book Antiqua" w:hAnsi="Book Antiqua"/>
                <w:noProof/>
                <w:lang w:val="en-GB"/>
              </w:rPr>
              <w:t>The protection of female victims of domestic violence</w:t>
            </w:r>
            <w:r w:rsidR="007A7E18" w:rsidRPr="00BA7A6B">
              <w:rPr>
                <w:rFonts w:ascii="Book Antiqua" w:hAnsi="Book Antiqua"/>
                <w:noProof/>
                <w:webHidden/>
              </w:rPr>
              <w:tab/>
            </w:r>
            <w:r w:rsidR="008333B9">
              <w:rPr>
                <w:rFonts w:ascii="Book Antiqua" w:hAnsi="Book Antiqua"/>
                <w:noProof/>
                <w:webHidden/>
              </w:rPr>
              <w:t>93</w:t>
            </w:r>
          </w:hyperlink>
        </w:p>
        <w:p w14:paraId="5320D0BE" w14:textId="4273C395" w:rsidR="007A7E18" w:rsidRPr="00BA7A6B" w:rsidRDefault="0020718C">
          <w:pPr>
            <w:pStyle w:val="TOC2"/>
            <w:tabs>
              <w:tab w:val="right" w:leader="dot" w:pos="9062"/>
            </w:tabs>
            <w:rPr>
              <w:rFonts w:ascii="Book Antiqua" w:eastAsiaTheme="minorEastAsia" w:hAnsi="Book Antiqua"/>
              <w:noProof/>
              <w:lang w:eastAsia="hu-HU"/>
            </w:rPr>
          </w:pPr>
          <w:hyperlink w:anchor="_Toc19120811" w:history="1">
            <w:r w:rsidR="007A7E18" w:rsidRPr="00BA7A6B">
              <w:rPr>
                <w:rStyle w:val="Hyperlink"/>
                <w:rFonts w:ascii="Book Antiqua" w:hAnsi="Book Antiqua"/>
                <w:noProof/>
                <w:lang w:val="en-GB"/>
              </w:rPr>
              <w:t>Working conditions for pregnant or breastfeeding workers</w:t>
            </w:r>
            <w:r w:rsidR="007A7E18" w:rsidRPr="00BA7A6B">
              <w:rPr>
                <w:rFonts w:ascii="Book Antiqua" w:hAnsi="Book Antiqua"/>
                <w:noProof/>
                <w:webHidden/>
              </w:rPr>
              <w:tab/>
            </w:r>
            <w:r w:rsidR="008333B9">
              <w:rPr>
                <w:rFonts w:ascii="Book Antiqua" w:hAnsi="Book Antiqua"/>
                <w:noProof/>
                <w:webHidden/>
              </w:rPr>
              <w:t>96</w:t>
            </w:r>
          </w:hyperlink>
        </w:p>
        <w:p w14:paraId="2CF4E99C" w14:textId="51E11FFD" w:rsidR="007A7E18" w:rsidRPr="00BA7A6B" w:rsidRDefault="0020718C">
          <w:pPr>
            <w:pStyle w:val="TOC2"/>
            <w:tabs>
              <w:tab w:val="right" w:leader="dot" w:pos="9062"/>
            </w:tabs>
            <w:rPr>
              <w:rFonts w:ascii="Book Antiqua" w:eastAsiaTheme="minorEastAsia" w:hAnsi="Book Antiqua"/>
              <w:noProof/>
              <w:lang w:eastAsia="hu-HU"/>
            </w:rPr>
          </w:pPr>
          <w:hyperlink w:anchor="_Toc19120812" w:history="1">
            <w:r w:rsidR="007A7E18" w:rsidRPr="00BA7A6B">
              <w:rPr>
                <w:rStyle w:val="Hyperlink"/>
                <w:rFonts w:ascii="Book Antiqua" w:hAnsi="Book Antiqua"/>
                <w:noProof/>
                <w:lang w:val="en-GB"/>
              </w:rPr>
              <w:t>Restrictive definition of discrimination and family</w:t>
            </w:r>
            <w:r w:rsidR="007A7E18" w:rsidRPr="00BA7A6B">
              <w:rPr>
                <w:rFonts w:ascii="Book Antiqua" w:hAnsi="Book Antiqua"/>
                <w:noProof/>
                <w:webHidden/>
              </w:rPr>
              <w:tab/>
            </w:r>
            <w:r w:rsidR="008333B9">
              <w:rPr>
                <w:rFonts w:ascii="Book Antiqua" w:hAnsi="Book Antiqua"/>
                <w:noProof/>
                <w:webHidden/>
              </w:rPr>
              <w:t>97</w:t>
            </w:r>
          </w:hyperlink>
        </w:p>
        <w:p w14:paraId="4AB2BE51" w14:textId="23844D2F" w:rsidR="007A7E18" w:rsidRPr="00BA7A6B" w:rsidRDefault="0020718C">
          <w:pPr>
            <w:pStyle w:val="TOC2"/>
            <w:tabs>
              <w:tab w:val="right" w:leader="dot" w:pos="9062"/>
            </w:tabs>
            <w:rPr>
              <w:rFonts w:ascii="Book Antiqua" w:eastAsiaTheme="minorEastAsia" w:hAnsi="Book Antiqua"/>
              <w:noProof/>
              <w:lang w:eastAsia="hu-HU"/>
            </w:rPr>
          </w:pPr>
          <w:hyperlink w:anchor="_Toc19120813" w:history="1">
            <w:r w:rsidR="007A7E18" w:rsidRPr="00BA7A6B">
              <w:rPr>
                <w:rStyle w:val="Hyperlink"/>
                <w:rFonts w:ascii="Book Antiqua" w:hAnsi="Book Antiqua"/>
                <w:noProof/>
                <w:lang w:val="en-GB"/>
              </w:rPr>
              <w:t>Inhuman treatment of persons with disabilities</w:t>
            </w:r>
            <w:r w:rsidR="007A7E18" w:rsidRPr="00BA7A6B">
              <w:rPr>
                <w:rFonts w:ascii="Book Antiqua" w:hAnsi="Book Antiqua"/>
                <w:noProof/>
                <w:webHidden/>
              </w:rPr>
              <w:tab/>
            </w:r>
            <w:r w:rsidR="008333B9">
              <w:rPr>
                <w:rFonts w:ascii="Book Antiqua" w:hAnsi="Book Antiqua"/>
                <w:noProof/>
                <w:webHidden/>
              </w:rPr>
              <w:t>98</w:t>
            </w:r>
          </w:hyperlink>
        </w:p>
        <w:p w14:paraId="463C0F8E" w14:textId="64B9912F" w:rsidR="007A7E18" w:rsidRPr="00BA7A6B" w:rsidRDefault="0020718C">
          <w:pPr>
            <w:pStyle w:val="TOC1"/>
            <w:rPr>
              <w:rFonts w:eastAsiaTheme="minorEastAsia"/>
              <w:b w:val="0"/>
              <w:lang w:val="hu-HU" w:eastAsia="hu-HU"/>
            </w:rPr>
          </w:pPr>
          <w:hyperlink w:anchor="_Toc19120814" w:history="1">
            <w:r w:rsidR="007A7E18" w:rsidRPr="00BA7A6B">
              <w:rPr>
                <w:rStyle w:val="Hyperlink"/>
              </w:rPr>
              <w:t>Rights of persons belonging to minorities, including Roma and Jews,</w:t>
            </w:r>
            <w:r w:rsidR="007A7E18" w:rsidRPr="00BA7A6B">
              <w:rPr>
                <w:rStyle w:val="Hyperlink"/>
                <w:i/>
              </w:rPr>
              <w:t xml:space="preserve"> </w:t>
            </w:r>
            <w:r w:rsidR="007A7E18" w:rsidRPr="00BA7A6B">
              <w:rPr>
                <w:rStyle w:val="Hyperlink"/>
              </w:rPr>
              <w:t>and protection against hateful statements against such minorities</w:t>
            </w:r>
            <w:r w:rsidR="007A7E18" w:rsidRPr="00BA7A6B">
              <w:rPr>
                <w:webHidden/>
              </w:rPr>
              <w:tab/>
            </w:r>
            <w:r w:rsidR="008333B9">
              <w:rPr>
                <w:webHidden/>
              </w:rPr>
              <w:t>100</w:t>
            </w:r>
          </w:hyperlink>
        </w:p>
        <w:p w14:paraId="092D842B" w14:textId="2AD0865F" w:rsidR="007A7E18" w:rsidRPr="00BA7A6B" w:rsidRDefault="0020718C">
          <w:pPr>
            <w:pStyle w:val="TOC2"/>
            <w:tabs>
              <w:tab w:val="right" w:leader="dot" w:pos="9062"/>
            </w:tabs>
            <w:rPr>
              <w:rFonts w:ascii="Book Antiqua" w:eastAsiaTheme="minorEastAsia" w:hAnsi="Book Antiqua"/>
              <w:noProof/>
              <w:lang w:eastAsia="hu-HU"/>
            </w:rPr>
          </w:pPr>
          <w:hyperlink w:anchor="_Toc19120815" w:history="1">
            <w:r w:rsidR="007A7E18" w:rsidRPr="00BA7A6B">
              <w:rPr>
                <w:rStyle w:val="Hyperlink"/>
                <w:rFonts w:ascii="Book Antiqua" w:hAnsi="Book Antiqua"/>
                <w:noProof/>
                <w:lang w:val="en-GB"/>
              </w:rPr>
              <w:t>Racism and intolerance, anti-Gypsyism and anti-Semitism</w:t>
            </w:r>
            <w:r w:rsidR="007A7E18" w:rsidRPr="00BA7A6B">
              <w:rPr>
                <w:rFonts w:ascii="Book Antiqua" w:hAnsi="Book Antiqua"/>
                <w:noProof/>
                <w:webHidden/>
              </w:rPr>
              <w:tab/>
            </w:r>
            <w:r w:rsidR="008333B9">
              <w:rPr>
                <w:rFonts w:ascii="Book Antiqua" w:hAnsi="Book Antiqua"/>
                <w:noProof/>
                <w:webHidden/>
              </w:rPr>
              <w:t>100</w:t>
            </w:r>
          </w:hyperlink>
        </w:p>
        <w:p w14:paraId="32342756" w14:textId="7F9273C4" w:rsidR="007A7E18" w:rsidRPr="00BA7A6B" w:rsidRDefault="0020718C">
          <w:pPr>
            <w:pStyle w:val="TOC2"/>
            <w:tabs>
              <w:tab w:val="right" w:leader="dot" w:pos="9062"/>
            </w:tabs>
            <w:rPr>
              <w:rFonts w:ascii="Book Antiqua" w:eastAsiaTheme="minorEastAsia" w:hAnsi="Book Antiqua"/>
              <w:noProof/>
              <w:lang w:eastAsia="hu-HU"/>
            </w:rPr>
          </w:pPr>
          <w:hyperlink w:anchor="_Toc19120816" w:history="1">
            <w:r w:rsidR="007A7E18" w:rsidRPr="00BA7A6B">
              <w:rPr>
                <w:rStyle w:val="Hyperlink"/>
                <w:rFonts w:ascii="Book Antiqua" w:hAnsi="Book Antiqua"/>
                <w:noProof/>
                <w:lang w:val="en-GB"/>
              </w:rPr>
              <w:t>Roma discrimination</w:t>
            </w:r>
            <w:r w:rsidR="007A7E18" w:rsidRPr="00BA7A6B">
              <w:rPr>
                <w:rFonts w:ascii="Book Antiqua" w:hAnsi="Book Antiqua"/>
                <w:noProof/>
                <w:webHidden/>
              </w:rPr>
              <w:tab/>
            </w:r>
            <w:r w:rsidR="008333B9">
              <w:rPr>
                <w:rFonts w:ascii="Book Antiqua" w:hAnsi="Book Antiqua"/>
                <w:noProof/>
                <w:webHidden/>
              </w:rPr>
              <w:t>102</w:t>
            </w:r>
          </w:hyperlink>
        </w:p>
        <w:p w14:paraId="15D5CD2F" w14:textId="59A0B3FA" w:rsidR="007A7E18" w:rsidRPr="00BA7A6B" w:rsidRDefault="0020718C">
          <w:pPr>
            <w:pStyle w:val="TOC2"/>
            <w:tabs>
              <w:tab w:val="right" w:leader="dot" w:pos="9062"/>
            </w:tabs>
            <w:rPr>
              <w:rFonts w:ascii="Book Antiqua" w:eastAsiaTheme="minorEastAsia" w:hAnsi="Book Antiqua"/>
              <w:noProof/>
              <w:lang w:eastAsia="hu-HU"/>
            </w:rPr>
          </w:pPr>
          <w:hyperlink w:anchor="_Toc19120817" w:history="1">
            <w:r w:rsidR="007A7E18" w:rsidRPr="00BA7A6B">
              <w:rPr>
                <w:rStyle w:val="Hyperlink"/>
                <w:rFonts w:ascii="Book Antiqua" w:hAnsi="Book Antiqua"/>
                <w:noProof/>
                <w:lang w:val="en-GB"/>
              </w:rPr>
              <w:t>Segregation of Roma children (Horváth and Kiss v. Hungary)</w:t>
            </w:r>
            <w:r w:rsidR="007A7E18" w:rsidRPr="00BA7A6B">
              <w:rPr>
                <w:rFonts w:ascii="Book Antiqua" w:hAnsi="Book Antiqua"/>
                <w:noProof/>
                <w:webHidden/>
              </w:rPr>
              <w:tab/>
            </w:r>
            <w:r w:rsidR="008333B9">
              <w:rPr>
                <w:rFonts w:ascii="Book Antiqua" w:hAnsi="Book Antiqua"/>
                <w:noProof/>
                <w:webHidden/>
              </w:rPr>
              <w:t>109</w:t>
            </w:r>
          </w:hyperlink>
        </w:p>
        <w:p w14:paraId="462D4DBB" w14:textId="03F167F6" w:rsidR="007A7E18" w:rsidRPr="00BA7A6B" w:rsidRDefault="0020718C">
          <w:pPr>
            <w:pStyle w:val="TOC2"/>
            <w:tabs>
              <w:tab w:val="right" w:leader="dot" w:pos="9062"/>
            </w:tabs>
            <w:rPr>
              <w:rFonts w:ascii="Book Antiqua" w:eastAsiaTheme="minorEastAsia" w:hAnsi="Book Antiqua"/>
              <w:noProof/>
              <w:lang w:eastAsia="hu-HU"/>
            </w:rPr>
          </w:pPr>
          <w:hyperlink w:anchor="_Toc19120818" w:history="1">
            <w:r w:rsidR="007A7E18" w:rsidRPr="00BA7A6B">
              <w:rPr>
                <w:rStyle w:val="Hyperlink"/>
                <w:rFonts w:ascii="Book Antiqua" w:hAnsi="Book Antiqua"/>
                <w:noProof/>
                <w:lang w:val="en-GB"/>
              </w:rPr>
              <w:t>Segregated education of Roma children</w:t>
            </w:r>
            <w:r w:rsidR="007A7E18" w:rsidRPr="00BA7A6B">
              <w:rPr>
                <w:rFonts w:ascii="Book Antiqua" w:hAnsi="Book Antiqua"/>
                <w:noProof/>
                <w:webHidden/>
              </w:rPr>
              <w:tab/>
            </w:r>
            <w:r w:rsidR="008333B9">
              <w:rPr>
                <w:rFonts w:ascii="Book Antiqua" w:hAnsi="Book Antiqua"/>
                <w:noProof/>
                <w:webHidden/>
              </w:rPr>
              <w:t>110</w:t>
            </w:r>
          </w:hyperlink>
        </w:p>
        <w:p w14:paraId="530BC79D" w14:textId="7F7FDD87" w:rsidR="007A7E18" w:rsidRPr="00BA7A6B" w:rsidRDefault="0020718C">
          <w:pPr>
            <w:pStyle w:val="TOC2"/>
            <w:tabs>
              <w:tab w:val="right" w:leader="dot" w:pos="9062"/>
            </w:tabs>
            <w:rPr>
              <w:rFonts w:ascii="Book Antiqua" w:eastAsiaTheme="minorEastAsia" w:hAnsi="Book Antiqua"/>
              <w:noProof/>
              <w:lang w:eastAsia="hu-HU"/>
            </w:rPr>
          </w:pPr>
          <w:hyperlink w:anchor="_Toc19120819" w:history="1">
            <w:r w:rsidR="007A7E18" w:rsidRPr="00BA7A6B">
              <w:rPr>
                <w:rStyle w:val="Hyperlink"/>
                <w:rFonts w:ascii="Book Antiqua" w:hAnsi="Book Antiqua"/>
                <w:noProof/>
                <w:lang w:val="en-GB"/>
              </w:rPr>
              <w:t>Violation of the prohibition of discrimination (Balázs v. Hungary)</w:t>
            </w:r>
            <w:r w:rsidR="007A7E18" w:rsidRPr="00BA7A6B">
              <w:rPr>
                <w:rFonts w:ascii="Book Antiqua" w:hAnsi="Book Antiqua"/>
                <w:noProof/>
                <w:webHidden/>
              </w:rPr>
              <w:tab/>
            </w:r>
            <w:r w:rsidR="008333B9">
              <w:rPr>
                <w:rFonts w:ascii="Book Antiqua" w:hAnsi="Book Antiqua"/>
                <w:noProof/>
                <w:webHidden/>
              </w:rPr>
              <w:t>114</w:t>
            </w:r>
          </w:hyperlink>
        </w:p>
        <w:p w14:paraId="05F5B339" w14:textId="4ACE4751" w:rsidR="007A7E18" w:rsidRPr="00BA7A6B" w:rsidRDefault="0020718C">
          <w:pPr>
            <w:pStyle w:val="TOC2"/>
            <w:tabs>
              <w:tab w:val="right" w:leader="dot" w:pos="9062"/>
            </w:tabs>
            <w:rPr>
              <w:rFonts w:ascii="Book Antiqua" w:eastAsiaTheme="minorEastAsia" w:hAnsi="Book Antiqua"/>
              <w:noProof/>
              <w:lang w:eastAsia="hu-HU"/>
            </w:rPr>
          </w:pPr>
          <w:hyperlink w:anchor="_Toc19120820" w:history="1">
            <w:r w:rsidR="007A7E18" w:rsidRPr="00BA7A6B">
              <w:rPr>
                <w:rStyle w:val="Hyperlink"/>
                <w:rFonts w:ascii="Book Antiqua" w:hAnsi="Book Antiqua"/>
                <w:noProof/>
                <w:lang w:val="en-GB"/>
              </w:rPr>
              <w:t>Forced evictions of Roma in Miskolc</w:t>
            </w:r>
            <w:r w:rsidR="007A7E18" w:rsidRPr="00BA7A6B">
              <w:rPr>
                <w:rFonts w:ascii="Book Antiqua" w:hAnsi="Book Antiqua"/>
                <w:noProof/>
                <w:webHidden/>
              </w:rPr>
              <w:tab/>
            </w:r>
            <w:r w:rsidR="008333B9">
              <w:rPr>
                <w:rFonts w:ascii="Book Antiqua" w:hAnsi="Book Antiqua"/>
                <w:noProof/>
                <w:webHidden/>
              </w:rPr>
              <w:t>115</w:t>
            </w:r>
          </w:hyperlink>
        </w:p>
        <w:p w14:paraId="3DE93560" w14:textId="2B5E24BE" w:rsidR="007A7E18" w:rsidRPr="00BA7A6B" w:rsidRDefault="0020718C">
          <w:pPr>
            <w:pStyle w:val="TOC2"/>
            <w:tabs>
              <w:tab w:val="right" w:leader="dot" w:pos="9062"/>
            </w:tabs>
            <w:rPr>
              <w:rFonts w:ascii="Book Antiqua" w:eastAsiaTheme="minorEastAsia" w:hAnsi="Book Antiqua"/>
              <w:noProof/>
              <w:lang w:eastAsia="hu-HU"/>
            </w:rPr>
          </w:pPr>
          <w:hyperlink w:anchor="_Toc19120821" w:history="1">
            <w:r w:rsidR="007A7E18" w:rsidRPr="00BA7A6B">
              <w:rPr>
                <w:rStyle w:val="Hyperlink"/>
                <w:rFonts w:ascii="Book Antiqua" w:hAnsi="Book Antiqua"/>
                <w:noProof/>
                <w:lang w:val="en-GB"/>
              </w:rPr>
              <w:t>Combatting anti-Semitism</w:t>
            </w:r>
            <w:r w:rsidR="007A7E18" w:rsidRPr="00BA7A6B">
              <w:rPr>
                <w:rFonts w:ascii="Book Antiqua" w:hAnsi="Book Antiqua"/>
                <w:noProof/>
                <w:webHidden/>
              </w:rPr>
              <w:tab/>
            </w:r>
            <w:r w:rsidR="008333B9">
              <w:rPr>
                <w:rFonts w:ascii="Book Antiqua" w:hAnsi="Book Antiqua"/>
                <w:noProof/>
                <w:webHidden/>
              </w:rPr>
              <w:t>116</w:t>
            </w:r>
          </w:hyperlink>
        </w:p>
        <w:p w14:paraId="36B16909" w14:textId="034B6FF0" w:rsidR="007A7E18" w:rsidRPr="00BA7A6B" w:rsidRDefault="0020718C">
          <w:pPr>
            <w:pStyle w:val="TOC2"/>
            <w:tabs>
              <w:tab w:val="right" w:leader="dot" w:pos="9062"/>
            </w:tabs>
            <w:rPr>
              <w:rFonts w:ascii="Book Antiqua" w:eastAsiaTheme="minorEastAsia" w:hAnsi="Book Antiqua"/>
              <w:noProof/>
              <w:lang w:eastAsia="hu-HU"/>
            </w:rPr>
          </w:pPr>
          <w:hyperlink w:anchor="_Toc19120822" w:history="1">
            <w:r w:rsidR="007A7E18" w:rsidRPr="00BA7A6B">
              <w:rPr>
                <w:rStyle w:val="Hyperlink"/>
                <w:rFonts w:ascii="Book Antiqua" w:hAnsi="Book Antiqua"/>
                <w:noProof/>
                <w:lang w:val="en-GB"/>
              </w:rPr>
              <w:t>Roma exclusion in education / Hate crimes and hate speech</w:t>
            </w:r>
            <w:r w:rsidR="007A7E18" w:rsidRPr="00BA7A6B">
              <w:rPr>
                <w:rFonts w:ascii="Book Antiqua" w:hAnsi="Book Antiqua"/>
                <w:noProof/>
                <w:webHidden/>
              </w:rPr>
              <w:tab/>
            </w:r>
            <w:r w:rsidR="008333B9">
              <w:rPr>
                <w:rFonts w:ascii="Book Antiqua" w:hAnsi="Book Antiqua"/>
                <w:noProof/>
                <w:webHidden/>
              </w:rPr>
              <w:t>121</w:t>
            </w:r>
          </w:hyperlink>
        </w:p>
        <w:p w14:paraId="4F174AD8" w14:textId="4CC759BC" w:rsidR="007A7E18" w:rsidRPr="00BA7A6B" w:rsidRDefault="0020718C">
          <w:pPr>
            <w:pStyle w:val="TOC1"/>
            <w:rPr>
              <w:rFonts w:eastAsiaTheme="minorEastAsia"/>
              <w:b w:val="0"/>
              <w:lang w:val="hu-HU" w:eastAsia="hu-HU"/>
            </w:rPr>
          </w:pPr>
          <w:hyperlink w:anchor="_Toc19120823" w:history="1">
            <w:r w:rsidR="007A7E18" w:rsidRPr="00BA7A6B">
              <w:rPr>
                <w:rStyle w:val="Hyperlink"/>
              </w:rPr>
              <w:t>Fundamental rights of migrants, asylum seekers and refugees</w:t>
            </w:r>
            <w:r w:rsidR="007A7E18" w:rsidRPr="00BA7A6B">
              <w:rPr>
                <w:webHidden/>
              </w:rPr>
              <w:tab/>
            </w:r>
            <w:r w:rsidR="008333B9">
              <w:rPr>
                <w:webHidden/>
              </w:rPr>
              <w:t>124</w:t>
            </w:r>
          </w:hyperlink>
        </w:p>
        <w:p w14:paraId="4B9F32BC" w14:textId="6C0B689B" w:rsidR="007A7E18" w:rsidRPr="00BA7A6B" w:rsidRDefault="0020718C">
          <w:pPr>
            <w:pStyle w:val="TOC2"/>
            <w:tabs>
              <w:tab w:val="right" w:leader="dot" w:pos="9062"/>
            </w:tabs>
            <w:rPr>
              <w:rFonts w:ascii="Book Antiqua" w:eastAsiaTheme="minorEastAsia" w:hAnsi="Book Antiqua"/>
              <w:noProof/>
              <w:lang w:eastAsia="hu-HU"/>
            </w:rPr>
          </w:pPr>
          <w:hyperlink w:anchor="_Toc19120824" w:history="1">
            <w:r w:rsidR="007A7E18" w:rsidRPr="00BA7A6B">
              <w:rPr>
                <w:rStyle w:val="Hyperlink"/>
                <w:rFonts w:ascii="Book Antiqua" w:hAnsi="Book Antiqua"/>
                <w:noProof/>
                <w:lang w:val="en-GB"/>
              </w:rPr>
              <w:t>Amending asylum law in Hungary / abuses by border authorities</w:t>
            </w:r>
            <w:r w:rsidR="007A7E18" w:rsidRPr="00BA7A6B">
              <w:rPr>
                <w:rFonts w:ascii="Book Antiqua" w:hAnsi="Book Antiqua"/>
                <w:noProof/>
                <w:webHidden/>
              </w:rPr>
              <w:tab/>
            </w:r>
            <w:r w:rsidR="008333B9">
              <w:rPr>
                <w:rFonts w:ascii="Book Antiqua" w:hAnsi="Book Antiqua"/>
                <w:noProof/>
                <w:webHidden/>
              </w:rPr>
              <w:t>125</w:t>
            </w:r>
          </w:hyperlink>
        </w:p>
        <w:p w14:paraId="356A3036" w14:textId="2CFED73D" w:rsidR="007A7E18" w:rsidRPr="00BA7A6B" w:rsidRDefault="0020718C">
          <w:pPr>
            <w:pStyle w:val="TOC2"/>
            <w:tabs>
              <w:tab w:val="right" w:leader="dot" w:pos="9062"/>
            </w:tabs>
            <w:rPr>
              <w:rFonts w:ascii="Book Antiqua" w:eastAsiaTheme="minorEastAsia" w:hAnsi="Book Antiqua"/>
              <w:noProof/>
              <w:lang w:eastAsia="hu-HU"/>
            </w:rPr>
          </w:pPr>
          <w:hyperlink w:anchor="_Toc19120825" w:history="1">
            <w:r w:rsidR="007A7E18" w:rsidRPr="00BA7A6B">
              <w:rPr>
                <w:rStyle w:val="Hyperlink"/>
                <w:rFonts w:ascii="Book Antiqua" w:hAnsi="Book Antiqua"/>
                <w:noProof/>
                <w:lang w:val="en-GB"/>
              </w:rPr>
              <w:t>Detention of asylum seekers and migrants</w:t>
            </w:r>
            <w:r w:rsidR="007A7E18" w:rsidRPr="00BA7A6B">
              <w:rPr>
                <w:rFonts w:ascii="Book Antiqua" w:hAnsi="Book Antiqua"/>
                <w:noProof/>
                <w:webHidden/>
              </w:rPr>
              <w:tab/>
            </w:r>
            <w:r w:rsidR="008333B9">
              <w:rPr>
                <w:rFonts w:ascii="Book Antiqua" w:hAnsi="Book Antiqua"/>
                <w:noProof/>
                <w:webHidden/>
              </w:rPr>
              <w:t>129</w:t>
            </w:r>
          </w:hyperlink>
        </w:p>
        <w:p w14:paraId="45C86042" w14:textId="176A885B" w:rsidR="007A7E18" w:rsidRPr="00BA7A6B" w:rsidRDefault="0020718C">
          <w:pPr>
            <w:pStyle w:val="TOC2"/>
            <w:tabs>
              <w:tab w:val="right" w:leader="dot" w:pos="9062"/>
            </w:tabs>
            <w:rPr>
              <w:rFonts w:ascii="Book Antiqua" w:eastAsiaTheme="minorEastAsia" w:hAnsi="Book Antiqua"/>
              <w:noProof/>
              <w:lang w:eastAsia="hu-HU"/>
            </w:rPr>
          </w:pPr>
          <w:hyperlink w:anchor="_Toc19120826" w:history="1">
            <w:r w:rsidR="007A7E18" w:rsidRPr="00BA7A6B">
              <w:rPr>
                <w:rStyle w:val="Hyperlink"/>
                <w:rFonts w:ascii="Book Antiqua" w:hAnsi="Book Antiqua"/>
                <w:noProof/>
                <w:lang w:val="en-GB"/>
              </w:rPr>
              <w:t>The situation of unaccompanied minors</w:t>
            </w:r>
            <w:r w:rsidR="007A7E18" w:rsidRPr="00BA7A6B">
              <w:rPr>
                <w:rFonts w:ascii="Book Antiqua" w:hAnsi="Book Antiqua"/>
                <w:noProof/>
                <w:webHidden/>
              </w:rPr>
              <w:tab/>
            </w:r>
            <w:r w:rsidR="008333B9">
              <w:rPr>
                <w:rFonts w:ascii="Book Antiqua" w:hAnsi="Book Antiqua"/>
                <w:noProof/>
                <w:webHidden/>
              </w:rPr>
              <w:t>131</w:t>
            </w:r>
          </w:hyperlink>
        </w:p>
        <w:p w14:paraId="3321993F" w14:textId="5FB9A5F6" w:rsidR="007A7E18" w:rsidRPr="00BA7A6B" w:rsidRDefault="0020718C">
          <w:pPr>
            <w:pStyle w:val="TOC2"/>
            <w:tabs>
              <w:tab w:val="right" w:leader="dot" w:pos="9062"/>
            </w:tabs>
            <w:rPr>
              <w:rFonts w:ascii="Book Antiqua" w:eastAsiaTheme="minorEastAsia" w:hAnsi="Book Antiqua"/>
              <w:noProof/>
              <w:lang w:eastAsia="hu-HU"/>
            </w:rPr>
          </w:pPr>
          <w:hyperlink w:anchor="_Toc19120827" w:history="1">
            <w:r w:rsidR="007A7E18" w:rsidRPr="00BA7A6B">
              <w:rPr>
                <w:rStyle w:val="Hyperlink"/>
                <w:rFonts w:ascii="Book Antiqua" w:hAnsi="Book Antiqua"/>
                <w:noProof/>
                <w:lang w:val="en-GB"/>
              </w:rPr>
              <w:t>Violation of the applicants’ right to liberty and security (Ilias and Ahmed v. Hungary)</w:t>
            </w:r>
            <w:r w:rsidR="007A7E18" w:rsidRPr="00BA7A6B">
              <w:rPr>
                <w:rFonts w:ascii="Book Antiqua" w:hAnsi="Book Antiqua"/>
                <w:noProof/>
                <w:webHidden/>
              </w:rPr>
              <w:tab/>
            </w:r>
            <w:r w:rsidR="008333B9">
              <w:rPr>
                <w:rFonts w:ascii="Book Antiqua" w:hAnsi="Book Antiqua"/>
                <w:noProof/>
                <w:webHidden/>
              </w:rPr>
              <w:t>139</w:t>
            </w:r>
          </w:hyperlink>
        </w:p>
        <w:p w14:paraId="2B00D47D" w14:textId="34A49418" w:rsidR="007A7E18" w:rsidRPr="00BA7A6B" w:rsidRDefault="0020718C">
          <w:pPr>
            <w:pStyle w:val="TOC2"/>
            <w:tabs>
              <w:tab w:val="right" w:leader="dot" w:pos="9062"/>
            </w:tabs>
            <w:rPr>
              <w:rFonts w:ascii="Book Antiqua" w:eastAsiaTheme="minorEastAsia" w:hAnsi="Book Antiqua"/>
              <w:noProof/>
              <w:lang w:eastAsia="hu-HU"/>
            </w:rPr>
          </w:pPr>
          <w:hyperlink w:anchor="_Toc19120828" w:history="1">
            <w:r w:rsidR="007A7E18" w:rsidRPr="00BA7A6B">
              <w:rPr>
                <w:rStyle w:val="Hyperlink"/>
                <w:rFonts w:ascii="Book Antiqua" w:hAnsi="Book Antiqua"/>
                <w:noProof/>
                <w:lang w:val="en-GB"/>
              </w:rPr>
              <w:t>Mandatory relocation of asylum seekers</w:t>
            </w:r>
            <w:r w:rsidR="007A7E18" w:rsidRPr="00BA7A6B">
              <w:rPr>
                <w:rFonts w:ascii="Book Antiqua" w:hAnsi="Book Antiqua"/>
                <w:noProof/>
                <w:webHidden/>
              </w:rPr>
              <w:tab/>
            </w:r>
            <w:r w:rsidR="008333B9">
              <w:rPr>
                <w:rFonts w:ascii="Book Antiqua" w:hAnsi="Book Antiqua"/>
                <w:noProof/>
                <w:webHidden/>
              </w:rPr>
              <w:t>141</w:t>
            </w:r>
          </w:hyperlink>
        </w:p>
        <w:p w14:paraId="59E487A4" w14:textId="2053825A" w:rsidR="007A7E18" w:rsidRPr="00BA7A6B" w:rsidRDefault="0020718C">
          <w:pPr>
            <w:pStyle w:val="TOC2"/>
            <w:tabs>
              <w:tab w:val="right" w:leader="dot" w:pos="9062"/>
            </w:tabs>
            <w:rPr>
              <w:rFonts w:ascii="Book Antiqua" w:eastAsiaTheme="minorEastAsia" w:hAnsi="Book Antiqua"/>
              <w:noProof/>
              <w:lang w:eastAsia="hu-HU"/>
            </w:rPr>
          </w:pPr>
          <w:hyperlink w:anchor="_Toc19120829" w:history="1">
            <w:r w:rsidR="007A7E18" w:rsidRPr="00BA7A6B">
              <w:rPr>
                <w:rStyle w:val="Hyperlink"/>
                <w:rFonts w:ascii="Book Antiqua" w:hAnsi="Book Antiqua"/>
                <w:noProof/>
                <w:lang w:val="en-GB"/>
              </w:rPr>
              <w:t>Infringement procedure regarding Hungarian asylum legislation</w:t>
            </w:r>
            <w:r w:rsidR="007A7E18" w:rsidRPr="00BA7A6B">
              <w:rPr>
                <w:rFonts w:ascii="Book Antiqua" w:hAnsi="Book Antiqua"/>
                <w:noProof/>
                <w:webHidden/>
              </w:rPr>
              <w:tab/>
            </w:r>
            <w:r w:rsidR="008333B9">
              <w:rPr>
                <w:rFonts w:ascii="Book Antiqua" w:hAnsi="Book Antiqua"/>
                <w:noProof/>
                <w:webHidden/>
              </w:rPr>
              <w:t>141</w:t>
            </w:r>
          </w:hyperlink>
        </w:p>
        <w:p w14:paraId="2F347C51" w14:textId="601C0ACE" w:rsidR="007A7E18" w:rsidRPr="00BA7A6B" w:rsidRDefault="0020718C">
          <w:pPr>
            <w:pStyle w:val="TOC2"/>
            <w:tabs>
              <w:tab w:val="right" w:leader="dot" w:pos="9062"/>
            </w:tabs>
            <w:rPr>
              <w:rFonts w:ascii="Book Antiqua" w:eastAsiaTheme="minorEastAsia" w:hAnsi="Book Antiqua"/>
              <w:noProof/>
              <w:lang w:eastAsia="hu-HU"/>
            </w:rPr>
          </w:pPr>
          <w:hyperlink w:anchor="_Toc19120830" w:history="1">
            <w:r w:rsidR="007A7E18" w:rsidRPr="00BA7A6B">
              <w:rPr>
                <w:rStyle w:val="Hyperlink"/>
                <w:rFonts w:ascii="Book Antiqua" w:hAnsi="Book Antiqua"/>
                <w:noProof/>
                <w:lang w:val="en-GB"/>
              </w:rPr>
              <w:t>Detention of asylum applicants</w:t>
            </w:r>
            <w:r w:rsidR="007A7E18" w:rsidRPr="00BA7A6B">
              <w:rPr>
                <w:rFonts w:ascii="Book Antiqua" w:hAnsi="Book Antiqua"/>
                <w:noProof/>
                <w:webHidden/>
              </w:rPr>
              <w:tab/>
            </w:r>
            <w:r w:rsidR="008333B9">
              <w:rPr>
                <w:rFonts w:ascii="Book Antiqua" w:hAnsi="Book Antiqua"/>
                <w:noProof/>
                <w:webHidden/>
              </w:rPr>
              <w:t>143</w:t>
            </w:r>
          </w:hyperlink>
        </w:p>
        <w:p w14:paraId="0B91EBD2" w14:textId="1AC941F7" w:rsidR="007A7E18" w:rsidRPr="00BA7A6B" w:rsidRDefault="0020718C">
          <w:pPr>
            <w:pStyle w:val="TOC1"/>
            <w:rPr>
              <w:rFonts w:eastAsiaTheme="minorEastAsia"/>
              <w:b w:val="0"/>
              <w:lang w:val="hu-HU" w:eastAsia="hu-HU"/>
            </w:rPr>
          </w:pPr>
          <w:hyperlink w:anchor="_Toc19120831" w:history="1">
            <w:r w:rsidR="007A7E18" w:rsidRPr="00BA7A6B">
              <w:rPr>
                <w:rStyle w:val="Hyperlink"/>
              </w:rPr>
              <w:t>Economic and social rights</w:t>
            </w:r>
            <w:r w:rsidR="007A7E18" w:rsidRPr="00BA7A6B">
              <w:rPr>
                <w:webHidden/>
              </w:rPr>
              <w:tab/>
            </w:r>
            <w:r w:rsidR="008333B9">
              <w:rPr>
                <w:webHidden/>
              </w:rPr>
              <w:t>146</w:t>
            </w:r>
          </w:hyperlink>
        </w:p>
        <w:p w14:paraId="78109A32" w14:textId="7B20F1F9" w:rsidR="007A7E18" w:rsidRPr="00BA7A6B" w:rsidRDefault="0020718C">
          <w:pPr>
            <w:pStyle w:val="TOC2"/>
            <w:tabs>
              <w:tab w:val="right" w:leader="dot" w:pos="9062"/>
            </w:tabs>
            <w:rPr>
              <w:rFonts w:ascii="Book Antiqua" w:eastAsiaTheme="minorEastAsia" w:hAnsi="Book Antiqua"/>
              <w:noProof/>
              <w:lang w:eastAsia="hu-HU"/>
            </w:rPr>
          </w:pPr>
          <w:hyperlink w:anchor="_Toc19120832" w:history="1">
            <w:r w:rsidR="007A7E18" w:rsidRPr="00BA7A6B">
              <w:rPr>
                <w:rStyle w:val="Hyperlink"/>
                <w:rFonts w:ascii="Book Antiqua" w:hAnsi="Book Antiqua"/>
                <w:noProof/>
                <w:lang w:val="en-GB"/>
              </w:rPr>
              <w:t>Criminalising homelessness</w:t>
            </w:r>
            <w:r w:rsidR="007A7E18" w:rsidRPr="00BA7A6B">
              <w:rPr>
                <w:rFonts w:ascii="Book Antiqua" w:hAnsi="Book Antiqua"/>
                <w:noProof/>
                <w:webHidden/>
              </w:rPr>
              <w:tab/>
            </w:r>
            <w:r w:rsidR="008333B9">
              <w:rPr>
                <w:rFonts w:ascii="Book Antiqua" w:hAnsi="Book Antiqua"/>
                <w:noProof/>
                <w:webHidden/>
              </w:rPr>
              <w:t>147</w:t>
            </w:r>
          </w:hyperlink>
        </w:p>
        <w:p w14:paraId="2FF8783C" w14:textId="3FB6098F" w:rsidR="007A7E18" w:rsidRPr="00BA7A6B" w:rsidRDefault="0020718C">
          <w:pPr>
            <w:pStyle w:val="TOC2"/>
            <w:tabs>
              <w:tab w:val="right" w:leader="dot" w:pos="9062"/>
            </w:tabs>
            <w:rPr>
              <w:rFonts w:ascii="Book Antiqua" w:eastAsiaTheme="minorEastAsia" w:hAnsi="Book Antiqua"/>
              <w:noProof/>
              <w:lang w:eastAsia="hu-HU"/>
            </w:rPr>
          </w:pPr>
          <w:hyperlink w:anchor="_Toc19120833" w:history="1">
            <w:r w:rsidR="007A7E18" w:rsidRPr="00BA7A6B">
              <w:rPr>
                <w:rStyle w:val="Hyperlink"/>
                <w:rFonts w:ascii="Book Antiqua" w:hAnsi="Book Antiqua"/>
                <w:noProof/>
                <w:lang w:val="en-GB"/>
              </w:rPr>
              <w:t>Non-compliance with the European Social Charter</w:t>
            </w:r>
            <w:r w:rsidR="007A7E18" w:rsidRPr="00BA7A6B">
              <w:rPr>
                <w:rFonts w:ascii="Book Antiqua" w:hAnsi="Book Antiqua"/>
                <w:noProof/>
                <w:webHidden/>
              </w:rPr>
              <w:tab/>
            </w:r>
            <w:r w:rsidR="008333B9">
              <w:rPr>
                <w:rFonts w:ascii="Book Antiqua" w:hAnsi="Book Antiqua"/>
                <w:noProof/>
                <w:webHidden/>
              </w:rPr>
              <w:t>150</w:t>
            </w:r>
          </w:hyperlink>
        </w:p>
        <w:p w14:paraId="6A296A3D" w14:textId="2E6796CE" w:rsidR="007A7E18" w:rsidRPr="00BA7A6B" w:rsidRDefault="0020718C">
          <w:pPr>
            <w:pStyle w:val="TOC2"/>
            <w:tabs>
              <w:tab w:val="right" w:leader="dot" w:pos="9062"/>
            </w:tabs>
            <w:rPr>
              <w:rFonts w:ascii="Book Antiqua" w:eastAsiaTheme="minorEastAsia" w:hAnsi="Book Antiqua"/>
              <w:noProof/>
              <w:lang w:eastAsia="hu-HU"/>
            </w:rPr>
          </w:pPr>
          <w:hyperlink w:anchor="_Toc19120834" w:history="1">
            <w:r w:rsidR="007A7E18" w:rsidRPr="00BA7A6B">
              <w:rPr>
                <w:rStyle w:val="Hyperlink"/>
                <w:rFonts w:ascii="Book Antiqua" w:hAnsi="Book Antiqua"/>
                <w:noProof/>
                <w:lang w:val="en-GB"/>
              </w:rPr>
              <w:t>Amendment of the Act on strikes</w:t>
            </w:r>
            <w:r w:rsidR="007A7E18" w:rsidRPr="00BA7A6B">
              <w:rPr>
                <w:rFonts w:ascii="Book Antiqua" w:hAnsi="Book Antiqua"/>
                <w:noProof/>
                <w:webHidden/>
              </w:rPr>
              <w:tab/>
            </w:r>
            <w:r w:rsidR="008333B9">
              <w:rPr>
                <w:rFonts w:ascii="Book Antiqua" w:hAnsi="Book Antiqua"/>
                <w:noProof/>
                <w:webHidden/>
              </w:rPr>
              <w:t>153</w:t>
            </w:r>
          </w:hyperlink>
        </w:p>
        <w:p w14:paraId="51DD9B33" w14:textId="4B03B5AA" w:rsidR="007A7E18" w:rsidRPr="00BA7A6B" w:rsidRDefault="0020718C">
          <w:pPr>
            <w:pStyle w:val="TOC2"/>
            <w:tabs>
              <w:tab w:val="right" w:leader="dot" w:pos="9062"/>
            </w:tabs>
            <w:rPr>
              <w:rFonts w:ascii="Book Antiqua" w:eastAsiaTheme="minorEastAsia" w:hAnsi="Book Antiqua"/>
              <w:noProof/>
              <w:lang w:eastAsia="hu-HU"/>
            </w:rPr>
          </w:pPr>
          <w:hyperlink w:anchor="_Toc19120835" w:history="1">
            <w:r w:rsidR="007A7E18" w:rsidRPr="00BA7A6B">
              <w:rPr>
                <w:rStyle w:val="Hyperlink"/>
                <w:rFonts w:ascii="Book Antiqua" w:hAnsi="Book Antiqua"/>
                <w:noProof/>
                <w:lang w:val="en-GB"/>
              </w:rPr>
              <w:t>Rights of Children</w:t>
            </w:r>
            <w:r w:rsidR="007A7E18" w:rsidRPr="00BA7A6B">
              <w:rPr>
                <w:rFonts w:ascii="Book Antiqua" w:hAnsi="Book Antiqua"/>
                <w:noProof/>
                <w:webHidden/>
              </w:rPr>
              <w:tab/>
            </w:r>
            <w:r w:rsidR="008333B9">
              <w:rPr>
                <w:rFonts w:ascii="Book Antiqua" w:hAnsi="Book Antiqua"/>
                <w:noProof/>
                <w:webHidden/>
              </w:rPr>
              <w:t>155</w:t>
            </w:r>
          </w:hyperlink>
        </w:p>
        <w:p w14:paraId="3D97C2BA" w14:textId="579E0FB9" w:rsidR="007A7E18" w:rsidRPr="00BA7A6B" w:rsidRDefault="0020718C">
          <w:pPr>
            <w:pStyle w:val="TOC2"/>
            <w:tabs>
              <w:tab w:val="right" w:leader="dot" w:pos="9062"/>
            </w:tabs>
            <w:rPr>
              <w:rFonts w:ascii="Book Antiqua" w:eastAsiaTheme="minorEastAsia" w:hAnsi="Book Antiqua"/>
              <w:noProof/>
              <w:lang w:eastAsia="hu-HU"/>
            </w:rPr>
          </w:pPr>
          <w:hyperlink w:anchor="_Toc19120836" w:history="1">
            <w:r w:rsidR="007A7E18" w:rsidRPr="00BA7A6B">
              <w:rPr>
                <w:rStyle w:val="Hyperlink"/>
                <w:rFonts w:ascii="Book Antiqua" w:hAnsi="Book Antiqua"/>
                <w:noProof/>
                <w:lang w:val="en-GB"/>
              </w:rPr>
              <w:t>Adequacy and coverage of social assistance and unemployment benefits</w:t>
            </w:r>
            <w:r w:rsidR="007A7E18" w:rsidRPr="00BA7A6B">
              <w:rPr>
                <w:rFonts w:ascii="Book Antiqua" w:hAnsi="Book Antiqua"/>
                <w:noProof/>
                <w:webHidden/>
              </w:rPr>
              <w:tab/>
            </w:r>
            <w:r w:rsidR="008333B9">
              <w:rPr>
                <w:rFonts w:ascii="Book Antiqua" w:hAnsi="Book Antiqua"/>
                <w:noProof/>
                <w:webHidden/>
              </w:rPr>
              <w:t>157</w:t>
            </w:r>
          </w:hyperlink>
        </w:p>
        <w:p w14:paraId="12CE66A6" w14:textId="77777777" w:rsidR="008E30B5" w:rsidRPr="003E3613" w:rsidRDefault="008E30B5" w:rsidP="00204696">
          <w:pPr>
            <w:spacing w:before="60" w:after="60"/>
            <w:rPr>
              <w:rFonts w:ascii="Book Antiqua" w:hAnsi="Book Antiqua"/>
              <w:sz w:val="23"/>
              <w:szCs w:val="23"/>
              <w:lang w:val="en-GB"/>
            </w:rPr>
          </w:pPr>
          <w:r w:rsidRPr="00BA7A6B">
            <w:rPr>
              <w:rFonts w:ascii="Book Antiqua" w:hAnsi="Book Antiqua"/>
              <w:b/>
              <w:bCs/>
              <w:lang w:val="en-GB"/>
            </w:rPr>
            <w:fldChar w:fldCharType="end"/>
          </w:r>
        </w:p>
      </w:sdtContent>
    </w:sdt>
    <w:p w14:paraId="13449E90" w14:textId="77777777" w:rsidR="008E30B5" w:rsidRPr="003E3613" w:rsidRDefault="008E30B5" w:rsidP="00204696">
      <w:pPr>
        <w:spacing w:after="0"/>
        <w:jc w:val="both"/>
        <w:rPr>
          <w:rFonts w:ascii="Book Antiqua" w:hAnsi="Book Antiqua" w:cs="Times New Roman"/>
          <w:sz w:val="23"/>
          <w:szCs w:val="23"/>
          <w:lang w:val="en-GB"/>
        </w:rPr>
      </w:pPr>
    </w:p>
    <w:p w14:paraId="4A83ACE4" w14:textId="77777777" w:rsidR="008E30B5" w:rsidRPr="003E3613" w:rsidRDefault="008E30B5" w:rsidP="00204696">
      <w:pPr>
        <w:rPr>
          <w:rFonts w:ascii="Book Antiqua" w:hAnsi="Book Antiqua"/>
          <w:sz w:val="23"/>
          <w:szCs w:val="23"/>
          <w:lang w:val="en-GB"/>
        </w:rPr>
      </w:pPr>
    </w:p>
    <w:p w14:paraId="70672392" w14:textId="77777777" w:rsidR="0031191B" w:rsidRDefault="008E30B5" w:rsidP="00204696">
      <w:pPr>
        <w:rPr>
          <w:rFonts w:ascii="Book Antiqua" w:hAnsi="Book Antiqua"/>
          <w:sz w:val="23"/>
          <w:szCs w:val="23"/>
          <w:lang w:val="en-GB"/>
        </w:rPr>
        <w:sectPr w:rsidR="0031191B" w:rsidSect="00660031">
          <w:headerReference w:type="default" r:id="rId15"/>
          <w:pgSz w:w="11906" w:h="16838"/>
          <w:pgMar w:top="1134" w:right="1134" w:bottom="1134" w:left="1134" w:header="567" w:footer="567" w:gutter="0"/>
          <w:cols w:space="708"/>
          <w:docGrid w:linePitch="360"/>
        </w:sectPr>
      </w:pPr>
      <w:r w:rsidRPr="003E3613">
        <w:rPr>
          <w:rFonts w:ascii="Book Antiqua" w:hAnsi="Book Antiqua"/>
          <w:sz w:val="23"/>
          <w:szCs w:val="23"/>
          <w:lang w:val="en-GB"/>
        </w:rPr>
        <w:br w:type="page"/>
      </w:r>
    </w:p>
    <w:p w14:paraId="7EEF2BC9" w14:textId="77777777" w:rsidR="00507F12" w:rsidRPr="003E3613" w:rsidRDefault="00507F12" w:rsidP="00204696">
      <w:pPr>
        <w:pStyle w:val="Heading1"/>
        <w:keepNext w:val="0"/>
        <w:keepLines w:val="0"/>
        <w:pBdr>
          <w:top w:val="single" w:sz="4" w:space="1" w:color="auto"/>
          <w:left w:val="single" w:sz="4" w:space="4" w:color="auto"/>
          <w:bottom w:val="single" w:sz="4" w:space="1" w:color="auto"/>
          <w:right w:val="single" w:sz="4" w:space="4" w:color="auto"/>
        </w:pBdr>
        <w:shd w:val="clear" w:color="auto" w:fill="C6D9F1" w:themeFill="text2" w:themeFillTint="33"/>
        <w:spacing w:before="0"/>
        <w:rPr>
          <w:rFonts w:ascii="Book Antiqua" w:hAnsi="Book Antiqua"/>
          <w:color w:val="auto"/>
          <w:sz w:val="23"/>
          <w:szCs w:val="23"/>
          <w:lang w:val="en-GB"/>
        </w:rPr>
      </w:pPr>
      <w:bookmarkStart w:id="3" w:name="_Toc19120764"/>
      <w:r w:rsidRPr="003E3613">
        <w:rPr>
          <w:rFonts w:ascii="Book Antiqua" w:hAnsi="Book Antiqua"/>
          <w:color w:val="auto"/>
          <w:sz w:val="23"/>
          <w:szCs w:val="23"/>
          <w:lang w:val="en-GB"/>
        </w:rPr>
        <w:lastRenderedPageBreak/>
        <w:t xml:space="preserve">Functioning of the constitutional </w:t>
      </w:r>
      <w:r w:rsidR="00E5380F" w:rsidRPr="003E3613">
        <w:rPr>
          <w:rFonts w:ascii="Book Antiqua" w:hAnsi="Book Antiqua"/>
          <w:color w:val="auto"/>
          <w:sz w:val="23"/>
          <w:szCs w:val="23"/>
          <w:lang w:val="en-GB"/>
        </w:rPr>
        <w:t>and electoral system</w:t>
      </w:r>
      <w:bookmarkEnd w:id="3"/>
    </w:p>
    <w:p w14:paraId="386FAE1D" w14:textId="77777777" w:rsidR="00507F12" w:rsidRPr="003E3613" w:rsidRDefault="00507F12" w:rsidP="00204696">
      <w:pPr>
        <w:spacing w:after="0"/>
        <w:jc w:val="both"/>
        <w:rPr>
          <w:rFonts w:ascii="Book Antiqua" w:hAnsi="Book Antiqua"/>
          <w:sz w:val="23"/>
          <w:szCs w:val="23"/>
          <w:lang w:val="en-GB"/>
        </w:rPr>
      </w:pPr>
    </w:p>
    <w:p w14:paraId="2F775E2F" w14:textId="77777777" w:rsidR="000C2BA7" w:rsidRPr="003E3613" w:rsidRDefault="000C2BA7"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functioning of the Hungarian constitutional system does not raise issues </w:t>
      </w:r>
      <w:r w:rsidR="002363C0" w:rsidRPr="003E3613">
        <w:rPr>
          <w:rFonts w:ascii="Book Antiqua" w:hAnsi="Book Antiqua"/>
          <w:sz w:val="23"/>
          <w:szCs w:val="23"/>
          <w:lang w:val="en-GB"/>
        </w:rPr>
        <w:t xml:space="preserve">which would be </w:t>
      </w:r>
      <w:r w:rsidRPr="003E3613">
        <w:rPr>
          <w:rFonts w:ascii="Book Antiqua" w:hAnsi="Book Antiqua"/>
          <w:sz w:val="23"/>
          <w:szCs w:val="23"/>
          <w:lang w:val="en-GB"/>
        </w:rPr>
        <w:t xml:space="preserve">in conflict with the fundamental values of the European Union. The Hungarian constitutional system operates under the Fundamental Law of Hungary, taking into consideration all necessary EU and international principles. </w:t>
      </w:r>
      <w:r w:rsidR="002363C0" w:rsidRPr="003E3613">
        <w:rPr>
          <w:rFonts w:ascii="Book Antiqua" w:hAnsi="Book Antiqua"/>
          <w:sz w:val="23"/>
          <w:szCs w:val="23"/>
          <w:lang w:val="en-GB"/>
        </w:rPr>
        <w:t xml:space="preserve">Modifying </w:t>
      </w:r>
      <w:r w:rsidRPr="003E3613">
        <w:rPr>
          <w:rFonts w:ascii="Book Antiqua" w:hAnsi="Book Antiqua"/>
          <w:sz w:val="23"/>
          <w:szCs w:val="23"/>
          <w:lang w:val="en-GB"/>
        </w:rPr>
        <w:t>certain details, reforming previous rules or adjusting them does not automatically m</w:t>
      </w:r>
      <w:r w:rsidR="002363C0" w:rsidRPr="003E3613">
        <w:rPr>
          <w:rFonts w:ascii="Book Antiqua" w:hAnsi="Book Antiqua"/>
          <w:sz w:val="23"/>
          <w:szCs w:val="23"/>
          <w:lang w:val="en-GB"/>
        </w:rPr>
        <w:t xml:space="preserve">ake </w:t>
      </w:r>
      <w:r w:rsidRPr="003E3613">
        <w:rPr>
          <w:rFonts w:ascii="Book Antiqua" w:hAnsi="Book Antiqua"/>
          <w:sz w:val="23"/>
          <w:szCs w:val="23"/>
          <w:lang w:val="en-GB"/>
        </w:rPr>
        <w:t xml:space="preserve">these new regulations </w:t>
      </w:r>
      <w:r w:rsidR="002363C0" w:rsidRPr="003E3613">
        <w:rPr>
          <w:rFonts w:ascii="Book Antiqua" w:hAnsi="Book Antiqua"/>
          <w:sz w:val="23"/>
          <w:szCs w:val="23"/>
          <w:lang w:val="en-GB"/>
        </w:rPr>
        <w:t xml:space="preserve">contradictory to </w:t>
      </w:r>
      <w:r w:rsidRPr="003E3613">
        <w:rPr>
          <w:rFonts w:ascii="Book Antiqua" w:hAnsi="Book Antiqua"/>
          <w:sz w:val="23"/>
          <w:szCs w:val="23"/>
          <w:lang w:val="en-GB"/>
        </w:rPr>
        <w:t>the values of the European Union. This is true even when it comes to modifying specific ruling</w:t>
      </w:r>
      <w:r w:rsidR="002363C0" w:rsidRPr="003E3613">
        <w:rPr>
          <w:rFonts w:ascii="Book Antiqua" w:hAnsi="Book Antiqua"/>
          <w:sz w:val="23"/>
          <w:szCs w:val="23"/>
          <w:lang w:val="en-GB"/>
        </w:rPr>
        <w:t>s</w:t>
      </w:r>
      <w:r w:rsidRPr="003E3613">
        <w:rPr>
          <w:rFonts w:ascii="Book Antiqua" w:hAnsi="Book Antiqua"/>
          <w:sz w:val="23"/>
          <w:szCs w:val="23"/>
          <w:lang w:val="en-GB"/>
        </w:rPr>
        <w:t xml:space="preserve"> of the Constitutional Court of Hungary. The concerns listed in the reasoned proposal stem from the fact of modification which does not affect Hungary’s compliance with the fundamental values of the European Union. Several constitutional elements are also questioned by the reasoned proposal, which </w:t>
      </w:r>
      <w:r w:rsidR="000C7B10" w:rsidRPr="003E3613">
        <w:rPr>
          <w:rFonts w:ascii="Book Antiqua" w:hAnsi="Book Antiqua"/>
          <w:sz w:val="23"/>
          <w:szCs w:val="23"/>
          <w:lang w:val="en-GB"/>
        </w:rPr>
        <w:t xml:space="preserve">do </w:t>
      </w:r>
      <w:r w:rsidRPr="003E3613">
        <w:rPr>
          <w:rFonts w:ascii="Book Antiqua" w:hAnsi="Book Antiqua"/>
          <w:sz w:val="23"/>
          <w:szCs w:val="23"/>
          <w:lang w:val="en-GB"/>
        </w:rPr>
        <w:t>no</w:t>
      </w:r>
      <w:r w:rsidR="000C7B10" w:rsidRPr="003E3613">
        <w:rPr>
          <w:rFonts w:ascii="Book Antiqua" w:hAnsi="Book Antiqua"/>
          <w:sz w:val="23"/>
          <w:szCs w:val="23"/>
          <w:lang w:val="en-GB"/>
        </w:rPr>
        <w:t xml:space="preserve">t even </w:t>
      </w:r>
      <w:r w:rsidRPr="003E3613">
        <w:rPr>
          <w:rFonts w:ascii="Book Antiqua" w:hAnsi="Book Antiqua"/>
          <w:sz w:val="23"/>
          <w:szCs w:val="23"/>
          <w:lang w:val="en-GB"/>
        </w:rPr>
        <w:t>exist</w:t>
      </w:r>
      <w:r w:rsidR="000C7B10" w:rsidRPr="003E3613">
        <w:rPr>
          <w:rFonts w:ascii="Book Antiqua" w:hAnsi="Book Antiqua"/>
          <w:sz w:val="23"/>
          <w:szCs w:val="23"/>
          <w:lang w:val="en-GB"/>
        </w:rPr>
        <w:t xml:space="preserve"> </w:t>
      </w:r>
      <w:r w:rsidRPr="003E3613">
        <w:rPr>
          <w:rFonts w:ascii="Book Antiqua" w:hAnsi="Book Antiqua"/>
          <w:sz w:val="23"/>
          <w:szCs w:val="23"/>
          <w:lang w:val="en-GB"/>
        </w:rPr>
        <w:t xml:space="preserve">in many Member States, </w:t>
      </w:r>
      <w:r w:rsidR="000C7B10" w:rsidRPr="003E3613">
        <w:rPr>
          <w:rFonts w:ascii="Book Antiqua" w:hAnsi="Book Antiqua"/>
          <w:sz w:val="23"/>
          <w:szCs w:val="23"/>
          <w:lang w:val="en-GB"/>
        </w:rPr>
        <w:t xml:space="preserve">or albeit they exist, in any case, to a lesser extent or with </w:t>
      </w:r>
      <w:r w:rsidRPr="003E3613">
        <w:rPr>
          <w:rFonts w:ascii="Book Antiqua" w:hAnsi="Book Antiqua"/>
          <w:sz w:val="23"/>
          <w:szCs w:val="23"/>
          <w:lang w:val="en-GB"/>
        </w:rPr>
        <w:t xml:space="preserve">weaker competences or guarantees. In addition, the reasoned proposal does not convey the European Parliament's own findings, it merely refers to </w:t>
      </w:r>
      <w:r w:rsidR="000C7B10" w:rsidRPr="003E3613">
        <w:rPr>
          <w:rFonts w:ascii="Book Antiqua" w:hAnsi="Book Antiqua"/>
          <w:sz w:val="23"/>
          <w:szCs w:val="23"/>
          <w:lang w:val="en-GB"/>
        </w:rPr>
        <w:t xml:space="preserve">the research of </w:t>
      </w:r>
      <w:r w:rsidRPr="003E3613">
        <w:rPr>
          <w:rFonts w:ascii="Book Antiqua" w:hAnsi="Book Antiqua"/>
          <w:sz w:val="23"/>
          <w:szCs w:val="23"/>
          <w:lang w:val="en-GB"/>
        </w:rPr>
        <w:t xml:space="preserve">other international fora. The allegation of the endangerment of the separation of powers and the weakening of the national system of checks and balances are not explained at all in the reasoned </w:t>
      </w:r>
      <w:r w:rsidR="000C7B10" w:rsidRPr="003E3613">
        <w:rPr>
          <w:rFonts w:ascii="Book Antiqua" w:hAnsi="Book Antiqua"/>
          <w:sz w:val="23"/>
          <w:szCs w:val="23"/>
          <w:lang w:val="en-GB"/>
        </w:rPr>
        <w:t xml:space="preserve">proposal </w:t>
      </w:r>
      <w:r w:rsidRPr="003E3613">
        <w:rPr>
          <w:rFonts w:ascii="Book Antiqua" w:hAnsi="Book Antiqua"/>
          <w:sz w:val="23"/>
          <w:szCs w:val="23"/>
          <w:lang w:val="en-GB"/>
        </w:rPr>
        <w:t xml:space="preserve">of the European Parliament. These statements are politically biased. The constitutional tradition of each </w:t>
      </w:r>
      <w:r w:rsidR="000C7B10" w:rsidRPr="003E3613">
        <w:rPr>
          <w:rFonts w:ascii="Book Antiqua" w:hAnsi="Book Antiqua"/>
          <w:sz w:val="23"/>
          <w:szCs w:val="23"/>
          <w:lang w:val="en-GB"/>
        </w:rPr>
        <w:t>M</w:t>
      </w:r>
      <w:r w:rsidRPr="003E3613">
        <w:rPr>
          <w:rFonts w:ascii="Book Antiqua" w:hAnsi="Book Antiqua"/>
          <w:sz w:val="23"/>
          <w:szCs w:val="23"/>
          <w:lang w:val="en-GB"/>
        </w:rPr>
        <w:t xml:space="preserve">ember </w:t>
      </w:r>
      <w:r w:rsidR="000C7B10" w:rsidRPr="003E3613">
        <w:rPr>
          <w:rFonts w:ascii="Book Antiqua" w:hAnsi="Book Antiqua"/>
          <w:sz w:val="23"/>
          <w:szCs w:val="23"/>
          <w:lang w:val="en-GB"/>
        </w:rPr>
        <w:t>S</w:t>
      </w:r>
      <w:r w:rsidRPr="003E3613">
        <w:rPr>
          <w:rFonts w:ascii="Book Antiqua" w:hAnsi="Book Antiqua"/>
          <w:sz w:val="23"/>
          <w:szCs w:val="23"/>
          <w:lang w:val="en-GB"/>
        </w:rPr>
        <w:t xml:space="preserve">tate should be respected. In this regard there are no commonly agreed European rules to follow. It </w:t>
      </w:r>
      <w:r w:rsidR="000C7B10" w:rsidRPr="003E3613">
        <w:rPr>
          <w:rFonts w:ascii="Book Antiqua" w:hAnsi="Book Antiqua"/>
          <w:sz w:val="23"/>
          <w:szCs w:val="23"/>
          <w:lang w:val="en-GB"/>
        </w:rPr>
        <w:t xml:space="preserve">is submitted </w:t>
      </w:r>
      <w:r w:rsidRPr="003E3613">
        <w:rPr>
          <w:rFonts w:ascii="Book Antiqua" w:hAnsi="Book Antiqua"/>
          <w:sz w:val="23"/>
          <w:szCs w:val="23"/>
          <w:lang w:val="en-GB"/>
        </w:rPr>
        <w:t>that such general accusations undermine the trust between the Member States and its citizens and are highly detrimental to the integrity of the whole European Union.</w:t>
      </w:r>
    </w:p>
    <w:p w14:paraId="11650E23" w14:textId="77777777" w:rsidR="002363C0" w:rsidRPr="003E3613" w:rsidRDefault="002363C0" w:rsidP="00204696">
      <w:pPr>
        <w:spacing w:after="0"/>
        <w:jc w:val="both"/>
        <w:rPr>
          <w:rFonts w:ascii="Book Antiqua" w:hAnsi="Book Antiqua"/>
          <w:sz w:val="23"/>
          <w:szCs w:val="23"/>
          <w:lang w:val="en-GB"/>
        </w:rPr>
      </w:pPr>
    </w:p>
    <w:p w14:paraId="6CDC1F1E" w14:textId="77777777" w:rsidR="00507F12" w:rsidRPr="003E3613" w:rsidRDefault="00507F12" w:rsidP="00204696">
      <w:pPr>
        <w:pStyle w:val="Heading2"/>
        <w:keepNext w:val="0"/>
        <w:keepLines w:val="0"/>
        <w:spacing w:before="0"/>
        <w:rPr>
          <w:rFonts w:ascii="Book Antiqua" w:hAnsi="Book Antiqua"/>
          <w:color w:val="auto"/>
          <w:sz w:val="23"/>
          <w:szCs w:val="23"/>
          <w:lang w:val="en-GB"/>
        </w:rPr>
      </w:pPr>
      <w:bookmarkStart w:id="4" w:name="_Toc19120765"/>
      <w:r w:rsidRPr="003E3613">
        <w:rPr>
          <w:rFonts w:ascii="Book Antiqua" w:hAnsi="Book Antiqua"/>
          <w:color w:val="auto"/>
          <w:sz w:val="23"/>
          <w:szCs w:val="23"/>
          <w:lang w:val="en-GB"/>
        </w:rPr>
        <w:t>Constitution-making process in Hungary</w:t>
      </w:r>
      <w:bookmarkEnd w:id="4"/>
    </w:p>
    <w:p w14:paraId="53A2A9E6" w14:textId="77777777" w:rsidR="00507F12" w:rsidRPr="003E3613" w:rsidRDefault="00507F12" w:rsidP="00204696">
      <w:pPr>
        <w:spacing w:after="0"/>
        <w:jc w:val="both"/>
        <w:rPr>
          <w:rFonts w:ascii="Book Antiqua" w:hAnsi="Book Antiqua"/>
          <w:i/>
          <w:sz w:val="23"/>
          <w:szCs w:val="23"/>
          <w:lang w:val="en-GB"/>
        </w:rPr>
      </w:pPr>
    </w:p>
    <w:p w14:paraId="225CBAE4" w14:textId="77777777" w:rsidR="00507F12" w:rsidRPr="003E3613" w:rsidRDefault="00507F12"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AC2051" w:rsidRPr="003E3613">
        <w:rPr>
          <w:rFonts w:ascii="Book Antiqua" w:hAnsi="Book Antiqua"/>
          <w:i/>
          <w:sz w:val="23"/>
          <w:szCs w:val="23"/>
          <w:lang w:val="en-GB"/>
        </w:rPr>
        <w:t>7</w:t>
      </w:r>
      <w:r w:rsidRPr="003E3613">
        <w:rPr>
          <w:rFonts w:ascii="Book Antiqua" w:hAnsi="Book Antiqua"/>
          <w:i/>
          <w:sz w:val="23"/>
          <w:szCs w:val="23"/>
          <w:lang w:val="en-GB"/>
        </w:rPr>
        <w:t>) The Venice Commission expressed its concern regarding the constitution-making process in Hungary on several occasions, both as regards the Fundamental Law and amendments thereto.</w:t>
      </w:r>
      <w:r w:rsidR="007D4504" w:rsidRPr="003E3613">
        <w:rPr>
          <w:rFonts w:ascii="Book Antiqua" w:hAnsi="Book Antiqua"/>
          <w:i/>
          <w:sz w:val="23"/>
          <w:szCs w:val="23"/>
          <w:lang w:val="en-GB"/>
        </w:rPr>
        <w:t xml:space="preserve"> It welcomed the fact that the Fundamental Law establishes a constitutional order based on democracy, the rule of law and the protection of fundamental rights as underlying principles and acknowledged the efforts to establish a constitutional order in line with common European democratic values and standards and to regulate fundamental rights and freedoms in compliance with binding international instruments. </w:t>
      </w:r>
      <w:r w:rsidRPr="003E3613">
        <w:rPr>
          <w:rFonts w:ascii="Book Antiqua" w:hAnsi="Book Antiqua"/>
          <w:i/>
          <w:sz w:val="23"/>
          <w:szCs w:val="23"/>
          <w:lang w:val="en-GB"/>
        </w:rPr>
        <w:t>The criticism focused on the lack of transparency of the process, the inadequate involvement of civil society, the absence of sincere consultation, the endangerment of the separation of powers and the weakening of the national system of checks and balances.</w:t>
      </w:r>
    </w:p>
    <w:p w14:paraId="5A7A8A9A" w14:textId="77777777" w:rsidR="00A40D6E" w:rsidRPr="003E3613" w:rsidRDefault="00A40D6E" w:rsidP="00204696">
      <w:pPr>
        <w:spacing w:after="0"/>
        <w:jc w:val="both"/>
        <w:rPr>
          <w:rFonts w:ascii="Book Antiqua" w:hAnsi="Book Antiqua"/>
          <w:i/>
          <w:sz w:val="23"/>
          <w:szCs w:val="23"/>
          <w:lang w:val="en-GB"/>
        </w:rPr>
      </w:pPr>
    </w:p>
    <w:p w14:paraId="3F442992" w14:textId="77777777" w:rsidR="0031191B" w:rsidRDefault="00A40D6E"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It was generally welcomed by the Venice Commission that former communist countries adopt a new and modern Constitution to create a new framework for society, guaranteeing democracy, fundamental freedoms and the rule of law. </w:t>
      </w:r>
      <w:r w:rsidR="00E96ED4" w:rsidRPr="003E3613">
        <w:rPr>
          <w:rFonts w:ascii="Book Antiqua" w:hAnsi="Book Antiqua"/>
          <w:sz w:val="23"/>
          <w:szCs w:val="23"/>
          <w:lang w:val="en-GB"/>
        </w:rPr>
        <w:t>F</w:t>
      </w:r>
      <w:r w:rsidR="002E7D2C" w:rsidRPr="003E3613">
        <w:rPr>
          <w:rFonts w:ascii="Book Antiqua" w:hAnsi="Book Antiqua"/>
          <w:sz w:val="23"/>
          <w:szCs w:val="23"/>
          <w:lang w:val="en-GB"/>
        </w:rPr>
        <w:t xml:space="preserve">rom the 10 post-communist </w:t>
      </w:r>
      <w:r w:rsidR="00E96ED4" w:rsidRPr="003E3613">
        <w:rPr>
          <w:rFonts w:ascii="Book Antiqua" w:hAnsi="Book Antiqua"/>
          <w:sz w:val="23"/>
          <w:szCs w:val="23"/>
          <w:lang w:val="en-GB"/>
        </w:rPr>
        <w:t>EU M</w:t>
      </w:r>
      <w:r w:rsidR="002E7D2C" w:rsidRPr="003E3613">
        <w:rPr>
          <w:rFonts w:ascii="Book Antiqua" w:hAnsi="Book Antiqua"/>
          <w:sz w:val="23"/>
          <w:szCs w:val="23"/>
          <w:lang w:val="en-GB"/>
        </w:rPr>
        <w:t>ember</w:t>
      </w:r>
      <w:r w:rsidR="00E96ED4" w:rsidRPr="003E3613">
        <w:rPr>
          <w:rFonts w:ascii="Book Antiqua" w:hAnsi="Book Antiqua"/>
          <w:sz w:val="23"/>
          <w:szCs w:val="23"/>
          <w:lang w:val="en-GB"/>
        </w:rPr>
        <w:t xml:space="preserve"> States</w:t>
      </w:r>
      <w:r w:rsidR="00AF12FC" w:rsidRPr="003E3613">
        <w:rPr>
          <w:rFonts w:ascii="Book Antiqua" w:hAnsi="Book Antiqua"/>
          <w:sz w:val="23"/>
          <w:szCs w:val="23"/>
          <w:lang w:val="en-GB"/>
        </w:rPr>
        <w:t>,</w:t>
      </w:r>
      <w:r w:rsidR="002E7D2C" w:rsidRPr="003E3613">
        <w:rPr>
          <w:rFonts w:ascii="Book Antiqua" w:hAnsi="Book Antiqua"/>
          <w:sz w:val="23"/>
          <w:szCs w:val="23"/>
          <w:lang w:val="en-GB"/>
        </w:rPr>
        <w:t xml:space="preserve"> Hungary was the last </w:t>
      </w:r>
      <w:r w:rsidR="00E96ED4" w:rsidRPr="003E3613">
        <w:rPr>
          <w:rFonts w:ascii="Book Antiqua" w:hAnsi="Book Antiqua"/>
          <w:sz w:val="23"/>
          <w:szCs w:val="23"/>
          <w:lang w:val="en-GB"/>
        </w:rPr>
        <w:t xml:space="preserve">one </w:t>
      </w:r>
      <w:r w:rsidR="002E7D2C" w:rsidRPr="003E3613">
        <w:rPr>
          <w:rFonts w:ascii="Book Antiqua" w:hAnsi="Book Antiqua"/>
          <w:sz w:val="23"/>
          <w:szCs w:val="23"/>
          <w:lang w:val="en-GB"/>
        </w:rPr>
        <w:t xml:space="preserve">to accept a new constitution since the fall of communism. </w:t>
      </w:r>
      <w:r w:rsidR="00734BB3" w:rsidRPr="003E3613">
        <w:rPr>
          <w:rFonts w:ascii="Book Antiqua" w:hAnsi="Book Antiqua"/>
          <w:sz w:val="23"/>
          <w:szCs w:val="23"/>
          <w:lang w:val="en-GB"/>
        </w:rPr>
        <w:t xml:space="preserve">In </w:t>
      </w:r>
      <w:r w:rsidR="00E96ED4" w:rsidRPr="003E3613">
        <w:rPr>
          <w:rFonts w:ascii="Book Antiqua" w:hAnsi="Book Antiqua"/>
          <w:sz w:val="23"/>
          <w:szCs w:val="23"/>
          <w:lang w:val="en-GB"/>
        </w:rPr>
        <w:t>i</w:t>
      </w:r>
      <w:r w:rsidR="00734BB3" w:rsidRPr="003E3613">
        <w:rPr>
          <w:rFonts w:ascii="Book Antiqua" w:hAnsi="Book Antiqua"/>
          <w:sz w:val="23"/>
          <w:szCs w:val="23"/>
          <w:lang w:val="en-GB"/>
        </w:rPr>
        <w:t>t</w:t>
      </w:r>
      <w:r w:rsidR="00E96ED4" w:rsidRPr="003E3613">
        <w:rPr>
          <w:rFonts w:ascii="Book Antiqua" w:hAnsi="Book Antiqua"/>
          <w:sz w:val="23"/>
          <w:szCs w:val="23"/>
          <w:lang w:val="en-GB"/>
        </w:rPr>
        <w:t>s</w:t>
      </w:r>
      <w:r w:rsidR="00734BB3" w:rsidRPr="003E3613">
        <w:rPr>
          <w:rFonts w:ascii="Book Antiqua" w:hAnsi="Book Antiqua"/>
          <w:sz w:val="23"/>
          <w:szCs w:val="23"/>
          <w:lang w:val="en-GB"/>
        </w:rPr>
        <w:t xml:space="preserve"> Opinion on the new Constitution of Hungary</w:t>
      </w:r>
      <w:r w:rsidR="00E96ED4" w:rsidRPr="003E3613">
        <w:rPr>
          <w:rFonts w:ascii="Book Antiqua" w:hAnsi="Book Antiqua"/>
          <w:sz w:val="23"/>
          <w:szCs w:val="23"/>
          <w:lang w:val="en-GB"/>
        </w:rPr>
        <w:t xml:space="preserve">, </w:t>
      </w:r>
      <w:r w:rsidR="00734BB3" w:rsidRPr="003E3613">
        <w:rPr>
          <w:rFonts w:ascii="Book Antiqua" w:hAnsi="Book Antiqua"/>
          <w:sz w:val="23"/>
          <w:szCs w:val="23"/>
          <w:lang w:val="en-GB"/>
        </w:rPr>
        <w:t xml:space="preserve">the Venice Commission </w:t>
      </w:r>
      <w:r w:rsidRPr="003E3613">
        <w:rPr>
          <w:rFonts w:ascii="Book Antiqua" w:hAnsi="Book Antiqua"/>
          <w:sz w:val="23"/>
          <w:szCs w:val="23"/>
          <w:lang w:val="en-GB"/>
        </w:rPr>
        <w:t xml:space="preserve">welcomed </w:t>
      </w:r>
      <w:r w:rsidR="00E96ED4" w:rsidRPr="003E3613">
        <w:rPr>
          <w:rFonts w:ascii="Book Antiqua" w:hAnsi="Book Antiqua"/>
          <w:sz w:val="23"/>
          <w:szCs w:val="23"/>
          <w:lang w:val="en-GB"/>
        </w:rPr>
        <w:t xml:space="preserve">under point 142 </w:t>
      </w:r>
      <w:r w:rsidRPr="003E3613">
        <w:rPr>
          <w:rFonts w:ascii="Book Antiqua" w:hAnsi="Book Antiqua"/>
          <w:sz w:val="23"/>
          <w:szCs w:val="23"/>
          <w:lang w:val="en-GB"/>
        </w:rPr>
        <w:t xml:space="preserve">that the </w:t>
      </w:r>
      <w:r w:rsidR="00082D60" w:rsidRPr="003E3613">
        <w:rPr>
          <w:rFonts w:ascii="Book Antiqua" w:hAnsi="Book Antiqua"/>
          <w:sz w:val="23"/>
          <w:szCs w:val="23"/>
          <w:lang w:val="en-GB"/>
        </w:rPr>
        <w:t xml:space="preserve">Fundamental Law </w:t>
      </w:r>
      <w:r w:rsidRPr="003E3613">
        <w:rPr>
          <w:rFonts w:ascii="Book Antiqua" w:hAnsi="Book Antiqua"/>
          <w:sz w:val="23"/>
          <w:szCs w:val="23"/>
          <w:lang w:val="en-GB"/>
        </w:rPr>
        <w:t>establishe</w:t>
      </w:r>
      <w:r w:rsidR="00E96ED4" w:rsidRPr="003E3613">
        <w:rPr>
          <w:rFonts w:ascii="Book Antiqua" w:hAnsi="Book Antiqua"/>
          <w:sz w:val="23"/>
          <w:szCs w:val="23"/>
          <w:lang w:val="en-GB"/>
        </w:rPr>
        <w:t>d</w:t>
      </w:r>
      <w:r w:rsidRPr="003E3613">
        <w:rPr>
          <w:rFonts w:ascii="Book Antiqua" w:hAnsi="Book Antiqua"/>
          <w:sz w:val="23"/>
          <w:szCs w:val="23"/>
          <w:lang w:val="en-GB"/>
        </w:rPr>
        <w:t xml:space="preserve"> a </w:t>
      </w:r>
    </w:p>
    <w:p w14:paraId="2A24249E" w14:textId="34E48EB9" w:rsidR="00A40D6E" w:rsidRPr="003E3613" w:rsidRDefault="00A40D6E"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constitutional order based on democracy, the rule of law and the protection of fundamental rights as underlying principles. More generally, while it represents a major step for the current ruling coalition and for Hungary, the adoption of the new Constitution in April 2011 seemed </w:t>
      </w:r>
      <w:r w:rsidRPr="003E3613">
        <w:rPr>
          <w:rFonts w:ascii="Book Antiqua" w:hAnsi="Book Antiqua"/>
          <w:sz w:val="23"/>
          <w:szCs w:val="23"/>
          <w:lang w:val="en-GB"/>
        </w:rPr>
        <w:lastRenderedPageBreak/>
        <w:t xml:space="preserve">to be only the beginning of a longer process of the establishment of a comprehensive and coherent new constitutional order. The Venice Commission welcomed the efforts to establish a constitutional order in line with the common European democratic values and standards, and to regulate fundamental rights and freedoms in compliance with </w:t>
      </w:r>
      <w:r w:rsidR="00082D60" w:rsidRPr="003E3613">
        <w:rPr>
          <w:rFonts w:ascii="Book Antiqua" w:hAnsi="Book Antiqua"/>
          <w:sz w:val="23"/>
          <w:szCs w:val="23"/>
          <w:lang w:val="en-GB"/>
        </w:rPr>
        <w:t>binding</w:t>
      </w:r>
      <w:r w:rsidRPr="003E3613">
        <w:rPr>
          <w:rFonts w:ascii="Book Antiqua" w:hAnsi="Book Antiqua"/>
          <w:sz w:val="23"/>
          <w:szCs w:val="23"/>
          <w:lang w:val="en-GB"/>
        </w:rPr>
        <w:t xml:space="preserve"> international instruments, including the </w:t>
      </w:r>
      <w:r w:rsidR="00082D60" w:rsidRPr="003E3613">
        <w:rPr>
          <w:rFonts w:ascii="Book Antiqua" w:hAnsi="Book Antiqua"/>
          <w:sz w:val="23"/>
          <w:szCs w:val="23"/>
          <w:lang w:val="en-GB"/>
        </w:rPr>
        <w:t>European Convention on Human Rights</w:t>
      </w:r>
      <w:r w:rsidRPr="003E3613">
        <w:rPr>
          <w:rFonts w:ascii="Book Antiqua" w:hAnsi="Book Antiqua"/>
          <w:sz w:val="23"/>
          <w:szCs w:val="23"/>
          <w:lang w:val="en-GB"/>
        </w:rPr>
        <w:t xml:space="preserve"> and the </w:t>
      </w:r>
      <w:r w:rsidR="00082D60" w:rsidRPr="003E3613">
        <w:rPr>
          <w:rFonts w:ascii="Book Antiqua" w:hAnsi="Book Antiqua"/>
          <w:sz w:val="23"/>
          <w:szCs w:val="23"/>
          <w:lang w:val="en-GB"/>
        </w:rPr>
        <w:t>EU Charter of Fundamental Rights</w:t>
      </w:r>
      <w:r w:rsidRPr="003E3613">
        <w:rPr>
          <w:rFonts w:ascii="Book Antiqua" w:hAnsi="Book Antiqua"/>
          <w:sz w:val="23"/>
          <w:szCs w:val="23"/>
          <w:lang w:val="en-GB"/>
        </w:rPr>
        <w:t>.</w:t>
      </w:r>
    </w:p>
    <w:p w14:paraId="479D7FBD" w14:textId="77777777" w:rsidR="002E0B34" w:rsidRPr="003E3613" w:rsidRDefault="002E0B34" w:rsidP="00204696">
      <w:pPr>
        <w:spacing w:after="0"/>
        <w:jc w:val="both"/>
        <w:rPr>
          <w:rFonts w:ascii="Book Antiqua" w:hAnsi="Book Antiqua"/>
          <w:sz w:val="23"/>
          <w:szCs w:val="23"/>
          <w:lang w:val="en-GB"/>
        </w:rPr>
      </w:pPr>
    </w:p>
    <w:p w14:paraId="003A544C" w14:textId="77777777" w:rsidR="002E0B34" w:rsidRPr="003E3613" w:rsidRDefault="002E0B34" w:rsidP="00204696">
      <w:pPr>
        <w:spacing w:after="0"/>
        <w:jc w:val="both"/>
        <w:rPr>
          <w:rFonts w:ascii="Book Antiqua" w:hAnsi="Book Antiqua"/>
          <w:sz w:val="23"/>
          <w:szCs w:val="23"/>
          <w:lang w:val="en-GB"/>
        </w:rPr>
      </w:pPr>
      <w:r w:rsidRPr="003E3613">
        <w:rPr>
          <w:rFonts w:ascii="Book Antiqua" w:hAnsi="Book Antiqua"/>
          <w:sz w:val="23"/>
          <w:szCs w:val="23"/>
          <w:lang w:val="en-GB"/>
        </w:rPr>
        <w:t>The political debate around the draft</w:t>
      </w:r>
      <w:r w:rsidR="00082D60" w:rsidRPr="003E3613">
        <w:rPr>
          <w:rFonts w:ascii="Book Antiqua" w:hAnsi="Book Antiqua"/>
          <w:sz w:val="23"/>
          <w:szCs w:val="23"/>
          <w:lang w:val="en-GB"/>
        </w:rPr>
        <w:t>ing of the</w:t>
      </w:r>
      <w:r w:rsidRPr="003E3613">
        <w:rPr>
          <w:rFonts w:ascii="Book Antiqua" w:hAnsi="Book Antiqua"/>
          <w:sz w:val="23"/>
          <w:szCs w:val="23"/>
          <w:lang w:val="en-GB"/>
        </w:rPr>
        <w:t xml:space="preserve"> new constitution was launched in June 2010 by the establishment of an ad hoc parliamentary committee for this purpose, composed of 45 members, representing all parliamentary parties. </w:t>
      </w:r>
      <w:r w:rsidR="00636C76" w:rsidRPr="003E3613">
        <w:rPr>
          <w:rFonts w:ascii="Book Antiqua" w:hAnsi="Book Antiqua"/>
          <w:sz w:val="23"/>
          <w:szCs w:val="23"/>
          <w:lang w:val="en-GB"/>
        </w:rPr>
        <w:t>F</w:t>
      </w:r>
      <w:r w:rsidR="00082D60" w:rsidRPr="003E3613">
        <w:rPr>
          <w:rFonts w:ascii="Book Antiqua" w:hAnsi="Book Antiqua"/>
          <w:sz w:val="23"/>
          <w:szCs w:val="23"/>
          <w:lang w:val="en-GB"/>
        </w:rPr>
        <w:t>ollowing</w:t>
      </w:r>
      <w:r w:rsidRPr="003E3613">
        <w:rPr>
          <w:rFonts w:ascii="Book Antiqua" w:hAnsi="Book Antiqua"/>
          <w:sz w:val="23"/>
          <w:szCs w:val="23"/>
          <w:lang w:val="en-GB"/>
        </w:rPr>
        <w:t xml:space="preserve"> professional and political debate</w:t>
      </w:r>
      <w:r w:rsidR="00636C76" w:rsidRPr="003E3613">
        <w:rPr>
          <w:rFonts w:ascii="Book Antiqua" w:hAnsi="Book Antiqua"/>
          <w:sz w:val="23"/>
          <w:szCs w:val="23"/>
          <w:lang w:val="en-GB"/>
        </w:rPr>
        <w:t xml:space="preserve"> </w:t>
      </w:r>
      <w:r w:rsidR="00734BB3" w:rsidRPr="003E3613">
        <w:rPr>
          <w:rFonts w:ascii="Book Antiqua" w:hAnsi="Book Antiqua"/>
          <w:sz w:val="23"/>
          <w:szCs w:val="23"/>
          <w:lang w:val="en-GB"/>
        </w:rPr>
        <w:t>in</w:t>
      </w:r>
      <w:r w:rsidR="00636C76" w:rsidRPr="003E3613">
        <w:rPr>
          <w:rFonts w:ascii="Book Antiqua" w:hAnsi="Book Antiqua"/>
          <w:sz w:val="23"/>
          <w:szCs w:val="23"/>
          <w:lang w:val="en-GB"/>
        </w:rPr>
        <w:t xml:space="preserve"> the Parliament, the Fundamental Law was voted by more than 2/3 of the members of the Hungarian Parliament on 18 April 2011. </w:t>
      </w:r>
      <w:r w:rsidRPr="003E3613">
        <w:rPr>
          <w:rFonts w:ascii="Book Antiqua" w:hAnsi="Book Antiqua"/>
          <w:sz w:val="23"/>
          <w:szCs w:val="23"/>
          <w:lang w:val="en-GB"/>
        </w:rPr>
        <w:t xml:space="preserve">The parliamentary debate on the draft constitution was </w:t>
      </w:r>
      <w:r w:rsidR="00082D60" w:rsidRPr="003E3613">
        <w:rPr>
          <w:rFonts w:ascii="Book Antiqua" w:hAnsi="Book Antiqua"/>
          <w:sz w:val="23"/>
          <w:szCs w:val="23"/>
          <w:lang w:val="en-GB"/>
        </w:rPr>
        <w:t>preceded</w:t>
      </w:r>
      <w:r w:rsidRPr="003E3613">
        <w:rPr>
          <w:rFonts w:ascii="Book Antiqua" w:hAnsi="Book Antiqua"/>
          <w:sz w:val="23"/>
          <w:szCs w:val="23"/>
          <w:lang w:val="en-GB"/>
        </w:rPr>
        <w:t xml:space="preserve"> by the establishment of a national consultative body, set up in January 2011, followed by large s</w:t>
      </w:r>
      <w:r w:rsidR="00082D60" w:rsidRPr="003E3613">
        <w:rPr>
          <w:rFonts w:ascii="Book Antiqua" w:hAnsi="Book Antiqua"/>
          <w:sz w:val="23"/>
          <w:szCs w:val="23"/>
          <w:lang w:val="en-GB"/>
        </w:rPr>
        <w:t>cale public survey on the draft</w:t>
      </w:r>
      <w:r w:rsidRPr="003E3613">
        <w:rPr>
          <w:rFonts w:ascii="Book Antiqua" w:hAnsi="Book Antiqua"/>
          <w:sz w:val="23"/>
          <w:szCs w:val="23"/>
          <w:lang w:val="en-GB"/>
        </w:rPr>
        <w:t xml:space="preserve"> based on a questionnaire </w:t>
      </w:r>
      <w:r w:rsidR="00082D60" w:rsidRPr="003E3613">
        <w:rPr>
          <w:rFonts w:ascii="Book Antiqua" w:hAnsi="Book Antiqua"/>
          <w:sz w:val="23"/>
          <w:szCs w:val="23"/>
          <w:lang w:val="en-GB"/>
        </w:rPr>
        <w:t xml:space="preserve">of </w:t>
      </w:r>
      <w:r w:rsidRPr="003E3613">
        <w:rPr>
          <w:rFonts w:ascii="Book Antiqua" w:hAnsi="Book Antiqua"/>
          <w:sz w:val="23"/>
          <w:szCs w:val="23"/>
          <w:lang w:val="en-GB"/>
        </w:rPr>
        <w:t xml:space="preserve">12 questions, and several public debates were organized on the values and aims of the </w:t>
      </w:r>
      <w:r w:rsidR="00082D60" w:rsidRPr="003E3613">
        <w:rPr>
          <w:rFonts w:ascii="Book Antiqua" w:hAnsi="Book Antiqua"/>
          <w:sz w:val="23"/>
          <w:szCs w:val="23"/>
          <w:lang w:val="en-GB"/>
        </w:rPr>
        <w:t>Fundamental Law</w:t>
      </w:r>
      <w:r w:rsidRPr="003E3613">
        <w:rPr>
          <w:rFonts w:ascii="Book Antiqua" w:hAnsi="Book Antiqua"/>
          <w:sz w:val="23"/>
          <w:szCs w:val="23"/>
          <w:lang w:val="en-GB"/>
        </w:rPr>
        <w:t>, with the involvement of universities, churches and the civil society.</w:t>
      </w:r>
      <w:r w:rsidR="00554D9C" w:rsidRPr="003E3613">
        <w:rPr>
          <w:rFonts w:ascii="Book Antiqua" w:hAnsi="Book Antiqua"/>
          <w:sz w:val="23"/>
          <w:szCs w:val="23"/>
          <w:lang w:val="en-GB"/>
        </w:rPr>
        <w:t xml:space="preserve"> </w:t>
      </w:r>
      <w:r w:rsidRPr="003E3613">
        <w:rPr>
          <w:rFonts w:ascii="Book Antiqua" w:hAnsi="Book Antiqua"/>
          <w:sz w:val="23"/>
          <w:szCs w:val="23"/>
          <w:lang w:val="en-GB"/>
        </w:rPr>
        <w:t xml:space="preserve">Almost </w:t>
      </w:r>
      <w:r w:rsidR="00082D60" w:rsidRPr="003E3613">
        <w:rPr>
          <w:rFonts w:ascii="Book Antiqua" w:hAnsi="Book Antiqua"/>
          <w:sz w:val="23"/>
          <w:szCs w:val="23"/>
          <w:lang w:val="en-GB"/>
        </w:rPr>
        <w:t>a million</w:t>
      </w:r>
      <w:r w:rsidRPr="003E3613">
        <w:rPr>
          <w:rFonts w:ascii="Book Antiqua" w:hAnsi="Book Antiqua"/>
          <w:sz w:val="23"/>
          <w:szCs w:val="23"/>
          <w:lang w:val="en-GB"/>
        </w:rPr>
        <w:t xml:space="preserve"> citizens </w:t>
      </w:r>
      <w:r w:rsidR="00212893" w:rsidRPr="003E3613">
        <w:rPr>
          <w:rFonts w:ascii="Book Antiqua" w:hAnsi="Book Antiqua"/>
          <w:sz w:val="23"/>
          <w:szCs w:val="23"/>
          <w:lang w:val="en-GB"/>
        </w:rPr>
        <w:t xml:space="preserve">expressed </w:t>
      </w:r>
      <w:r w:rsidRPr="003E3613">
        <w:rPr>
          <w:rFonts w:ascii="Book Antiqua" w:hAnsi="Book Antiqua"/>
          <w:sz w:val="23"/>
          <w:szCs w:val="23"/>
          <w:lang w:val="en-GB"/>
        </w:rPr>
        <w:t xml:space="preserve">their opinion on the draft constitution. </w:t>
      </w:r>
    </w:p>
    <w:p w14:paraId="58C0AAE5" w14:textId="77777777" w:rsidR="00507F12" w:rsidRPr="003E3613" w:rsidRDefault="00507F12" w:rsidP="00204696">
      <w:pPr>
        <w:spacing w:after="0"/>
        <w:jc w:val="both"/>
        <w:rPr>
          <w:rFonts w:ascii="Book Antiqua" w:hAnsi="Book Antiqua"/>
          <w:sz w:val="23"/>
          <w:szCs w:val="23"/>
          <w:lang w:val="en-GB"/>
        </w:rPr>
      </w:pPr>
    </w:p>
    <w:p w14:paraId="7268F160" w14:textId="77777777" w:rsidR="00507F12" w:rsidRPr="003E3613" w:rsidRDefault="00507F12" w:rsidP="00204696">
      <w:pPr>
        <w:pStyle w:val="Heading2"/>
        <w:keepNext w:val="0"/>
        <w:keepLines w:val="0"/>
        <w:spacing w:before="0"/>
        <w:rPr>
          <w:rFonts w:ascii="Book Antiqua" w:hAnsi="Book Antiqua"/>
          <w:color w:val="auto"/>
          <w:sz w:val="23"/>
          <w:szCs w:val="23"/>
          <w:lang w:val="en-GB"/>
        </w:rPr>
      </w:pPr>
      <w:bookmarkStart w:id="5" w:name="_Toc19120766"/>
      <w:r w:rsidRPr="003E3613">
        <w:rPr>
          <w:rFonts w:ascii="Book Antiqua" w:hAnsi="Book Antiqua"/>
          <w:color w:val="auto"/>
          <w:sz w:val="23"/>
          <w:szCs w:val="23"/>
          <w:lang w:val="en-GB"/>
        </w:rPr>
        <w:t>Competences of the Hungarian Constitutional Court</w:t>
      </w:r>
      <w:bookmarkEnd w:id="5"/>
    </w:p>
    <w:p w14:paraId="3F00E477" w14:textId="77777777" w:rsidR="00507F12" w:rsidRPr="003E3613" w:rsidRDefault="00507F12" w:rsidP="00204696">
      <w:pPr>
        <w:spacing w:after="0"/>
        <w:jc w:val="both"/>
        <w:rPr>
          <w:rFonts w:ascii="Book Antiqua" w:hAnsi="Book Antiqua"/>
          <w:i/>
          <w:sz w:val="23"/>
          <w:szCs w:val="23"/>
          <w:lang w:val="en-GB"/>
        </w:rPr>
      </w:pPr>
    </w:p>
    <w:p w14:paraId="204974FC" w14:textId="77777777" w:rsidR="008D642C" w:rsidRPr="003E3613" w:rsidRDefault="00507F12"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7D4504" w:rsidRPr="003E3613">
        <w:rPr>
          <w:rFonts w:ascii="Book Antiqua" w:hAnsi="Book Antiqua"/>
          <w:i/>
          <w:sz w:val="23"/>
          <w:szCs w:val="23"/>
          <w:lang w:val="en-GB"/>
        </w:rPr>
        <w:t>8</w:t>
      </w:r>
      <w:r w:rsidRPr="003E3613">
        <w:rPr>
          <w:rFonts w:ascii="Book Antiqua" w:hAnsi="Book Antiqua"/>
          <w:i/>
          <w:sz w:val="23"/>
          <w:szCs w:val="23"/>
          <w:lang w:val="en-GB"/>
        </w:rPr>
        <w:t xml:space="preserve">) The competences of the Hungarian Constitutional Court were </w:t>
      </w:r>
      <w:r w:rsidR="007D4504" w:rsidRPr="003E3613">
        <w:rPr>
          <w:rFonts w:ascii="Book Antiqua" w:hAnsi="Book Antiqua"/>
          <w:i/>
          <w:sz w:val="23"/>
          <w:szCs w:val="23"/>
          <w:lang w:val="en-GB"/>
        </w:rPr>
        <w:t xml:space="preserve">limited </w:t>
      </w:r>
      <w:r w:rsidRPr="003E3613">
        <w:rPr>
          <w:rFonts w:ascii="Book Antiqua" w:hAnsi="Book Antiqua"/>
          <w:i/>
          <w:sz w:val="23"/>
          <w:szCs w:val="23"/>
          <w:lang w:val="en-GB"/>
        </w:rPr>
        <w:t>as a result of the constitutional reform, including with regard to budgetary matters, the abolition of the actio popularis, the possibility for the Court to refer to its case law prior to 1 January 2012 and the limitation on the Court’s ability to review the constitutionality of any changes to the Fundamental Law apart from those of a procedural nature only. The Venice Commission expressed serious concerns about those limitations and about the procedure for the appointment of judges, and made recommendations to the Hungarian authorities to ensure the necessary checks and balances in its Opinion on Act CLI of 2011 on the Constitutional Court of Hungary adopted on 19 June 2012 and in its Opinion on the Fourth Amendment to the Fundamental Law of Hungary adopted on 17 June 2013.</w:t>
      </w:r>
      <w:r w:rsidR="007D4504" w:rsidRPr="003E3613">
        <w:rPr>
          <w:rFonts w:ascii="Book Antiqua" w:hAnsi="Book Antiqua"/>
          <w:i/>
          <w:sz w:val="23"/>
          <w:szCs w:val="23"/>
          <w:lang w:val="en-GB"/>
        </w:rPr>
        <w:t xml:space="preserve"> In its opinions, the Venice Commission also identified a number of positive elements of the reforms, such as the provisions on budgetary guarantees, ruling out the re-election of judges and the attribution of the right to initiate proceedings for ex post review to the Commissioner for Fundamental Rights.</w:t>
      </w:r>
    </w:p>
    <w:p w14:paraId="3D19B386" w14:textId="77777777" w:rsidR="008D642C" w:rsidRPr="003E3613" w:rsidRDefault="008D642C" w:rsidP="00204696">
      <w:pPr>
        <w:spacing w:after="0"/>
        <w:jc w:val="both"/>
        <w:rPr>
          <w:rFonts w:ascii="Book Antiqua" w:hAnsi="Book Antiqua"/>
          <w:i/>
          <w:sz w:val="23"/>
          <w:szCs w:val="23"/>
          <w:lang w:val="en-GB"/>
        </w:rPr>
      </w:pPr>
    </w:p>
    <w:p w14:paraId="1E08FC90" w14:textId="77777777" w:rsidR="008D642C" w:rsidRPr="003E3613" w:rsidRDefault="008D642C" w:rsidP="00204696">
      <w:pPr>
        <w:spacing w:after="0"/>
        <w:jc w:val="both"/>
        <w:rPr>
          <w:rFonts w:ascii="Book Antiqua" w:hAnsi="Book Antiqua"/>
          <w:i/>
          <w:sz w:val="23"/>
          <w:szCs w:val="23"/>
          <w:lang w:val="en-GB"/>
        </w:rPr>
      </w:pPr>
      <w:r w:rsidRPr="003E3613">
        <w:rPr>
          <w:rFonts w:ascii="Book Antiqua" w:hAnsi="Book Antiqua"/>
          <w:i/>
          <w:sz w:val="23"/>
          <w:szCs w:val="23"/>
          <w:lang w:val="en-GB"/>
        </w:rPr>
        <w:t>(9) In the concluding observations of 5 April 2018, the UN Human Rights Committee expressed concerns that the current constitutional complaint procedure affords more limited access to the Constitutional Court, does not provide for a time limit for the exercise of constitutional review and does not have a suspensive effect on challenged legislation. It also mentioned that the provisions of the new Constitutional Court Act weaken the security of tenure of judges and increase the influence of the government over the composition and operation of the Constitutional Court by changing the judicial appointments procedure, the number of judges in the Court and their retirement age. The Committee was also concerned about the limitation of the Constitutional Court’s competence and powers to review legislation impinging on budgetary matters.</w:t>
      </w:r>
    </w:p>
    <w:p w14:paraId="59CDF4D5" w14:textId="77777777" w:rsidR="008D642C" w:rsidRPr="003E3613" w:rsidRDefault="008D642C" w:rsidP="00204696">
      <w:pPr>
        <w:spacing w:after="0"/>
        <w:jc w:val="both"/>
        <w:rPr>
          <w:rFonts w:ascii="Book Antiqua" w:hAnsi="Book Antiqua"/>
          <w:i/>
          <w:sz w:val="23"/>
          <w:szCs w:val="23"/>
          <w:lang w:val="en-GB"/>
        </w:rPr>
      </w:pPr>
    </w:p>
    <w:p w14:paraId="4D366505" w14:textId="77777777" w:rsidR="00734BB3" w:rsidRPr="003E3613" w:rsidRDefault="00D94954"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 xml:space="preserve">In a European comparison, the Hungarian Constitutional Court has a remarkable </w:t>
      </w:r>
      <w:r w:rsidR="00FC54BF" w:rsidRPr="003E3613">
        <w:rPr>
          <w:rFonts w:ascii="Book Antiqua" w:hAnsi="Book Antiqua"/>
          <w:sz w:val="23"/>
          <w:szCs w:val="23"/>
          <w:lang w:val="en-GB"/>
        </w:rPr>
        <w:t xml:space="preserve">set </w:t>
      </w:r>
      <w:r w:rsidRPr="003E3613">
        <w:rPr>
          <w:rFonts w:ascii="Book Antiqua" w:hAnsi="Book Antiqua"/>
          <w:sz w:val="23"/>
          <w:szCs w:val="23"/>
          <w:lang w:val="en-GB"/>
        </w:rPr>
        <w:t xml:space="preserve">of powers. Despite several professional legal arguments to the contrary, the Fundamental Law refrained from decentralization – e.g. by transferring the protection of fundamental rights to ordinary courts – and maintained the remarkably strong competences of the Constitutional Court. </w:t>
      </w:r>
      <w:r w:rsidR="002E0B34" w:rsidRPr="003E3613">
        <w:rPr>
          <w:rFonts w:ascii="Book Antiqua" w:hAnsi="Book Antiqua"/>
          <w:sz w:val="23"/>
          <w:szCs w:val="23"/>
          <w:lang w:val="en-GB"/>
        </w:rPr>
        <w:t>Contrary to the negative perception</w:t>
      </w:r>
      <w:r w:rsidRPr="003E3613">
        <w:rPr>
          <w:rFonts w:ascii="Book Antiqua" w:hAnsi="Book Antiqua"/>
          <w:sz w:val="23"/>
          <w:szCs w:val="23"/>
          <w:lang w:val="en-GB"/>
        </w:rPr>
        <w:t xml:space="preserve"> echoed in the </w:t>
      </w:r>
      <w:r w:rsidR="00470259" w:rsidRPr="003E3613">
        <w:rPr>
          <w:rFonts w:ascii="Book Antiqua" w:hAnsi="Book Antiqua"/>
          <w:sz w:val="23"/>
          <w:szCs w:val="23"/>
          <w:lang w:val="en-GB"/>
        </w:rPr>
        <w:t>reasoned proposal</w:t>
      </w:r>
      <w:r w:rsidR="002E0B34" w:rsidRPr="003E3613">
        <w:rPr>
          <w:rFonts w:ascii="Book Antiqua" w:hAnsi="Book Antiqua"/>
          <w:sz w:val="23"/>
          <w:szCs w:val="23"/>
          <w:lang w:val="en-GB"/>
        </w:rPr>
        <w:t xml:space="preserve">, the Constitutional Court </w:t>
      </w:r>
      <w:r w:rsidRPr="003E3613">
        <w:rPr>
          <w:rFonts w:ascii="Book Antiqua" w:hAnsi="Book Antiqua"/>
          <w:sz w:val="23"/>
          <w:szCs w:val="23"/>
          <w:lang w:val="en-GB"/>
        </w:rPr>
        <w:t xml:space="preserve">even </w:t>
      </w:r>
      <w:r w:rsidR="002E0B34" w:rsidRPr="003E3613">
        <w:rPr>
          <w:rFonts w:ascii="Book Antiqua" w:hAnsi="Book Antiqua"/>
          <w:sz w:val="23"/>
          <w:szCs w:val="23"/>
          <w:lang w:val="en-GB"/>
        </w:rPr>
        <w:t xml:space="preserve">received new competences under the </w:t>
      </w:r>
      <w:r w:rsidRPr="003E3613">
        <w:rPr>
          <w:rFonts w:ascii="Book Antiqua" w:hAnsi="Book Antiqua"/>
          <w:sz w:val="23"/>
          <w:szCs w:val="23"/>
          <w:lang w:val="en-GB"/>
        </w:rPr>
        <w:t>Fundamental Law</w:t>
      </w:r>
      <w:r w:rsidR="00734BB3" w:rsidRPr="003E3613">
        <w:rPr>
          <w:rFonts w:ascii="Book Antiqua" w:hAnsi="Book Antiqua"/>
          <w:sz w:val="23"/>
          <w:szCs w:val="23"/>
          <w:lang w:val="en-GB"/>
        </w:rPr>
        <w:t>. The</w:t>
      </w:r>
      <w:r w:rsidR="00D521F9" w:rsidRPr="003E3613">
        <w:rPr>
          <w:rFonts w:ascii="Book Antiqua" w:hAnsi="Book Antiqua"/>
          <w:sz w:val="23"/>
          <w:szCs w:val="23"/>
          <w:lang w:val="en-GB"/>
        </w:rPr>
        <w:t xml:space="preserve"> Court’s </w:t>
      </w:r>
      <w:r w:rsidR="00734BB3" w:rsidRPr="003E3613">
        <w:rPr>
          <w:rFonts w:ascii="Book Antiqua" w:hAnsi="Book Antiqua"/>
          <w:sz w:val="23"/>
          <w:szCs w:val="23"/>
          <w:lang w:val="en-GB"/>
        </w:rPr>
        <w:t>competences include ex</w:t>
      </w:r>
      <w:r w:rsidR="00507D16" w:rsidRPr="003E3613">
        <w:rPr>
          <w:rFonts w:ascii="Book Antiqua" w:hAnsi="Book Antiqua"/>
          <w:sz w:val="23"/>
          <w:szCs w:val="23"/>
          <w:lang w:val="en-GB"/>
        </w:rPr>
        <w:t>-</w:t>
      </w:r>
      <w:r w:rsidR="00734BB3" w:rsidRPr="003E3613">
        <w:rPr>
          <w:rFonts w:ascii="Book Antiqua" w:hAnsi="Book Antiqua"/>
          <w:sz w:val="23"/>
          <w:szCs w:val="23"/>
          <w:lang w:val="en-GB"/>
        </w:rPr>
        <w:t>ante or ex</w:t>
      </w:r>
      <w:r w:rsidR="00507D16" w:rsidRPr="003E3613">
        <w:rPr>
          <w:rFonts w:ascii="Book Antiqua" w:hAnsi="Book Antiqua"/>
          <w:sz w:val="23"/>
          <w:szCs w:val="23"/>
          <w:lang w:val="en-GB"/>
        </w:rPr>
        <w:t>-</w:t>
      </w:r>
      <w:r w:rsidR="00734BB3" w:rsidRPr="003E3613">
        <w:rPr>
          <w:rFonts w:ascii="Book Antiqua" w:hAnsi="Book Antiqua"/>
          <w:sz w:val="23"/>
          <w:szCs w:val="23"/>
          <w:lang w:val="en-GB"/>
        </w:rPr>
        <w:t>post constitutional review</w:t>
      </w:r>
      <w:r w:rsidR="00734BB3" w:rsidRPr="003E3613">
        <w:rPr>
          <w:rStyle w:val="CommentReference"/>
          <w:rFonts w:ascii="Book Antiqua" w:eastAsiaTheme="minorHAnsi" w:hAnsi="Book Antiqua"/>
          <w:sz w:val="23"/>
          <w:szCs w:val="23"/>
          <w:lang w:val="en-GB" w:eastAsia="en-US"/>
        </w:rPr>
        <w:t xml:space="preserve"> </w:t>
      </w:r>
      <w:r w:rsidR="00734BB3" w:rsidRPr="003E3613">
        <w:rPr>
          <w:rFonts w:ascii="Book Antiqua" w:hAnsi="Book Antiqua"/>
          <w:sz w:val="23"/>
          <w:szCs w:val="23"/>
          <w:lang w:val="en-GB"/>
        </w:rPr>
        <w:t>of any act. The ex</w:t>
      </w:r>
      <w:r w:rsidR="00554D9C" w:rsidRPr="003E3613">
        <w:rPr>
          <w:rFonts w:ascii="Book Antiqua" w:hAnsi="Book Antiqua"/>
          <w:sz w:val="23"/>
          <w:szCs w:val="23"/>
          <w:lang w:val="en-GB"/>
        </w:rPr>
        <w:t>-</w:t>
      </w:r>
      <w:r w:rsidR="00734BB3" w:rsidRPr="003E3613">
        <w:rPr>
          <w:rFonts w:ascii="Book Antiqua" w:hAnsi="Book Antiqua"/>
          <w:sz w:val="23"/>
          <w:szCs w:val="23"/>
          <w:lang w:val="en-GB"/>
        </w:rPr>
        <w:t>ante constitutional review may be initiated by the initiator of the Act, the Government, the Speaker of the National Assembly or the President of the Republic. The ex</w:t>
      </w:r>
      <w:r w:rsidR="00554D9C" w:rsidRPr="003E3613">
        <w:rPr>
          <w:rFonts w:ascii="Book Antiqua" w:hAnsi="Book Antiqua"/>
          <w:sz w:val="23"/>
          <w:szCs w:val="23"/>
          <w:lang w:val="en-GB"/>
        </w:rPr>
        <w:t>-</w:t>
      </w:r>
      <w:r w:rsidR="00734BB3" w:rsidRPr="003E3613">
        <w:rPr>
          <w:rFonts w:ascii="Book Antiqua" w:hAnsi="Book Antiqua"/>
          <w:sz w:val="23"/>
          <w:szCs w:val="23"/>
          <w:lang w:val="en-GB"/>
        </w:rPr>
        <w:t xml:space="preserve">post constitutional review may be based on the initiative of the Government, one quarter of the Members of the National Assembly, the President of the </w:t>
      </w:r>
      <w:r w:rsidR="00052B15" w:rsidRPr="003E3613">
        <w:rPr>
          <w:rFonts w:ascii="Book Antiqua" w:hAnsi="Book Antiqua"/>
          <w:sz w:val="23"/>
          <w:szCs w:val="23"/>
          <w:lang w:val="en-GB"/>
        </w:rPr>
        <w:t xml:space="preserve">Kúria (the Supreme Court of Hungary, hereinafter </w:t>
      </w:r>
      <w:r w:rsidR="00522CE5" w:rsidRPr="003E3613">
        <w:rPr>
          <w:rFonts w:ascii="Book Antiqua" w:hAnsi="Book Antiqua"/>
          <w:sz w:val="23"/>
          <w:szCs w:val="23"/>
          <w:lang w:val="en-GB"/>
        </w:rPr>
        <w:t>referred</w:t>
      </w:r>
      <w:r w:rsidR="00052B15" w:rsidRPr="003E3613">
        <w:rPr>
          <w:rFonts w:ascii="Book Antiqua" w:hAnsi="Book Antiqua"/>
          <w:sz w:val="23"/>
          <w:szCs w:val="23"/>
          <w:lang w:val="en-GB"/>
        </w:rPr>
        <w:t xml:space="preserve"> to as: Kúria)</w:t>
      </w:r>
      <w:r w:rsidR="00734BB3" w:rsidRPr="003E3613">
        <w:rPr>
          <w:rFonts w:ascii="Book Antiqua" w:hAnsi="Book Antiqua"/>
          <w:sz w:val="23"/>
          <w:szCs w:val="23"/>
          <w:lang w:val="en-GB"/>
        </w:rPr>
        <w:t xml:space="preserve">, the Prosecutor General or the Commissioner for Fundamental Rights. </w:t>
      </w:r>
    </w:p>
    <w:p w14:paraId="3ACE6242" w14:textId="77777777" w:rsidR="008C36AC" w:rsidRPr="003E3613" w:rsidRDefault="008C36AC" w:rsidP="00204696">
      <w:pPr>
        <w:spacing w:after="0"/>
        <w:jc w:val="both"/>
        <w:rPr>
          <w:rFonts w:ascii="Book Antiqua" w:hAnsi="Book Antiqua"/>
          <w:sz w:val="23"/>
          <w:szCs w:val="23"/>
          <w:lang w:val="en-GB"/>
        </w:rPr>
      </w:pPr>
    </w:p>
    <w:p w14:paraId="1A9C57F8" w14:textId="77777777" w:rsidR="00734BB3" w:rsidRPr="003E3613" w:rsidRDefault="00734BB3" w:rsidP="00204696">
      <w:pPr>
        <w:spacing w:after="0"/>
        <w:jc w:val="both"/>
        <w:rPr>
          <w:rStyle w:val="CommentReference"/>
          <w:rFonts w:ascii="Book Antiqua" w:eastAsiaTheme="minorHAnsi" w:hAnsi="Book Antiqua"/>
          <w:sz w:val="23"/>
          <w:szCs w:val="23"/>
          <w:lang w:val="en-GB" w:eastAsia="en-US"/>
        </w:rPr>
      </w:pPr>
      <w:r w:rsidRPr="003E3613">
        <w:rPr>
          <w:rFonts w:ascii="Book Antiqua" w:hAnsi="Book Antiqua"/>
          <w:sz w:val="23"/>
          <w:szCs w:val="23"/>
          <w:lang w:val="en-GB"/>
        </w:rPr>
        <w:t>Furthermore, the Constitutional Court has the right to review the conformity with the Fundamental Law of any law applicable in a particular case at the initiative of a judge. On the basis of a constitutional complaint the Constitutional Court may review the conformity with the Fundamental Law of any law applied in a particular case. Even more, the Constitutional Court may exercise ex</w:t>
      </w:r>
      <w:r w:rsidR="00554D9C" w:rsidRPr="003E3613">
        <w:rPr>
          <w:rFonts w:ascii="Book Antiqua" w:hAnsi="Book Antiqua"/>
          <w:sz w:val="23"/>
          <w:szCs w:val="23"/>
          <w:lang w:val="en-GB"/>
        </w:rPr>
        <w:t>-</w:t>
      </w:r>
      <w:r w:rsidRPr="003E3613">
        <w:rPr>
          <w:rFonts w:ascii="Book Antiqua" w:hAnsi="Book Antiqua"/>
          <w:sz w:val="23"/>
          <w:szCs w:val="23"/>
          <w:lang w:val="en-GB"/>
        </w:rPr>
        <w:t>post review of conformity with the constitution of any judicial decisions and also ex</w:t>
      </w:r>
      <w:r w:rsidR="00554D9C" w:rsidRPr="003E3613">
        <w:rPr>
          <w:rFonts w:ascii="Book Antiqua" w:hAnsi="Book Antiqua"/>
          <w:sz w:val="23"/>
          <w:szCs w:val="23"/>
          <w:lang w:val="en-GB"/>
        </w:rPr>
        <w:t>-</w:t>
      </w:r>
      <w:r w:rsidRPr="003E3613">
        <w:rPr>
          <w:rFonts w:ascii="Book Antiqua" w:hAnsi="Book Antiqua"/>
          <w:sz w:val="23"/>
          <w:szCs w:val="23"/>
          <w:lang w:val="en-GB"/>
        </w:rPr>
        <w:t xml:space="preserve">post review of conformity with international law over any approved legislation. The Fundamental Law adds also that besides the powers declared in the Fundamental Law, cardinal acts may confer further functions and powers on the Constitutional Court. </w:t>
      </w:r>
    </w:p>
    <w:p w14:paraId="7AE77E56" w14:textId="77777777" w:rsidR="00734BB3" w:rsidRPr="003E3613" w:rsidRDefault="00D94954"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 </w:t>
      </w:r>
    </w:p>
    <w:p w14:paraId="1DE6A0C1" w14:textId="77777777" w:rsidR="002E0B34" w:rsidRPr="003E3613" w:rsidRDefault="00675168" w:rsidP="00204696">
      <w:pPr>
        <w:spacing w:after="0"/>
        <w:jc w:val="both"/>
        <w:rPr>
          <w:rFonts w:ascii="Book Antiqua" w:hAnsi="Book Antiqua"/>
          <w:sz w:val="23"/>
          <w:szCs w:val="23"/>
          <w:lang w:val="en-GB"/>
        </w:rPr>
      </w:pPr>
      <w:r w:rsidRPr="003E3613">
        <w:rPr>
          <w:rFonts w:ascii="Book Antiqua" w:hAnsi="Book Antiqua"/>
          <w:sz w:val="23"/>
          <w:szCs w:val="23"/>
          <w:lang w:val="en-GB"/>
        </w:rPr>
        <w:t>Altogether the current competences of the Constitutional Court</w:t>
      </w:r>
      <w:r w:rsidR="002E0B34" w:rsidRPr="003E3613">
        <w:rPr>
          <w:rFonts w:ascii="Book Antiqua" w:hAnsi="Book Antiqua"/>
          <w:sz w:val="23"/>
          <w:szCs w:val="23"/>
          <w:lang w:val="en-GB"/>
        </w:rPr>
        <w:t xml:space="preserve"> </w:t>
      </w:r>
      <w:r w:rsidRPr="003E3613">
        <w:rPr>
          <w:rFonts w:ascii="Book Antiqua" w:hAnsi="Book Antiqua"/>
          <w:sz w:val="23"/>
          <w:szCs w:val="23"/>
          <w:lang w:val="en-GB"/>
        </w:rPr>
        <w:t xml:space="preserve">reflect a </w:t>
      </w:r>
      <w:r w:rsidR="003F6C16" w:rsidRPr="003E3613">
        <w:rPr>
          <w:rFonts w:ascii="Book Antiqua" w:hAnsi="Book Antiqua"/>
          <w:sz w:val="23"/>
          <w:szCs w:val="23"/>
          <w:lang w:val="en-GB"/>
        </w:rPr>
        <w:t xml:space="preserve">professional and political </w:t>
      </w:r>
      <w:r w:rsidRPr="003E3613">
        <w:rPr>
          <w:rFonts w:ascii="Book Antiqua" w:hAnsi="Book Antiqua"/>
          <w:sz w:val="23"/>
          <w:szCs w:val="23"/>
          <w:lang w:val="en-GB"/>
        </w:rPr>
        <w:t xml:space="preserve">compromise </w:t>
      </w:r>
      <w:r w:rsidR="002E0484" w:rsidRPr="003E3613">
        <w:rPr>
          <w:rFonts w:ascii="Book Antiqua" w:hAnsi="Book Antiqua"/>
          <w:sz w:val="23"/>
          <w:szCs w:val="23"/>
          <w:lang w:val="en-GB"/>
        </w:rPr>
        <w:t xml:space="preserve">which strengthens the efficiency of </w:t>
      </w:r>
      <w:r w:rsidR="00E33783" w:rsidRPr="003E3613">
        <w:rPr>
          <w:rFonts w:ascii="Book Antiqua" w:hAnsi="Book Antiqua"/>
          <w:sz w:val="23"/>
          <w:szCs w:val="23"/>
          <w:lang w:val="en-GB"/>
        </w:rPr>
        <w:t xml:space="preserve">the </w:t>
      </w:r>
      <w:r w:rsidR="002E0484" w:rsidRPr="003E3613">
        <w:rPr>
          <w:rFonts w:ascii="Book Antiqua" w:hAnsi="Book Antiqua"/>
          <w:sz w:val="23"/>
          <w:szCs w:val="23"/>
          <w:lang w:val="en-GB"/>
        </w:rPr>
        <w:t xml:space="preserve">constitutional </w:t>
      </w:r>
      <w:r w:rsidR="00685304" w:rsidRPr="003E3613">
        <w:rPr>
          <w:rFonts w:ascii="Book Antiqua" w:hAnsi="Book Antiqua"/>
          <w:sz w:val="23"/>
          <w:szCs w:val="23"/>
          <w:lang w:val="en-GB"/>
        </w:rPr>
        <w:t>review</w:t>
      </w:r>
      <w:r w:rsidR="002E0484" w:rsidRPr="003E3613">
        <w:rPr>
          <w:rFonts w:ascii="Book Antiqua" w:hAnsi="Book Antiqua"/>
          <w:sz w:val="23"/>
          <w:szCs w:val="23"/>
          <w:lang w:val="en-GB"/>
        </w:rPr>
        <w:t xml:space="preserve"> by shifting the focus from abstract constitutional review towards </w:t>
      </w:r>
      <w:r w:rsidR="00E33783" w:rsidRPr="003E3613">
        <w:rPr>
          <w:rFonts w:ascii="Book Antiqua" w:hAnsi="Book Antiqua"/>
          <w:sz w:val="23"/>
          <w:szCs w:val="23"/>
          <w:lang w:val="en-GB"/>
        </w:rPr>
        <w:t xml:space="preserve">a concrete </w:t>
      </w:r>
      <w:r w:rsidR="002E0484" w:rsidRPr="003E3613">
        <w:rPr>
          <w:rFonts w:ascii="Book Antiqua" w:hAnsi="Book Antiqua"/>
          <w:sz w:val="23"/>
          <w:szCs w:val="23"/>
          <w:lang w:val="en-GB"/>
        </w:rPr>
        <w:t>constitutional review</w:t>
      </w:r>
      <w:r w:rsidR="00685304" w:rsidRPr="003E3613">
        <w:rPr>
          <w:rFonts w:ascii="Book Antiqua" w:hAnsi="Book Antiqua"/>
          <w:sz w:val="23"/>
          <w:szCs w:val="23"/>
          <w:lang w:val="en-GB"/>
        </w:rPr>
        <w:t xml:space="preserve"> in a particular case</w:t>
      </w:r>
      <w:r w:rsidR="002E0484" w:rsidRPr="003E3613">
        <w:rPr>
          <w:rFonts w:ascii="Book Antiqua" w:hAnsi="Book Antiqua"/>
          <w:sz w:val="23"/>
          <w:szCs w:val="23"/>
          <w:lang w:val="en-GB"/>
        </w:rPr>
        <w:t>. T</w:t>
      </w:r>
      <w:r w:rsidR="003F6C16" w:rsidRPr="003E3613">
        <w:rPr>
          <w:rFonts w:ascii="Book Antiqua" w:hAnsi="Book Antiqua"/>
          <w:sz w:val="23"/>
          <w:szCs w:val="23"/>
          <w:lang w:val="en-GB"/>
        </w:rPr>
        <w:t>he abolition of the actio popularis was explicitly requested by the Constitutional Court itself</w:t>
      </w:r>
      <w:r w:rsidR="000C0D6F" w:rsidRPr="003E3613">
        <w:rPr>
          <w:rFonts w:ascii="Book Antiqua" w:hAnsi="Book Antiqua"/>
          <w:sz w:val="23"/>
          <w:szCs w:val="23"/>
          <w:lang w:val="en-GB"/>
        </w:rPr>
        <w:t xml:space="preserve"> </w:t>
      </w:r>
      <w:r w:rsidR="00E33783" w:rsidRPr="003E3613">
        <w:rPr>
          <w:rFonts w:ascii="Book Antiqua" w:hAnsi="Book Antiqua"/>
          <w:sz w:val="23"/>
          <w:szCs w:val="23"/>
          <w:lang w:val="en-GB"/>
        </w:rPr>
        <w:t xml:space="preserve">due to its </w:t>
      </w:r>
      <w:r w:rsidR="00633696" w:rsidRPr="003E3613">
        <w:rPr>
          <w:rFonts w:ascii="Book Antiqua" w:hAnsi="Book Antiqua"/>
          <w:sz w:val="23"/>
          <w:szCs w:val="23"/>
          <w:lang w:val="en-GB"/>
        </w:rPr>
        <w:t>high</w:t>
      </w:r>
      <w:r w:rsidR="00164405" w:rsidRPr="003E3613">
        <w:rPr>
          <w:rFonts w:ascii="Book Antiqua" w:hAnsi="Book Antiqua"/>
          <w:sz w:val="23"/>
          <w:szCs w:val="23"/>
          <w:lang w:val="en-GB"/>
        </w:rPr>
        <w:t xml:space="preserve"> </w:t>
      </w:r>
      <w:r w:rsidR="00633696" w:rsidRPr="003E3613">
        <w:rPr>
          <w:rFonts w:ascii="Book Antiqua" w:hAnsi="Book Antiqua"/>
          <w:sz w:val="23"/>
          <w:szCs w:val="23"/>
          <w:lang w:val="en-GB"/>
        </w:rPr>
        <w:t>work</w:t>
      </w:r>
      <w:r w:rsidR="00164405" w:rsidRPr="003E3613">
        <w:rPr>
          <w:rFonts w:ascii="Book Antiqua" w:hAnsi="Book Antiqua"/>
          <w:sz w:val="23"/>
          <w:szCs w:val="23"/>
          <w:lang w:val="en-GB"/>
        </w:rPr>
        <w:t>load caused by</w:t>
      </w:r>
      <w:r w:rsidR="00685304" w:rsidRPr="003E3613">
        <w:rPr>
          <w:rFonts w:ascii="Book Antiqua" w:hAnsi="Book Antiqua"/>
          <w:sz w:val="23"/>
          <w:szCs w:val="23"/>
          <w:lang w:val="en-GB"/>
        </w:rPr>
        <w:t xml:space="preserve"> the abuse or misuse of</w:t>
      </w:r>
      <w:r w:rsidR="00164405" w:rsidRPr="003E3613">
        <w:rPr>
          <w:rFonts w:ascii="Book Antiqua" w:hAnsi="Book Antiqua"/>
          <w:sz w:val="23"/>
          <w:szCs w:val="23"/>
          <w:lang w:val="en-GB"/>
        </w:rPr>
        <w:t xml:space="preserve"> this</w:t>
      </w:r>
      <w:r w:rsidR="000C0D6F" w:rsidRPr="003E3613">
        <w:rPr>
          <w:rFonts w:ascii="Book Antiqua" w:hAnsi="Book Antiqua"/>
          <w:sz w:val="23"/>
          <w:szCs w:val="23"/>
          <w:lang w:val="en-GB"/>
        </w:rPr>
        <w:t xml:space="preserve"> type of procedure</w:t>
      </w:r>
      <w:r w:rsidR="002E0484" w:rsidRPr="003E3613">
        <w:rPr>
          <w:rFonts w:ascii="Book Antiqua" w:hAnsi="Book Antiqua"/>
          <w:sz w:val="23"/>
          <w:szCs w:val="23"/>
          <w:lang w:val="en-GB"/>
        </w:rPr>
        <w:t xml:space="preserve">. </w:t>
      </w:r>
      <w:r w:rsidR="000E617E" w:rsidRPr="003E3613">
        <w:rPr>
          <w:rFonts w:ascii="Book Antiqua" w:hAnsi="Book Antiqua"/>
          <w:sz w:val="23"/>
          <w:szCs w:val="23"/>
          <w:lang w:val="en-GB"/>
        </w:rPr>
        <w:t xml:space="preserve">Moreover, </w:t>
      </w:r>
      <w:r w:rsidR="00685304" w:rsidRPr="003E3613">
        <w:rPr>
          <w:rFonts w:ascii="Book Antiqua" w:hAnsi="Book Antiqua"/>
          <w:sz w:val="23"/>
          <w:szCs w:val="23"/>
          <w:lang w:val="en-GB"/>
        </w:rPr>
        <w:t>in its Opinion on act CLI of 2011 on the Constitutional Court of Hungary</w:t>
      </w:r>
      <w:r w:rsidR="00E33783" w:rsidRPr="003E3613">
        <w:rPr>
          <w:rFonts w:ascii="Book Antiqua" w:hAnsi="Book Antiqua"/>
          <w:sz w:val="23"/>
          <w:szCs w:val="23"/>
          <w:lang w:val="en-GB"/>
        </w:rPr>
        <w:t>,</w:t>
      </w:r>
      <w:r w:rsidR="00685304" w:rsidRPr="003E3613">
        <w:rPr>
          <w:rFonts w:ascii="Book Antiqua" w:hAnsi="Book Antiqua"/>
          <w:sz w:val="23"/>
          <w:szCs w:val="23"/>
          <w:lang w:val="en-GB"/>
        </w:rPr>
        <w:t xml:space="preserve"> </w:t>
      </w:r>
      <w:r w:rsidR="000E617E" w:rsidRPr="003E3613">
        <w:rPr>
          <w:rFonts w:ascii="Book Antiqua" w:hAnsi="Book Antiqua"/>
          <w:sz w:val="23"/>
          <w:szCs w:val="23"/>
          <w:lang w:val="en-GB"/>
        </w:rPr>
        <w:t>t</w:t>
      </w:r>
      <w:r w:rsidR="002E0484" w:rsidRPr="003E3613">
        <w:rPr>
          <w:rFonts w:ascii="Book Antiqua" w:hAnsi="Book Antiqua"/>
          <w:sz w:val="23"/>
          <w:szCs w:val="23"/>
          <w:lang w:val="en-GB"/>
        </w:rPr>
        <w:t>he Venice Commission also acknowledged that the actio popularis is not a precondition for the rule of law to prevail in Hungary.</w:t>
      </w:r>
      <w:r w:rsidR="00615656" w:rsidRPr="003E3613">
        <w:rPr>
          <w:rStyle w:val="FootnoteReference"/>
          <w:rFonts w:ascii="Book Antiqua" w:hAnsi="Book Antiqua"/>
          <w:sz w:val="23"/>
          <w:szCs w:val="23"/>
          <w:lang w:val="en-GB"/>
        </w:rPr>
        <w:footnoteReference w:id="2"/>
      </w:r>
      <w:r w:rsidR="001F70E6" w:rsidRPr="003E3613">
        <w:rPr>
          <w:rFonts w:ascii="Book Antiqua" w:hAnsi="Book Antiqua"/>
          <w:sz w:val="23"/>
          <w:szCs w:val="23"/>
          <w:lang w:val="en-GB"/>
        </w:rPr>
        <w:t xml:space="preserve"> </w:t>
      </w:r>
    </w:p>
    <w:p w14:paraId="33B1DB2A" w14:textId="77777777" w:rsidR="0073777A" w:rsidRPr="003E3613" w:rsidRDefault="0073777A" w:rsidP="00204696">
      <w:pPr>
        <w:spacing w:after="0"/>
        <w:jc w:val="both"/>
        <w:rPr>
          <w:rFonts w:ascii="Book Antiqua" w:hAnsi="Book Antiqua"/>
          <w:sz w:val="23"/>
          <w:szCs w:val="23"/>
          <w:lang w:val="en-GB"/>
        </w:rPr>
      </w:pPr>
    </w:p>
    <w:p w14:paraId="579F486E" w14:textId="77777777" w:rsidR="00F400FE" w:rsidRDefault="00F400FE">
      <w:pPr>
        <w:rPr>
          <w:rFonts w:ascii="Book Antiqua" w:hAnsi="Book Antiqua"/>
          <w:sz w:val="23"/>
          <w:szCs w:val="23"/>
          <w:lang w:val="en-GB"/>
        </w:rPr>
      </w:pPr>
      <w:r>
        <w:rPr>
          <w:rFonts w:ascii="Book Antiqua" w:hAnsi="Book Antiqua"/>
          <w:sz w:val="23"/>
          <w:szCs w:val="23"/>
          <w:lang w:val="en-GB"/>
        </w:rPr>
        <w:br w:type="page"/>
      </w:r>
    </w:p>
    <w:p w14:paraId="4931A5EF" w14:textId="5245B78C" w:rsidR="008D642C" w:rsidRPr="003E3613" w:rsidRDefault="008D642C" w:rsidP="00204696">
      <w:pPr>
        <w:spacing w:after="0"/>
        <w:jc w:val="both"/>
        <w:rPr>
          <w:rFonts w:ascii="Book Antiqua" w:hAnsi="Book Antiqua" w:cs="Times New Roman"/>
          <w:sz w:val="23"/>
          <w:szCs w:val="23"/>
          <w:lang w:val="en-GB"/>
        </w:rPr>
      </w:pPr>
      <w:r w:rsidRPr="003E3613">
        <w:rPr>
          <w:rFonts w:ascii="Book Antiqua" w:hAnsi="Book Antiqua"/>
          <w:sz w:val="23"/>
          <w:szCs w:val="23"/>
          <w:lang w:val="en-GB"/>
        </w:rPr>
        <w:lastRenderedPageBreak/>
        <w:t xml:space="preserve">The provision of the Fundamental Law that limits the constitutional control of the state budget aims to assure the balance between the scope of economic stability as a basic objective of the Fundamental Law and the protection of fundamental rights. This measure – along with the establishment of the </w:t>
      </w:r>
      <w:r w:rsidR="00E33783" w:rsidRPr="003E3613">
        <w:rPr>
          <w:rFonts w:ascii="Book Antiqua" w:hAnsi="Book Antiqua"/>
          <w:sz w:val="23"/>
          <w:szCs w:val="23"/>
          <w:lang w:val="en-GB"/>
        </w:rPr>
        <w:t xml:space="preserve">Budget Council (a body </w:t>
      </w:r>
      <w:r w:rsidRPr="003E3613">
        <w:rPr>
          <w:rFonts w:ascii="Book Antiqua" w:hAnsi="Book Antiqua"/>
          <w:sz w:val="23"/>
          <w:szCs w:val="23"/>
          <w:lang w:val="en-GB"/>
        </w:rPr>
        <w:t>in charge of budgetary control on state debts</w:t>
      </w:r>
      <w:r w:rsidR="00E33783" w:rsidRPr="003E3613">
        <w:rPr>
          <w:rFonts w:ascii="Book Antiqua" w:hAnsi="Book Antiqua"/>
          <w:sz w:val="23"/>
          <w:szCs w:val="23"/>
          <w:lang w:val="en-GB"/>
        </w:rPr>
        <w:t>)</w:t>
      </w:r>
      <w:r w:rsidR="00B451A0" w:rsidRPr="003E3613">
        <w:rPr>
          <w:rFonts w:ascii="Book Antiqua" w:hAnsi="Book Antiqua"/>
          <w:sz w:val="23"/>
          <w:szCs w:val="23"/>
          <w:lang w:val="en-GB"/>
        </w:rPr>
        <w:t xml:space="preserve"> </w:t>
      </w:r>
      <w:r w:rsidRPr="003E3613">
        <w:rPr>
          <w:rFonts w:ascii="Book Antiqua" w:hAnsi="Book Antiqua"/>
          <w:sz w:val="23"/>
          <w:szCs w:val="23"/>
          <w:lang w:val="en-GB"/>
        </w:rPr>
        <w:t xml:space="preserve">– may limit the room for action for future governing parties to adopt certain economic policy measures, but it does not put obstacles to </w:t>
      </w:r>
      <w:r w:rsidR="00B451A0" w:rsidRPr="003E3613">
        <w:rPr>
          <w:rFonts w:ascii="Book Antiqua" w:hAnsi="Book Antiqua"/>
          <w:sz w:val="23"/>
          <w:szCs w:val="23"/>
          <w:lang w:val="en-GB"/>
        </w:rPr>
        <w:t xml:space="preserve">the </w:t>
      </w:r>
      <w:r w:rsidRPr="003E3613">
        <w:rPr>
          <w:rFonts w:ascii="Book Antiqua" w:hAnsi="Book Antiqua"/>
          <w:sz w:val="23"/>
          <w:szCs w:val="23"/>
          <w:lang w:val="en-GB"/>
        </w:rPr>
        <w:t xml:space="preserve">effective protection of fundamental rights. </w:t>
      </w:r>
      <w:r w:rsidR="00685304" w:rsidRPr="003E3613">
        <w:rPr>
          <w:rFonts w:ascii="Book Antiqua" w:hAnsi="Book Antiqua"/>
          <w:sz w:val="23"/>
          <w:szCs w:val="23"/>
          <w:lang w:val="en-GB"/>
        </w:rPr>
        <w:t>As Article 37(4) of the Fundamental Law states</w:t>
      </w:r>
      <w:r w:rsidR="00B451A0" w:rsidRPr="003E3613">
        <w:rPr>
          <w:rFonts w:ascii="Book Antiqua" w:hAnsi="Book Antiqua"/>
          <w:sz w:val="23"/>
          <w:szCs w:val="23"/>
          <w:lang w:val="en-GB"/>
        </w:rPr>
        <w:t>,</w:t>
      </w:r>
      <w:r w:rsidR="00685304" w:rsidRPr="003E3613">
        <w:rPr>
          <w:rFonts w:ascii="Book Antiqua" w:hAnsi="Book Antiqua"/>
          <w:sz w:val="23"/>
          <w:szCs w:val="23"/>
          <w:lang w:val="en-GB"/>
        </w:rPr>
        <w:t xml:space="preserve"> the </w:t>
      </w:r>
      <w:r w:rsidR="00522CE5" w:rsidRPr="003E3613">
        <w:rPr>
          <w:rFonts w:ascii="Book Antiqua" w:hAnsi="Book Antiqua"/>
          <w:sz w:val="23"/>
          <w:szCs w:val="23"/>
          <w:lang w:val="en-GB"/>
        </w:rPr>
        <w:t>Constitutional</w:t>
      </w:r>
      <w:r w:rsidR="00685304" w:rsidRPr="003E3613">
        <w:rPr>
          <w:rFonts w:ascii="Book Antiqua" w:hAnsi="Book Antiqua"/>
          <w:sz w:val="23"/>
          <w:szCs w:val="23"/>
          <w:lang w:val="en-GB"/>
        </w:rPr>
        <w:t xml:space="preserve"> Court - </w:t>
      </w:r>
      <w:r w:rsidR="00685304" w:rsidRPr="003E3613">
        <w:rPr>
          <w:rFonts w:ascii="Book Antiqua" w:hAnsi="Book Antiqua" w:cs="Times New Roman"/>
          <w:sz w:val="23"/>
          <w:szCs w:val="23"/>
          <w:lang w:val="en-GB"/>
        </w:rPr>
        <w:t xml:space="preserve">until </w:t>
      </w:r>
      <w:r w:rsidR="00B451A0" w:rsidRPr="003E3613">
        <w:rPr>
          <w:rFonts w:ascii="Book Antiqua" w:hAnsi="Book Antiqua" w:cs="Times New Roman"/>
          <w:sz w:val="23"/>
          <w:szCs w:val="23"/>
          <w:lang w:val="en-GB"/>
        </w:rPr>
        <w:t xml:space="preserve">the </w:t>
      </w:r>
      <w:r w:rsidR="00685304" w:rsidRPr="003E3613">
        <w:rPr>
          <w:rFonts w:ascii="Book Antiqua" w:hAnsi="Book Antiqua" w:cs="Times New Roman"/>
          <w:sz w:val="23"/>
          <w:szCs w:val="23"/>
          <w:lang w:val="en-GB"/>
        </w:rPr>
        <w:t xml:space="preserve">government debt exceeds half of the total gross domestic product - may review the </w:t>
      </w:r>
      <w:r w:rsidR="002E788C" w:rsidRPr="003E3613">
        <w:rPr>
          <w:rFonts w:ascii="Book Antiqua" w:hAnsi="Book Antiqua" w:cs="Times New Roman"/>
          <w:sz w:val="23"/>
          <w:szCs w:val="23"/>
          <w:lang w:val="en-GB"/>
        </w:rPr>
        <w:t>a</w:t>
      </w:r>
      <w:r w:rsidR="00685304" w:rsidRPr="003E3613">
        <w:rPr>
          <w:rFonts w:ascii="Book Antiqua" w:hAnsi="Book Antiqua" w:cs="Times New Roman"/>
          <w:sz w:val="23"/>
          <w:szCs w:val="23"/>
          <w:lang w:val="en-GB"/>
        </w:rPr>
        <w:t xml:space="preserve">cts on the central budget, the implementation of the central budget, central taxes, duties and contributions, customs duties and the central conditions for local taxes for conformity with the Fundamental Law exclusively in connection with the rights to life and human dignity, to the protection of personal data, to freedom of thought, conscience and religion, or the rights related to Hungarian citizenship, and it may annul these </w:t>
      </w:r>
      <w:r w:rsidR="002E788C" w:rsidRPr="003E3613">
        <w:rPr>
          <w:rFonts w:ascii="Book Antiqua" w:hAnsi="Book Antiqua" w:cs="Times New Roman"/>
          <w:sz w:val="23"/>
          <w:szCs w:val="23"/>
          <w:lang w:val="en-GB"/>
        </w:rPr>
        <w:t>a</w:t>
      </w:r>
      <w:r w:rsidR="00685304" w:rsidRPr="003E3613">
        <w:rPr>
          <w:rFonts w:ascii="Book Antiqua" w:hAnsi="Book Antiqua" w:cs="Times New Roman"/>
          <w:sz w:val="23"/>
          <w:szCs w:val="23"/>
          <w:lang w:val="en-GB"/>
        </w:rPr>
        <w:t xml:space="preserve">cts only for the violation of these rights. Furthermore, the Constitutional Court shall have the unrestricted right to annul </w:t>
      </w:r>
      <w:r w:rsidR="002E788C" w:rsidRPr="003E3613">
        <w:rPr>
          <w:rFonts w:ascii="Book Antiqua" w:hAnsi="Book Antiqua" w:cs="Times New Roman"/>
          <w:sz w:val="23"/>
          <w:szCs w:val="23"/>
          <w:lang w:val="en-GB"/>
        </w:rPr>
        <w:t>a</w:t>
      </w:r>
      <w:r w:rsidR="00685304" w:rsidRPr="003E3613">
        <w:rPr>
          <w:rFonts w:ascii="Book Antiqua" w:hAnsi="Book Antiqua" w:cs="Times New Roman"/>
          <w:sz w:val="23"/>
          <w:szCs w:val="23"/>
          <w:lang w:val="en-GB"/>
        </w:rPr>
        <w:t xml:space="preserve">cts having the above subject matters as well, if the procedural requirements laid down in the Fundamental Law for making and promulgating those </w:t>
      </w:r>
      <w:r w:rsidR="002E788C" w:rsidRPr="003E3613">
        <w:rPr>
          <w:rFonts w:ascii="Book Antiqua" w:hAnsi="Book Antiqua" w:cs="Times New Roman"/>
          <w:sz w:val="23"/>
          <w:szCs w:val="23"/>
          <w:lang w:val="en-GB"/>
        </w:rPr>
        <w:t>a</w:t>
      </w:r>
      <w:r w:rsidR="00685304" w:rsidRPr="003E3613">
        <w:rPr>
          <w:rFonts w:ascii="Book Antiqua" w:hAnsi="Book Antiqua" w:cs="Times New Roman"/>
          <w:sz w:val="23"/>
          <w:szCs w:val="23"/>
          <w:lang w:val="en-GB"/>
        </w:rPr>
        <w:t>cts have not been met.</w:t>
      </w:r>
    </w:p>
    <w:p w14:paraId="10B7AD33" w14:textId="77777777" w:rsidR="008D642C" w:rsidRPr="003E3613" w:rsidRDefault="008D642C" w:rsidP="00204696">
      <w:pPr>
        <w:spacing w:after="0"/>
        <w:jc w:val="both"/>
        <w:rPr>
          <w:rFonts w:ascii="Book Antiqua" w:hAnsi="Book Antiqua"/>
          <w:sz w:val="23"/>
          <w:szCs w:val="23"/>
          <w:lang w:val="en-GB"/>
        </w:rPr>
      </w:pPr>
    </w:p>
    <w:p w14:paraId="717C3C2A" w14:textId="55B31E29" w:rsidR="00AB6308" w:rsidRPr="003E3613" w:rsidRDefault="00AB6308" w:rsidP="00204696">
      <w:pPr>
        <w:spacing w:after="0"/>
        <w:jc w:val="both"/>
        <w:rPr>
          <w:rFonts w:ascii="Book Antiqua" w:hAnsi="Book Antiqua"/>
          <w:sz w:val="23"/>
          <w:szCs w:val="23"/>
          <w:lang w:val="en-GB"/>
        </w:rPr>
      </w:pPr>
      <w:r w:rsidRPr="003E3613">
        <w:rPr>
          <w:rFonts w:ascii="Book Antiqua" w:hAnsi="Book Antiqua"/>
          <w:sz w:val="23"/>
          <w:szCs w:val="23"/>
          <w:lang w:val="en-GB"/>
        </w:rPr>
        <w:t>As it is</w:t>
      </w:r>
      <w:r w:rsidR="001F6F2B" w:rsidRPr="003E3613">
        <w:rPr>
          <w:rFonts w:ascii="Book Antiqua" w:hAnsi="Book Antiqua"/>
          <w:sz w:val="23"/>
          <w:szCs w:val="23"/>
          <w:lang w:val="en-GB"/>
        </w:rPr>
        <w:t xml:space="preserve"> </w:t>
      </w:r>
      <w:r w:rsidRPr="003E3613">
        <w:rPr>
          <w:rFonts w:ascii="Book Antiqua" w:hAnsi="Book Antiqua"/>
          <w:sz w:val="23"/>
          <w:szCs w:val="23"/>
          <w:lang w:val="en-GB"/>
        </w:rPr>
        <w:t>apparent</w:t>
      </w:r>
      <w:r w:rsidR="001F6F2B" w:rsidRPr="003E3613">
        <w:rPr>
          <w:rFonts w:ascii="Book Antiqua" w:hAnsi="Book Antiqua"/>
          <w:sz w:val="23"/>
          <w:szCs w:val="23"/>
          <w:lang w:val="en-GB"/>
        </w:rPr>
        <w:t xml:space="preserve"> </w:t>
      </w:r>
      <w:r w:rsidRPr="003E3613">
        <w:rPr>
          <w:rFonts w:ascii="Book Antiqua" w:hAnsi="Book Antiqua"/>
          <w:sz w:val="23"/>
          <w:szCs w:val="23"/>
          <w:lang w:val="en-GB"/>
        </w:rPr>
        <w:t>from the</w:t>
      </w:r>
      <w:r w:rsidR="001F6F2B" w:rsidRPr="003E3613">
        <w:rPr>
          <w:rFonts w:ascii="Book Antiqua" w:hAnsi="Book Antiqua"/>
          <w:sz w:val="23"/>
          <w:szCs w:val="23"/>
          <w:lang w:val="en-GB"/>
        </w:rPr>
        <w:t xml:space="preserve"> </w:t>
      </w:r>
      <w:r w:rsidRPr="003E3613">
        <w:rPr>
          <w:rFonts w:ascii="Book Antiqua" w:hAnsi="Book Antiqua"/>
          <w:sz w:val="23"/>
          <w:szCs w:val="23"/>
          <w:lang w:val="en-GB"/>
        </w:rPr>
        <w:t>wording</w:t>
      </w:r>
      <w:r w:rsidR="001F6F2B" w:rsidRPr="003E3613">
        <w:rPr>
          <w:rFonts w:ascii="Book Antiqua" w:hAnsi="Book Antiqua"/>
          <w:sz w:val="23"/>
          <w:szCs w:val="23"/>
          <w:lang w:val="en-GB"/>
        </w:rPr>
        <w:t xml:space="preserve"> </w:t>
      </w:r>
      <w:r w:rsidRPr="003E3613">
        <w:rPr>
          <w:rFonts w:ascii="Book Antiqua" w:hAnsi="Book Antiqua"/>
          <w:sz w:val="23"/>
          <w:szCs w:val="23"/>
          <w:lang w:val="en-GB"/>
        </w:rPr>
        <w:t>of</w:t>
      </w:r>
      <w:r w:rsidR="001F6F2B" w:rsidRPr="003E3613">
        <w:rPr>
          <w:rFonts w:ascii="Book Antiqua" w:hAnsi="Book Antiqua"/>
          <w:sz w:val="23"/>
          <w:szCs w:val="23"/>
          <w:lang w:val="en-GB"/>
        </w:rPr>
        <w:t xml:space="preserve"> </w:t>
      </w:r>
      <w:r w:rsidRPr="003E3613">
        <w:rPr>
          <w:rFonts w:ascii="Book Antiqua" w:hAnsi="Book Antiqua"/>
          <w:sz w:val="23"/>
          <w:szCs w:val="23"/>
          <w:lang w:val="en-GB"/>
        </w:rPr>
        <w:t>the Fundamental Law, the provision</w:t>
      </w:r>
      <w:r w:rsidR="00026012" w:rsidRPr="003E3613">
        <w:rPr>
          <w:rFonts w:ascii="Book Antiqua" w:hAnsi="Book Antiqua"/>
          <w:sz w:val="23"/>
          <w:szCs w:val="23"/>
          <w:lang w:val="en-GB"/>
        </w:rPr>
        <w:t xml:space="preserve"> </w:t>
      </w:r>
      <w:r w:rsidR="007B73EE" w:rsidRPr="003E3613">
        <w:rPr>
          <w:rFonts w:ascii="Book Antiqua" w:hAnsi="Book Antiqua"/>
          <w:sz w:val="23"/>
          <w:szCs w:val="23"/>
          <w:lang w:val="en-GB"/>
        </w:rPr>
        <w:t xml:space="preserve">in question </w:t>
      </w:r>
      <w:r w:rsidRPr="003E3613">
        <w:rPr>
          <w:rFonts w:ascii="Book Antiqua" w:hAnsi="Book Antiqua"/>
          <w:sz w:val="23"/>
          <w:szCs w:val="23"/>
          <w:lang w:val="en-GB"/>
        </w:rPr>
        <w:t>is limited both as regards its temporal scope (it applies only as long</w:t>
      </w:r>
      <w:r w:rsidR="001F6F2B" w:rsidRPr="003E3613">
        <w:rPr>
          <w:rFonts w:ascii="Book Antiqua" w:hAnsi="Book Antiqua"/>
          <w:sz w:val="23"/>
          <w:szCs w:val="23"/>
          <w:lang w:val="en-GB"/>
        </w:rPr>
        <w:t xml:space="preserve"> </w:t>
      </w:r>
      <w:r w:rsidRPr="003E3613">
        <w:rPr>
          <w:rFonts w:ascii="Book Antiqua" w:hAnsi="Book Antiqua"/>
          <w:sz w:val="23"/>
          <w:szCs w:val="23"/>
          <w:lang w:val="en-GB"/>
        </w:rPr>
        <w:t>as</w:t>
      </w:r>
      <w:r w:rsidR="001F6F2B" w:rsidRPr="003E3613">
        <w:rPr>
          <w:rFonts w:ascii="Book Antiqua" w:hAnsi="Book Antiqua"/>
          <w:sz w:val="23"/>
          <w:szCs w:val="23"/>
          <w:lang w:val="en-GB"/>
        </w:rPr>
        <w:t xml:space="preserve"> </w:t>
      </w:r>
      <w:r w:rsidRPr="003E3613">
        <w:rPr>
          <w:rFonts w:ascii="Book Antiqua" w:hAnsi="Book Antiqua"/>
          <w:sz w:val="23"/>
          <w:szCs w:val="23"/>
          <w:lang w:val="en-GB"/>
        </w:rPr>
        <w:t>the</w:t>
      </w:r>
      <w:r w:rsidR="001F6F2B" w:rsidRPr="003E3613">
        <w:rPr>
          <w:rFonts w:ascii="Book Antiqua" w:hAnsi="Book Antiqua"/>
          <w:sz w:val="23"/>
          <w:szCs w:val="23"/>
          <w:lang w:val="en-GB"/>
        </w:rPr>
        <w:t xml:space="preserve"> </w:t>
      </w:r>
      <w:r w:rsidRPr="003E3613">
        <w:rPr>
          <w:rFonts w:ascii="Book Antiqua" w:hAnsi="Book Antiqua"/>
          <w:sz w:val="23"/>
          <w:szCs w:val="23"/>
          <w:lang w:val="en-GB"/>
        </w:rPr>
        <w:t>state</w:t>
      </w:r>
      <w:r w:rsidR="001F6F2B" w:rsidRPr="003E3613">
        <w:rPr>
          <w:rFonts w:ascii="Book Antiqua" w:hAnsi="Book Antiqua"/>
          <w:sz w:val="23"/>
          <w:szCs w:val="23"/>
          <w:lang w:val="en-GB"/>
        </w:rPr>
        <w:t xml:space="preserve"> </w:t>
      </w:r>
      <w:r w:rsidRPr="003E3613">
        <w:rPr>
          <w:rFonts w:ascii="Book Antiqua" w:hAnsi="Book Antiqua"/>
          <w:sz w:val="23"/>
          <w:szCs w:val="23"/>
          <w:lang w:val="en-GB"/>
        </w:rPr>
        <w:t>debt</w:t>
      </w:r>
      <w:r w:rsidR="001F6F2B" w:rsidRPr="003E3613">
        <w:rPr>
          <w:rFonts w:ascii="Book Antiqua" w:hAnsi="Book Antiqua"/>
          <w:sz w:val="23"/>
          <w:szCs w:val="23"/>
          <w:lang w:val="en-GB"/>
        </w:rPr>
        <w:t xml:space="preserve"> </w:t>
      </w:r>
      <w:r w:rsidRPr="003E3613">
        <w:rPr>
          <w:rFonts w:ascii="Book Antiqua" w:hAnsi="Book Antiqua"/>
          <w:sz w:val="23"/>
          <w:szCs w:val="23"/>
          <w:lang w:val="en-GB"/>
        </w:rPr>
        <w:t>is</w:t>
      </w:r>
      <w:r w:rsidR="001F6F2B" w:rsidRPr="003E3613">
        <w:rPr>
          <w:rFonts w:ascii="Book Antiqua" w:hAnsi="Book Antiqua"/>
          <w:sz w:val="23"/>
          <w:szCs w:val="23"/>
          <w:lang w:val="en-GB"/>
        </w:rPr>
        <w:t xml:space="preserve"> </w:t>
      </w:r>
      <w:r w:rsidRPr="003E3613">
        <w:rPr>
          <w:rFonts w:ascii="Book Antiqua" w:hAnsi="Book Antiqua"/>
          <w:sz w:val="23"/>
          <w:szCs w:val="23"/>
          <w:lang w:val="en-GB"/>
        </w:rPr>
        <w:t>over</w:t>
      </w:r>
      <w:r w:rsidR="001F6F2B" w:rsidRPr="003E3613">
        <w:rPr>
          <w:rFonts w:ascii="Book Antiqua" w:hAnsi="Book Antiqua"/>
          <w:sz w:val="23"/>
          <w:szCs w:val="23"/>
          <w:lang w:val="en-GB"/>
        </w:rPr>
        <w:t xml:space="preserve"> </w:t>
      </w:r>
      <w:r w:rsidRPr="003E3613">
        <w:rPr>
          <w:rFonts w:ascii="Book Antiqua" w:hAnsi="Book Antiqua"/>
          <w:sz w:val="23"/>
          <w:szCs w:val="23"/>
          <w:lang w:val="en-GB"/>
        </w:rPr>
        <w:t>the</w:t>
      </w:r>
      <w:r w:rsidR="001F6F2B" w:rsidRPr="003E3613">
        <w:rPr>
          <w:rFonts w:ascii="Book Antiqua" w:hAnsi="Book Antiqua"/>
          <w:sz w:val="23"/>
          <w:szCs w:val="23"/>
          <w:lang w:val="en-GB"/>
        </w:rPr>
        <w:t xml:space="preserve"> </w:t>
      </w:r>
      <w:r w:rsidRPr="003E3613">
        <w:rPr>
          <w:rFonts w:ascii="Book Antiqua" w:hAnsi="Book Antiqua"/>
          <w:sz w:val="23"/>
          <w:szCs w:val="23"/>
          <w:lang w:val="en-GB"/>
        </w:rPr>
        <w:t>limit)</w:t>
      </w:r>
      <w:r w:rsidR="001F6F2B" w:rsidRPr="003E3613">
        <w:rPr>
          <w:rFonts w:ascii="Book Antiqua" w:hAnsi="Book Antiqua"/>
          <w:sz w:val="23"/>
          <w:szCs w:val="23"/>
          <w:lang w:val="en-GB"/>
        </w:rPr>
        <w:t xml:space="preserve"> </w:t>
      </w:r>
      <w:r w:rsidRPr="003E3613">
        <w:rPr>
          <w:rFonts w:ascii="Book Antiqua" w:hAnsi="Book Antiqua"/>
          <w:sz w:val="23"/>
          <w:szCs w:val="23"/>
          <w:lang w:val="en-GB"/>
        </w:rPr>
        <w:t>and</w:t>
      </w:r>
      <w:r w:rsidR="001F6F2B" w:rsidRPr="003E3613">
        <w:rPr>
          <w:rFonts w:ascii="Book Antiqua" w:hAnsi="Book Antiqua"/>
          <w:sz w:val="23"/>
          <w:szCs w:val="23"/>
          <w:lang w:val="en-GB"/>
        </w:rPr>
        <w:t xml:space="preserve"> </w:t>
      </w:r>
      <w:r w:rsidRPr="003E3613">
        <w:rPr>
          <w:rFonts w:ascii="Book Antiqua" w:hAnsi="Book Antiqua"/>
          <w:sz w:val="23"/>
          <w:szCs w:val="23"/>
          <w:lang w:val="en-GB"/>
        </w:rPr>
        <w:t>the</w:t>
      </w:r>
      <w:r w:rsidR="001F6F2B" w:rsidRPr="003E3613">
        <w:rPr>
          <w:rFonts w:ascii="Book Antiqua" w:hAnsi="Book Antiqua"/>
          <w:sz w:val="23"/>
          <w:szCs w:val="23"/>
          <w:lang w:val="en-GB"/>
        </w:rPr>
        <w:t xml:space="preserve"> </w:t>
      </w:r>
      <w:r w:rsidRPr="003E3613">
        <w:rPr>
          <w:rFonts w:ascii="Book Antiqua" w:hAnsi="Book Antiqua"/>
          <w:sz w:val="23"/>
          <w:szCs w:val="23"/>
          <w:lang w:val="en-GB"/>
        </w:rPr>
        <w:t>aspects</w:t>
      </w:r>
      <w:r w:rsidR="001F6F2B" w:rsidRPr="003E3613">
        <w:rPr>
          <w:rFonts w:ascii="Book Antiqua" w:hAnsi="Book Antiqua"/>
          <w:sz w:val="23"/>
          <w:szCs w:val="23"/>
          <w:lang w:val="en-GB"/>
        </w:rPr>
        <w:t xml:space="preserve"> </w:t>
      </w:r>
      <w:r w:rsidRPr="003E3613">
        <w:rPr>
          <w:rFonts w:ascii="Book Antiqua" w:hAnsi="Book Antiqua"/>
          <w:sz w:val="23"/>
          <w:szCs w:val="23"/>
          <w:lang w:val="en-GB"/>
        </w:rPr>
        <w:t>of</w:t>
      </w:r>
      <w:r w:rsidR="001F6F2B" w:rsidRPr="003E3613">
        <w:rPr>
          <w:rFonts w:ascii="Book Antiqua" w:hAnsi="Book Antiqua"/>
          <w:sz w:val="23"/>
          <w:szCs w:val="23"/>
          <w:lang w:val="en-GB"/>
        </w:rPr>
        <w:t xml:space="preserve"> </w:t>
      </w:r>
      <w:r w:rsidRPr="003E3613">
        <w:rPr>
          <w:rFonts w:ascii="Book Antiqua" w:hAnsi="Book Antiqua"/>
          <w:sz w:val="23"/>
          <w:szCs w:val="23"/>
          <w:lang w:val="en-GB"/>
        </w:rPr>
        <w:t>constitutional</w:t>
      </w:r>
      <w:r w:rsidR="001F6F2B" w:rsidRPr="003E3613">
        <w:rPr>
          <w:rFonts w:ascii="Book Antiqua" w:hAnsi="Book Antiqua"/>
          <w:sz w:val="23"/>
          <w:szCs w:val="23"/>
          <w:lang w:val="en-GB"/>
        </w:rPr>
        <w:t xml:space="preserve"> </w:t>
      </w:r>
      <w:r w:rsidRPr="003E3613">
        <w:rPr>
          <w:rFonts w:ascii="Book Antiqua" w:hAnsi="Book Antiqua"/>
          <w:sz w:val="23"/>
          <w:szCs w:val="23"/>
          <w:lang w:val="en-GB"/>
        </w:rPr>
        <w:t>review</w:t>
      </w:r>
      <w:r w:rsidR="001F6F2B" w:rsidRPr="003E3613">
        <w:rPr>
          <w:rFonts w:ascii="Book Antiqua" w:hAnsi="Book Antiqua"/>
          <w:sz w:val="23"/>
          <w:szCs w:val="23"/>
          <w:lang w:val="en-GB"/>
        </w:rPr>
        <w:t xml:space="preserve"> </w:t>
      </w:r>
      <w:r w:rsidRPr="003E3613">
        <w:rPr>
          <w:rFonts w:ascii="Book Antiqua" w:hAnsi="Book Antiqua"/>
          <w:sz w:val="23"/>
          <w:szCs w:val="23"/>
          <w:lang w:val="en-GB"/>
        </w:rPr>
        <w:t>(the</w:t>
      </w:r>
      <w:r w:rsidR="001F6F2B" w:rsidRPr="003E3613">
        <w:rPr>
          <w:rFonts w:ascii="Book Antiqua" w:hAnsi="Book Antiqua"/>
          <w:sz w:val="23"/>
          <w:szCs w:val="23"/>
          <w:lang w:val="en-GB"/>
        </w:rPr>
        <w:t xml:space="preserve"> </w:t>
      </w:r>
      <w:r w:rsidRPr="003E3613">
        <w:rPr>
          <w:rFonts w:ascii="Book Antiqua" w:hAnsi="Book Antiqua"/>
          <w:sz w:val="23"/>
          <w:szCs w:val="23"/>
          <w:lang w:val="en-GB"/>
        </w:rPr>
        <w:t>most essential human rights aspects can still be challenged at the Constitutional Court, and there have been cases, where a revision has been initiated on the basis of these rights). Furthermore, it only applies to the procedures of the Constitutional Court set out in Article 24 Paragraph (2) points b)-e): there</w:t>
      </w:r>
      <w:r w:rsidR="001F6F2B" w:rsidRPr="003E3613">
        <w:rPr>
          <w:rFonts w:ascii="Book Antiqua" w:hAnsi="Book Antiqua"/>
          <w:sz w:val="23"/>
          <w:szCs w:val="23"/>
          <w:lang w:val="en-GB"/>
        </w:rPr>
        <w:t xml:space="preserve"> </w:t>
      </w:r>
      <w:r w:rsidRPr="003E3613">
        <w:rPr>
          <w:rFonts w:ascii="Book Antiqua" w:hAnsi="Book Antiqua"/>
          <w:sz w:val="23"/>
          <w:szCs w:val="23"/>
          <w:lang w:val="en-GB"/>
        </w:rPr>
        <w:t>is</w:t>
      </w:r>
      <w:r w:rsidR="001F6F2B" w:rsidRPr="003E3613">
        <w:rPr>
          <w:rFonts w:ascii="Book Antiqua" w:hAnsi="Book Antiqua"/>
          <w:sz w:val="23"/>
          <w:szCs w:val="23"/>
          <w:lang w:val="en-GB"/>
        </w:rPr>
        <w:t xml:space="preserve"> </w:t>
      </w:r>
      <w:r w:rsidRPr="003E3613">
        <w:rPr>
          <w:rFonts w:ascii="Book Antiqua" w:hAnsi="Book Antiqua"/>
          <w:sz w:val="23"/>
          <w:szCs w:val="23"/>
          <w:lang w:val="en-GB"/>
        </w:rPr>
        <w:t>no</w:t>
      </w:r>
      <w:r w:rsidR="001F6F2B" w:rsidRPr="003E3613">
        <w:rPr>
          <w:rFonts w:ascii="Book Antiqua" w:hAnsi="Book Antiqua"/>
          <w:sz w:val="23"/>
          <w:szCs w:val="23"/>
          <w:lang w:val="en-GB"/>
        </w:rPr>
        <w:t xml:space="preserve"> </w:t>
      </w:r>
      <w:r w:rsidRPr="003E3613">
        <w:rPr>
          <w:rFonts w:ascii="Book Antiqua" w:hAnsi="Book Antiqua"/>
          <w:sz w:val="23"/>
          <w:szCs w:val="23"/>
          <w:lang w:val="en-GB"/>
        </w:rPr>
        <w:t>restriction</w:t>
      </w:r>
      <w:r w:rsidR="001F6F2B" w:rsidRPr="003E3613">
        <w:rPr>
          <w:rFonts w:ascii="Book Antiqua" w:hAnsi="Book Antiqua"/>
          <w:sz w:val="23"/>
          <w:szCs w:val="23"/>
          <w:lang w:val="en-GB"/>
        </w:rPr>
        <w:t xml:space="preserve"> </w:t>
      </w:r>
      <w:r w:rsidRPr="003E3613">
        <w:rPr>
          <w:rFonts w:ascii="Book Antiqua" w:hAnsi="Book Antiqua"/>
          <w:sz w:val="23"/>
          <w:szCs w:val="23"/>
          <w:lang w:val="en-GB"/>
        </w:rPr>
        <w:t>at</w:t>
      </w:r>
      <w:r w:rsidR="001F6F2B" w:rsidRPr="003E3613">
        <w:rPr>
          <w:rFonts w:ascii="Book Antiqua" w:hAnsi="Book Antiqua"/>
          <w:sz w:val="23"/>
          <w:szCs w:val="23"/>
          <w:lang w:val="en-GB"/>
        </w:rPr>
        <w:t xml:space="preserve"> </w:t>
      </w:r>
      <w:r w:rsidRPr="003E3613">
        <w:rPr>
          <w:rFonts w:ascii="Book Antiqua" w:hAnsi="Book Antiqua"/>
          <w:sz w:val="23"/>
          <w:szCs w:val="23"/>
          <w:lang w:val="en-GB"/>
        </w:rPr>
        <w:t>all</w:t>
      </w:r>
      <w:r w:rsidR="001F6F2B" w:rsidRPr="003E3613">
        <w:rPr>
          <w:rFonts w:ascii="Book Antiqua" w:hAnsi="Book Antiqua"/>
          <w:sz w:val="23"/>
          <w:szCs w:val="23"/>
          <w:lang w:val="en-GB"/>
        </w:rPr>
        <w:t xml:space="preserve"> </w:t>
      </w:r>
      <w:r w:rsidRPr="003E3613">
        <w:rPr>
          <w:rFonts w:ascii="Book Antiqua" w:hAnsi="Book Antiqua"/>
          <w:sz w:val="23"/>
          <w:szCs w:val="23"/>
          <w:lang w:val="en-GB"/>
        </w:rPr>
        <w:t>on</w:t>
      </w:r>
      <w:r w:rsidR="001F6F2B" w:rsidRPr="003E3613">
        <w:rPr>
          <w:rFonts w:ascii="Book Antiqua" w:hAnsi="Book Antiqua"/>
          <w:sz w:val="23"/>
          <w:szCs w:val="23"/>
          <w:lang w:val="en-GB"/>
        </w:rPr>
        <w:t xml:space="preserve"> </w:t>
      </w:r>
      <w:r w:rsidRPr="003E3613">
        <w:rPr>
          <w:rFonts w:ascii="Book Antiqua" w:hAnsi="Book Antiqua"/>
          <w:sz w:val="23"/>
          <w:szCs w:val="23"/>
          <w:lang w:val="en-GB"/>
        </w:rPr>
        <w:t>the</w:t>
      </w:r>
      <w:r w:rsidR="001F6F2B" w:rsidRPr="003E3613">
        <w:rPr>
          <w:rFonts w:ascii="Book Antiqua" w:hAnsi="Book Antiqua"/>
          <w:sz w:val="23"/>
          <w:szCs w:val="23"/>
          <w:lang w:val="en-GB"/>
        </w:rPr>
        <w:t xml:space="preserve"> </w:t>
      </w:r>
      <w:r w:rsidRPr="003E3613">
        <w:rPr>
          <w:rFonts w:ascii="Book Antiqua" w:hAnsi="Book Antiqua"/>
          <w:sz w:val="23"/>
          <w:szCs w:val="23"/>
          <w:lang w:val="en-GB"/>
        </w:rPr>
        <w:t>powers</w:t>
      </w:r>
      <w:r w:rsidR="001F6F2B" w:rsidRPr="003E3613">
        <w:rPr>
          <w:rFonts w:ascii="Book Antiqua" w:hAnsi="Book Antiqua"/>
          <w:sz w:val="23"/>
          <w:szCs w:val="23"/>
          <w:lang w:val="en-GB"/>
        </w:rPr>
        <w:t xml:space="preserve"> </w:t>
      </w:r>
      <w:r w:rsidRPr="003E3613">
        <w:rPr>
          <w:rFonts w:ascii="Book Antiqua" w:hAnsi="Book Antiqua"/>
          <w:sz w:val="23"/>
          <w:szCs w:val="23"/>
          <w:lang w:val="en-GB"/>
        </w:rPr>
        <w:t>of</w:t>
      </w:r>
      <w:r w:rsidR="001F6F2B" w:rsidRPr="003E3613">
        <w:rPr>
          <w:rFonts w:ascii="Book Antiqua" w:hAnsi="Book Antiqua"/>
          <w:sz w:val="23"/>
          <w:szCs w:val="23"/>
          <w:lang w:val="en-GB"/>
        </w:rPr>
        <w:t xml:space="preserve"> </w:t>
      </w:r>
      <w:r w:rsidRPr="003E3613">
        <w:rPr>
          <w:rFonts w:ascii="Book Antiqua" w:hAnsi="Book Antiqua"/>
          <w:sz w:val="23"/>
          <w:szCs w:val="23"/>
          <w:lang w:val="en-GB"/>
        </w:rPr>
        <w:t>the</w:t>
      </w:r>
      <w:r w:rsidR="001F6F2B" w:rsidRPr="003E3613">
        <w:rPr>
          <w:rFonts w:ascii="Book Antiqua" w:hAnsi="Book Antiqua"/>
          <w:sz w:val="23"/>
          <w:szCs w:val="23"/>
          <w:lang w:val="en-GB"/>
        </w:rPr>
        <w:t xml:space="preserve"> </w:t>
      </w:r>
      <w:r w:rsidRPr="003E3613">
        <w:rPr>
          <w:rFonts w:ascii="Book Antiqua" w:hAnsi="Book Antiqua"/>
          <w:sz w:val="23"/>
          <w:szCs w:val="23"/>
          <w:lang w:val="en-GB"/>
        </w:rPr>
        <w:t>Constitutional</w:t>
      </w:r>
      <w:r w:rsidR="001F6F2B" w:rsidRPr="003E3613">
        <w:rPr>
          <w:rFonts w:ascii="Book Antiqua" w:hAnsi="Book Antiqua"/>
          <w:sz w:val="23"/>
          <w:szCs w:val="23"/>
          <w:lang w:val="en-GB"/>
        </w:rPr>
        <w:t xml:space="preserve"> </w:t>
      </w:r>
      <w:r w:rsidRPr="003E3613">
        <w:rPr>
          <w:rFonts w:ascii="Book Antiqua" w:hAnsi="Book Antiqua"/>
          <w:sz w:val="23"/>
          <w:szCs w:val="23"/>
          <w:lang w:val="en-GB"/>
        </w:rPr>
        <w:t>Court</w:t>
      </w:r>
      <w:r w:rsidR="001F6F2B" w:rsidRPr="003E3613">
        <w:rPr>
          <w:rFonts w:ascii="Book Antiqua" w:hAnsi="Book Antiqua"/>
          <w:sz w:val="23"/>
          <w:szCs w:val="23"/>
          <w:lang w:val="en-GB"/>
        </w:rPr>
        <w:t xml:space="preserve"> </w:t>
      </w:r>
      <w:r w:rsidRPr="003E3613">
        <w:rPr>
          <w:rFonts w:ascii="Book Antiqua" w:hAnsi="Book Antiqua"/>
          <w:sz w:val="23"/>
          <w:szCs w:val="23"/>
          <w:lang w:val="en-GB"/>
        </w:rPr>
        <w:t>under</w:t>
      </w:r>
      <w:r w:rsidR="001F6F2B" w:rsidRPr="003E3613">
        <w:rPr>
          <w:rFonts w:ascii="Book Antiqua" w:hAnsi="Book Antiqua"/>
          <w:sz w:val="23"/>
          <w:szCs w:val="23"/>
          <w:lang w:val="en-GB"/>
        </w:rPr>
        <w:t xml:space="preserve"> </w:t>
      </w:r>
      <w:r w:rsidRPr="003E3613">
        <w:rPr>
          <w:rFonts w:ascii="Book Antiqua" w:hAnsi="Book Antiqua"/>
          <w:sz w:val="23"/>
          <w:szCs w:val="23"/>
          <w:lang w:val="en-GB"/>
        </w:rPr>
        <w:t>the Fundamental</w:t>
      </w:r>
      <w:r w:rsidR="001F6F2B" w:rsidRPr="003E3613">
        <w:rPr>
          <w:rFonts w:ascii="Book Antiqua" w:hAnsi="Book Antiqua"/>
          <w:sz w:val="23"/>
          <w:szCs w:val="23"/>
          <w:lang w:val="en-GB"/>
        </w:rPr>
        <w:t xml:space="preserve"> </w:t>
      </w:r>
      <w:r w:rsidRPr="003E3613">
        <w:rPr>
          <w:rFonts w:ascii="Book Antiqua" w:hAnsi="Book Antiqua"/>
          <w:sz w:val="23"/>
          <w:szCs w:val="23"/>
          <w:lang w:val="en-GB"/>
        </w:rPr>
        <w:t>Law</w:t>
      </w:r>
      <w:r w:rsidR="001F6F2B" w:rsidRPr="003E3613">
        <w:rPr>
          <w:rFonts w:ascii="Book Antiqua" w:hAnsi="Book Antiqua"/>
          <w:sz w:val="23"/>
          <w:szCs w:val="23"/>
          <w:lang w:val="en-GB"/>
        </w:rPr>
        <w:t xml:space="preserve"> </w:t>
      </w:r>
      <w:r w:rsidRPr="003E3613">
        <w:rPr>
          <w:rFonts w:ascii="Book Antiqua" w:hAnsi="Book Antiqua"/>
          <w:sz w:val="23"/>
          <w:szCs w:val="23"/>
          <w:lang w:val="en-GB"/>
        </w:rPr>
        <w:t>in</w:t>
      </w:r>
      <w:r w:rsidR="001F6F2B" w:rsidRPr="003E3613">
        <w:rPr>
          <w:rFonts w:ascii="Book Antiqua" w:hAnsi="Book Antiqua"/>
          <w:sz w:val="23"/>
          <w:szCs w:val="23"/>
          <w:lang w:val="en-GB"/>
        </w:rPr>
        <w:t xml:space="preserve"> </w:t>
      </w:r>
      <w:r w:rsidRPr="003E3613">
        <w:rPr>
          <w:rFonts w:ascii="Book Antiqua" w:hAnsi="Book Antiqua"/>
          <w:sz w:val="23"/>
          <w:szCs w:val="23"/>
          <w:lang w:val="en-GB"/>
        </w:rPr>
        <w:t>respect</w:t>
      </w:r>
      <w:r w:rsidR="001F6F2B" w:rsidRPr="003E3613">
        <w:rPr>
          <w:rFonts w:ascii="Book Antiqua" w:hAnsi="Book Antiqua"/>
          <w:sz w:val="23"/>
          <w:szCs w:val="23"/>
          <w:lang w:val="en-GB"/>
        </w:rPr>
        <w:t xml:space="preserve"> </w:t>
      </w:r>
      <w:r w:rsidRPr="003E3613">
        <w:rPr>
          <w:rFonts w:ascii="Book Antiqua" w:hAnsi="Book Antiqua"/>
          <w:sz w:val="23"/>
          <w:szCs w:val="23"/>
          <w:lang w:val="en-GB"/>
        </w:rPr>
        <w:t xml:space="preserve">of </w:t>
      </w:r>
      <w:r w:rsidR="00AD64D1" w:rsidRPr="003E3613">
        <w:rPr>
          <w:rFonts w:ascii="Book Antiqua" w:hAnsi="Book Antiqua"/>
          <w:i/>
          <w:sz w:val="23"/>
          <w:szCs w:val="23"/>
          <w:lang w:val="en-GB"/>
        </w:rPr>
        <w:t xml:space="preserve">ex ante </w:t>
      </w:r>
      <w:r w:rsidRPr="003E3613">
        <w:rPr>
          <w:rFonts w:ascii="Book Antiqua" w:hAnsi="Book Antiqua"/>
          <w:sz w:val="23"/>
          <w:szCs w:val="23"/>
          <w:lang w:val="en-GB"/>
        </w:rPr>
        <w:t>norm</w:t>
      </w:r>
      <w:r w:rsidR="001F6F2B" w:rsidRPr="003E3613">
        <w:rPr>
          <w:rFonts w:ascii="Book Antiqua" w:hAnsi="Book Antiqua"/>
          <w:sz w:val="23"/>
          <w:szCs w:val="23"/>
          <w:lang w:val="en-GB"/>
        </w:rPr>
        <w:t xml:space="preserve"> </w:t>
      </w:r>
      <w:r w:rsidRPr="003E3613">
        <w:rPr>
          <w:rFonts w:ascii="Book Antiqua" w:hAnsi="Book Antiqua"/>
          <w:sz w:val="23"/>
          <w:szCs w:val="23"/>
          <w:lang w:val="en-GB"/>
        </w:rPr>
        <w:t>reviews</w:t>
      </w:r>
      <w:r w:rsidR="001F6F2B" w:rsidRPr="003E3613">
        <w:rPr>
          <w:rFonts w:ascii="Book Antiqua" w:hAnsi="Book Antiqua"/>
          <w:sz w:val="23"/>
          <w:szCs w:val="23"/>
          <w:lang w:val="en-GB"/>
        </w:rPr>
        <w:t xml:space="preserve"> </w:t>
      </w:r>
      <w:r w:rsidRPr="003E3613">
        <w:rPr>
          <w:rFonts w:ascii="Book Antiqua" w:hAnsi="Book Antiqua"/>
          <w:sz w:val="23"/>
          <w:szCs w:val="23"/>
          <w:lang w:val="en-GB"/>
        </w:rPr>
        <w:t>and</w:t>
      </w:r>
      <w:r w:rsidR="001F6F2B" w:rsidRPr="003E3613">
        <w:rPr>
          <w:rFonts w:ascii="Book Antiqua" w:hAnsi="Book Antiqua"/>
          <w:sz w:val="23"/>
          <w:szCs w:val="23"/>
          <w:lang w:val="en-GB"/>
        </w:rPr>
        <w:t xml:space="preserve"> </w:t>
      </w:r>
      <w:r w:rsidRPr="003E3613">
        <w:rPr>
          <w:rFonts w:ascii="Book Antiqua" w:hAnsi="Book Antiqua"/>
          <w:sz w:val="23"/>
          <w:szCs w:val="23"/>
          <w:lang w:val="en-GB"/>
        </w:rPr>
        <w:t>the verification</w:t>
      </w:r>
      <w:r w:rsidR="001F6F2B" w:rsidRPr="003E3613">
        <w:rPr>
          <w:rFonts w:ascii="Book Antiqua" w:hAnsi="Book Antiqua"/>
          <w:sz w:val="23"/>
          <w:szCs w:val="23"/>
          <w:lang w:val="en-GB"/>
        </w:rPr>
        <w:t xml:space="preserve"> </w:t>
      </w:r>
      <w:r w:rsidRPr="003E3613">
        <w:rPr>
          <w:rFonts w:ascii="Book Antiqua" w:hAnsi="Book Antiqua"/>
          <w:sz w:val="23"/>
          <w:szCs w:val="23"/>
          <w:lang w:val="en-GB"/>
        </w:rPr>
        <w:t>of</w:t>
      </w:r>
      <w:r w:rsidR="001F6F2B" w:rsidRPr="003E3613">
        <w:rPr>
          <w:rFonts w:ascii="Book Antiqua" w:hAnsi="Book Antiqua"/>
          <w:sz w:val="23"/>
          <w:szCs w:val="23"/>
          <w:lang w:val="en-GB"/>
        </w:rPr>
        <w:t xml:space="preserve"> </w:t>
      </w:r>
      <w:r w:rsidRPr="003E3613">
        <w:rPr>
          <w:rFonts w:ascii="Book Antiqua" w:hAnsi="Book Antiqua"/>
          <w:sz w:val="23"/>
          <w:szCs w:val="23"/>
          <w:lang w:val="en-GB"/>
        </w:rPr>
        <w:t>compliance</w:t>
      </w:r>
      <w:r w:rsidR="001F6F2B" w:rsidRPr="003E3613">
        <w:rPr>
          <w:rFonts w:ascii="Book Antiqua" w:hAnsi="Book Antiqua"/>
          <w:sz w:val="23"/>
          <w:szCs w:val="23"/>
          <w:lang w:val="en-GB"/>
        </w:rPr>
        <w:t xml:space="preserve"> </w:t>
      </w:r>
      <w:r w:rsidRPr="003E3613">
        <w:rPr>
          <w:rFonts w:ascii="Book Antiqua" w:hAnsi="Book Antiqua"/>
          <w:sz w:val="23"/>
          <w:szCs w:val="23"/>
          <w:lang w:val="en-GB"/>
        </w:rPr>
        <w:t>of domestic legislation with</w:t>
      </w:r>
      <w:r w:rsidR="004747C8" w:rsidRPr="003E3613">
        <w:rPr>
          <w:rFonts w:ascii="Book Antiqua" w:hAnsi="Book Antiqua"/>
          <w:sz w:val="23"/>
          <w:szCs w:val="23"/>
          <w:lang w:val="en-GB"/>
        </w:rPr>
        <w:t xml:space="preserve"> </w:t>
      </w:r>
      <w:r w:rsidRPr="003E3613">
        <w:rPr>
          <w:rFonts w:ascii="Book Antiqua" w:hAnsi="Book Antiqua"/>
          <w:sz w:val="23"/>
          <w:szCs w:val="23"/>
          <w:lang w:val="en-GB"/>
        </w:rPr>
        <w:t>international agreements.</w:t>
      </w:r>
    </w:p>
    <w:p w14:paraId="461D11C4" w14:textId="77777777" w:rsidR="00AB6308" w:rsidRPr="003E3613" w:rsidRDefault="00AB6308" w:rsidP="00204696">
      <w:pPr>
        <w:spacing w:after="0"/>
        <w:jc w:val="both"/>
        <w:rPr>
          <w:rFonts w:ascii="Book Antiqua" w:hAnsi="Book Antiqua"/>
          <w:sz w:val="23"/>
          <w:szCs w:val="23"/>
          <w:lang w:val="en-GB"/>
        </w:rPr>
      </w:pPr>
    </w:p>
    <w:p w14:paraId="10FAB663" w14:textId="7909DB48" w:rsidR="00F400FE" w:rsidRDefault="0073777A" w:rsidP="00F400FE">
      <w:pPr>
        <w:spacing w:after="0"/>
        <w:jc w:val="both"/>
        <w:rPr>
          <w:rFonts w:ascii="Book Antiqua" w:hAnsi="Book Antiqua"/>
          <w:sz w:val="23"/>
          <w:szCs w:val="23"/>
          <w:lang w:val="en-GB"/>
        </w:rPr>
      </w:pPr>
      <w:r w:rsidRPr="003E3613">
        <w:rPr>
          <w:rFonts w:ascii="Book Antiqua" w:hAnsi="Book Antiqua"/>
          <w:sz w:val="23"/>
          <w:szCs w:val="23"/>
          <w:lang w:val="en-GB"/>
        </w:rPr>
        <w:t>Regarding the review of constitutional amendments</w:t>
      </w:r>
      <w:r w:rsidR="00BC0A98" w:rsidRPr="003E3613">
        <w:rPr>
          <w:rFonts w:ascii="Book Antiqua" w:hAnsi="Book Antiqua"/>
          <w:sz w:val="23"/>
          <w:szCs w:val="23"/>
          <w:lang w:val="en-GB"/>
        </w:rPr>
        <w:t>,</w:t>
      </w:r>
      <w:r w:rsidRPr="003E3613">
        <w:rPr>
          <w:rFonts w:ascii="Book Antiqua" w:hAnsi="Book Antiqua"/>
          <w:sz w:val="23"/>
          <w:szCs w:val="23"/>
          <w:lang w:val="en-GB"/>
        </w:rPr>
        <w:t xml:space="preserve"> the new provision is in line with the former approach of the Constitutional Court.</w:t>
      </w:r>
      <w:r w:rsidR="00AC4543" w:rsidRPr="003E3613">
        <w:rPr>
          <w:rFonts w:ascii="Book Antiqua" w:hAnsi="Book Antiqua"/>
          <w:sz w:val="23"/>
          <w:szCs w:val="23"/>
          <w:lang w:val="en-GB"/>
        </w:rPr>
        <w:t xml:space="preserve"> </w:t>
      </w:r>
      <w:r w:rsidRPr="003E3613">
        <w:rPr>
          <w:rFonts w:ascii="Book Antiqua" w:hAnsi="Book Antiqua"/>
          <w:sz w:val="23"/>
          <w:szCs w:val="23"/>
          <w:lang w:val="en-GB"/>
        </w:rPr>
        <w:t xml:space="preserve">This case-law explicitly confirmed that the Court had no competence to review the substance of the amendments as the Court </w:t>
      </w:r>
      <w:r w:rsidR="00BC0A98" w:rsidRPr="003E3613">
        <w:rPr>
          <w:rFonts w:ascii="Book Antiqua" w:hAnsi="Book Antiqua"/>
          <w:sz w:val="23"/>
          <w:szCs w:val="23"/>
          <w:lang w:val="en-GB"/>
        </w:rPr>
        <w:t>itself is</w:t>
      </w:r>
      <w:r w:rsidRPr="003E3613">
        <w:rPr>
          <w:rFonts w:ascii="Book Antiqua" w:hAnsi="Book Antiqua"/>
          <w:sz w:val="23"/>
          <w:szCs w:val="23"/>
          <w:lang w:val="en-GB"/>
        </w:rPr>
        <w:t xml:space="preserve"> subordinate to</w:t>
      </w:r>
      <w:r w:rsidR="00BC0A98" w:rsidRPr="003E3613">
        <w:rPr>
          <w:rFonts w:ascii="Book Antiqua" w:hAnsi="Book Antiqua"/>
          <w:sz w:val="23"/>
          <w:szCs w:val="23"/>
          <w:lang w:val="en-GB"/>
        </w:rPr>
        <w:t xml:space="preserve"> the constitution</w:t>
      </w:r>
      <w:r w:rsidRPr="003E3613">
        <w:rPr>
          <w:rFonts w:ascii="Book Antiqua" w:hAnsi="Book Antiqua"/>
          <w:sz w:val="23"/>
          <w:szCs w:val="23"/>
          <w:lang w:val="en-GB"/>
        </w:rPr>
        <w:t xml:space="preserve"> and cannot review the constitution itself in terms of its constitutional conformity. International examples confirm this approach. </w:t>
      </w:r>
      <w:r w:rsidR="0033595B" w:rsidRPr="003E3613">
        <w:rPr>
          <w:rFonts w:ascii="Book Antiqua" w:hAnsi="Book Antiqua"/>
          <w:sz w:val="23"/>
          <w:szCs w:val="23"/>
          <w:lang w:val="en-GB"/>
        </w:rPr>
        <w:t>The assessment of the Venice Commission on the review of constitutional amendments by constitutional courts concludes that this is a rare feature of constitutional jurisdiction, and that “such a control cannot therefore be considered as a requirement of the rule of law</w:t>
      </w:r>
      <w:r w:rsidR="00685304" w:rsidRPr="003E3613">
        <w:rPr>
          <w:rFonts w:ascii="Book Antiqua" w:hAnsi="Book Antiqua"/>
          <w:sz w:val="23"/>
          <w:szCs w:val="23"/>
          <w:lang w:val="en-GB"/>
        </w:rPr>
        <w:t>”</w:t>
      </w:r>
      <w:r w:rsidR="00B451A0" w:rsidRPr="003E3613">
        <w:rPr>
          <w:rFonts w:ascii="Book Antiqua" w:hAnsi="Book Antiqua"/>
          <w:sz w:val="23"/>
          <w:szCs w:val="23"/>
          <w:lang w:val="en-GB"/>
        </w:rPr>
        <w:t>.</w:t>
      </w:r>
      <w:r w:rsidR="0033595B" w:rsidRPr="003E3613">
        <w:rPr>
          <w:rStyle w:val="FootnoteReference"/>
          <w:rFonts w:ascii="Book Antiqua" w:hAnsi="Book Antiqua"/>
          <w:sz w:val="23"/>
          <w:szCs w:val="23"/>
          <w:lang w:val="en-GB"/>
        </w:rPr>
        <w:footnoteReference w:id="3"/>
      </w:r>
      <w:r w:rsidR="0033595B" w:rsidRPr="003E3613">
        <w:rPr>
          <w:rFonts w:ascii="Book Antiqua" w:hAnsi="Book Antiqua"/>
          <w:sz w:val="23"/>
          <w:szCs w:val="23"/>
          <w:lang w:val="en-GB"/>
        </w:rPr>
        <w:t xml:space="preserve"> </w:t>
      </w:r>
      <w:r w:rsidR="00BC0A98" w:rsidRPr="003E3613">
        <w:rPr>
          <w:rFonts w:ascii="Book Antiqua" w:hAnsi="Book Antiqua"/>
          <w:sz w:val="23"/>
          <w:szCs w:val="23"/>
          <w:lang w:val="en-GB"/>
        </w:rPr>
        <w:t>The</w:t>
      </w:r>
      <w:r w:rsidR="00685304" w:rsidRPr="003E3613">
        <w:rPr>
          <w:rFonts w:ascii="Book Antiqua" w:hAnsi="Book Antiqua"/>
          <w:sz w:val="23"/>
          <w:szCs w:val="23"/>
          <w:lang w:val="en-GB"/>
        </w:rPr>
        <w:t>refore, the</w:t>
      </w:r>
      <w:r w:rsidRPr="003E3613">
        <w:rPr>
          <w:rFonts w:ascii="Book Antiqua" w:hAnsi="Book Antiqua"/>
          <w:sz w:val="23"/>
          <w:szCs w:val="23"/>
          <w:lang w:val="en-GB"/>
        </w:rPr>
        <w:t xml:space="preserve"> provision did not introduc</w:t>
      </w:r>
      <w:r w:rsidR="00BC0A98" w:rsidRPr="003E3613">
        <w:rPr>
          <w:rFonts w:ascii="Book Antiqua" w:hAnsi="Book Antiqua"/>
          <w:sz w:val="23"/>
          <w:szCs w:val="23"/>
          <w:lang w:val="en-GB"/>
        </w:rPr>
        <w:t>e a limitation of competences; on the contrary, it established</w:t>
      </w:r>
      <w:r w:rsidRPr="003E3613">
        <w:rPr>
          <w:rFonts w:ascii="Book Antiqua" w:hAnsi="Book Antiqua"/>
          <w:sz w:val="23"/>
          <w:szCs w:val="23"/>
          <w:lang w:val="en-GB"/>
        </w:rPr>
        <w:t xml:space="preserve"> clear rules for the exercise of the competence for </w:t>
      </w:r>
      <w:r w:rsidR="00685304" w:rsidRPr="003E3613">
        <w:rPr>
          <w:rFonts w:ascii="Book Antiqua" w:hAnsi="Book Antiqua"/>
          <w:sz w:val="23"/>
          <w:szCs w:val="23"/>
          <w:lang w:val="en-GB"/>
        </w:rPr>
        <w:t xml:space="preserve">the </w:t>
      </w:r>
      <w:r w:rsidR="00F400FE">
        <w:rPr>
          <w:rFonts w:ascii="Book Antiqua" w:hAnsi="Book Antiqua"/>
          <w:sz w:val="23"/>
          <w:szCs w:val="23"/>
          <w:lang w:val="en-GB"/>
        </w:rPr>
        <w:t>review</w:t>
      </w:r>
    </w:p>
    <w:p w14:paraId="0A2E595D" w14:textId="77777777" w:rsidR="00F400FE" w:rsidRDefault="00F400FE">
      <w:pPr>
        <w:rPr>
          <w:rFonts w:ascii="Book Antiqua" w:hAnsi="Book Antiqua"/>
          <w:sz w:val="23"/>
          <w:szCs w:val="23"/>
          <w:lang w:val="en-GB"/>
        </w:rPr>
      </w:pPr>
      <w:r>
        <w:rPr>
          <w:rFonts w:ascii="Book Antiqua" w:hAnsi="Book Antiqua"/>
          <w:sz w:val="23"/>
          <w:szCs w:val="23"/>
          <w:lang w:val="en-GB"/>
        </w:rPr>
        <w:br w:type="page"/>
      </w:r>
    </w:p>
    <w:p w14:paraId="643F6571" w14:textId="2E8A76C2" w:rsidR="0073777A" w:rsidRPr="003E3613" w:rsidRDefault="00DB06B6" w:rsidP="00F400FE">
      <w:pPr>
        <w:spacing w:after="0"/>
        <w:jc w:val="both"/>
        <w:rPr>
          <w:rFonts w:ascii="Book Antiqua" w:hAnsi="Book Antiqua"/>
          <w:sz w:val="23"/>
          <w:szCs w:val="23"/>
          <w:lang w:val="en-GB"/>
        </w:rPr>
      </w:pPr>
      <w:r w:rsidRPr="003E3613">
        <w:rPr>
          <w:rFonts w:ascii="Book Antiqua" w:hAnsi="Book Antiqua"/>
          <w:sz w:val="23"/>
          <w:szCs w:val="23"/>
          <w:lang w:val="en-GB"/>
        </w:rPr>
        <w:lastRenderedPageBreak/>
        <w:t xml:space="preserve">whether procedural rules were respected </w:t>
      </w:r>
      <w:r w:rsidR="0073777A" w:rsidRPr="003E3613">
        <w:rPr>
          <w:rFonts w:ascii="Book Antiqua" w:hAnsi="Book Antiqua"/>
          <w:sz w:val="23"/>
          <w:szCs w:val="23"/>
          <w:lang w:val="en-GB"/>
        </w:rPr>
        <w:t>and so the control of the constitutional power</w:t>
      </w:r>
      <w:r w:rsidRPr="003E3613">
        <w:rPr>
          <w:rFonts w:ascii="Book Antiqua" w:hAnsi="Book Antiqua"/>
          <w:sz w:val="23"/>
          <w:szCs w:val="23"/>
          <w:lang w:val="en-GB"/>
        </w:rPr>
        <w:t xml:space="preserve"> </w:t>
      </w:r>
      <w:r w:rsidR="0073777A" w:rsidRPr="003E3613">
        <w:rPr>
          <w:rFonts w:ascii="Book Antiqua" w:hAnsi="Book Antiqua"/>
          <w:sz w:val="23"/>
          <w:szCs w:val="23"/>
          <w:lang w:val="en-GB"/>
        </w:rPr>
        <w:t>is even more safeguarded</w:t>
      </w:r>
      <w:r w:rsidR="00B451A0" w:rsidRPr="003E3613">
        <w:rPr>
          <w:rFonts w:ascii="Book Antiqua" w:hAnsi="Book Antiqua"/>
          <w:sz w:val="23"/>
          <w:szCs w:val="23"/>
          <w:lang w:val="en-GB"/>
        </w:rPr>
        <w:t xml:space="preserve"> than before</w:t>
      </w:r>
      <w:r w:rsidR="0073777A" w:rsidRPr="003E3613">
        <w:rPr>
          <w:rFonts w:ascii="Book Antiqua" w:hAnsi="Book Antiqua"/>
          <w:sz w:val="23"/>
          <w:szCs w:val="23"/>
          <w:lang w:val="en-GB"/>
        </w:rPr>
        <w:t>.</w:t>
      </w:r>
    </w:p>
    <w:p w14:paraId="6F2386B3" w14:textId="77777777" w:rsidR="00916F3B" w:rsidRPr="003E3613" w:rsidRDefault="00916F3B" w:rsidP="00204696">
      <w:pPr>
        <w:spacing w:after="0"/>
        <w:jc w:val="both"/>
        <w:rPr>
          <w:rFonts w:ascii="Book Antiqua" w:hAnsi="Book Antiqua"/>
          <w:sz w:val="23"/>
          <w:szCs w:val="23"/>
          <w:lang w:val="en-GB"/>
        </w:rPr>
      </w:pPr>
    </w:p>
    <w:p w14:paraId="40F37B63" w14:textId="77777777" w:rsidR="00926619" w:rsidRPr="003E3613" w:rsidRDefault="00926619"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By way of repealing the rulings of the Constitutional Court delivered before the entry into force of the Fundamental Law, the </w:t>
      </w:r>
      <w:r w:rsidR="00642CB6" w:rsidRPr="003E3613">
        <w:rPr>
          <w:rFonts w:ascii="Book Antiqua" w:hAnsi="Book Antiqua"/>
          <w:sz w:val="23"/>
          <w:szCs w:val="23"/>
          <w:lang w:val="en-GB"/>
        </w:rPr>
        <w:t>National Assembly</w:t>
      </w:r>
      <w:r w:rsidRPr="003E3613">
        <w:rPr>
          <w:rFonts w:ascii="Book Antiqua" w:hAnsi="Book Antiqua"/>
          <w:sz w:val="23"/>
          <w:szCs w:val="23"/>
          <w:lang w:val="en-GB"/>
        </w:rPr>
        <w:t xml:space="preserve"> made it clear that the </w:t>
      </w:r>
      <w:r w:rsidR="00642CB6" w:rsidRPr="003E3613">
        <w:rPr>
          <w:rFonts w:ascii="Book Antiqua" w:hAnsi="Book Antiqua"/>
          <w:sz w:val="23"/>
          <w:szCs w:val="23"/>
          <w:lang w:val="en-GB"/>
        </w:rPr>
        <w:t xml:space="preserve">decisions adopted by the </w:t>
      </w:r>
      <w:r w:rsidRPr="003E3613">
        <w:rPr>
          <w:rFonts w:ascii="Book Antiqua" w:hAnsi="Book Antiqua"/>
          <w:sz w:val="23"/>
          <w:szCs w:val="23"/>
          <w:lang w:val="en-GB"/>
        </w:rPr>
        <w:t>Constitutional Court on the basis of the former Constitution</w:t>
      </w:r>
      <w:r w:rsidR="00642CB6" w:rsidRPr="003E3613">
        <w:rPr>
          <w:rFonts w:ascii="Book Antiqua" w:hAnsi="Book Antiqua"/>
          <w:sz w:val="23"/>
          <w:szCs w:val="23"/>
          <w:lang w:val="en-GB"/>
        </w:rPr>
        <w:t xml:space="preserve"> d</w:t>
      </w:r>
      <w:r w:rsidR="007B5507" w:rsidRPr="003E3613">
        <w:rPr>
          <w:rFonts w:ascii="Book Antiqua" w:hAnsi="Book Antiqua"/>
          <w:sz w:val="23"/>
          <w:szCs w:val="23"/>
          <w:lang w:val="en-GB"/>
        </w:rPr>
        <w:t>id</w:t>
      </w:r>
      <w:r w:rsidR="00642CB6" w:rsidRPr="003E3613">
        <w:rPr>
          <w:rFonts w:ascii="Book Antiqua" w:hAnsi="Book Antiqua"/>
          <w:sz w:val="23"/>
          <w:szCs w:val="23"/>
          <w:lang w:val="en-GB"/>
        </w:rPr>
        <w:t xml:space="preserve"> not bind the Constitutional Court in its </w:t>
      </w:r>
      <w:r w:rsidR="007B5507" w:rsidRPr="003E3613">
        <w:rPr>
          <w:rFonts w:ascii="Book Antiqua" w:hAnsi="Book Antiqua"/>
          <w:sz w:val="23"/>
          <w:szCs w:val="23"/>
          <w:lang w:val="en-GB"/>
        </w:rPr>
        <w:t xml:space="preserve">following </w:t>
      </w:r>
      <w:r w:rsidR="00642CB6" w:rsidRPr="003E3613">
        <w:rPr>
          <w:rFonts w:ascii="Book Antiqua" w:hAnsi="Book Antiqua"/>
          <w:sz w:val="23"/>
          <w:szCs w:val="23"/>
          <w:lang w:val="en-GB"/>
        </w:rPr>
        <w:t>decisions</w:t>
      </w:r>
      <w:r w:rsidRPr="003E3613">
        <w:rPr>
          <w:rFonts w:ascii="Book Antiqua" w:hAnsi="Book Antiqua"/>
          <w:sz w:val="23"/>
          <w:szCs w:val="23"/>
          <w:lang w:val="en-GB"/>
        </w:rPr>
        <w:t xml:space="preserve">. </w:t>
      </w:r>
      <w:r w:rsidR="007B5507" w:rsidRPr="003E3613">
        <w:rPr>
          <w:rFonts w:ascii="Book Antiqua" w:hAnsi="Book Antiqua"/>
          <w:sz w:val="23"/>
          <w:szCs w:val="23"/>
          <w:lang w:val="en-GB"/>
        </w:rPr>
        <w:t>T</w:t>
      </w:r>
      <w:r w:rsidRPr="003E3613">
        <w:rPr>
          <w:rFonts w:ascii="Book Antiqua" w:hAnsi="Book Antiqua"/>
          <w:sz w:val="23"/>
          <w:szCs w:val="23"/>
          <w:lang w:val="en-GB"/>
        </w:rPr>
        <w:t>his does not preclude</w:t>
      </w:r>
      <w:r w:rsidR="007B5507" w:rsidRPr="003E3613">
        <w:rPr>
          <w:rFonts w:ascii="Book Antiqua" w:hAnsi="Book Antiqua"/>
          <w:sz w:val="23"/>
          <w:szCs w:val="23"/>
          <w:lang w:val="en-GB"/>
        </w:rPr>
        <w:t>, however,</w:t>
      </w:r>
      <w:r w:rsidRPr="003E3613">
        <w:rPr>
          <w:rFonts w:ascii="Book Antiqua" w:hAnsi="Book Antiqua"/>
          <w:sz w:val="23"/>
          <w:szCs w:val="23"/>
          <w:lang w:val="en-GB"/>
        </w:rPr>
        <w:t xml:space="preserve"> that the Constitutional Court may come to the same conclusions as before</w:t>
      </w:r>
      <w:r w:rsidR="007556EC" w:rsidRPr="003E3613">
        <w:rPr>
          <w:rFonts w:ascii="Book Antiqua" w:hAnsi="Book Antiqua"/>
          <w:sz w:val="23"/>
          <w:szCs w:val="23"/>
          <w:lang w:val="en-GB"/>
        </w:rPr>
        <w:t>,</w:t>
      </w:r>
      <w:r w:rsidRPr="003E3613">
        <w:rPr>
          <w:rFonts w:ascii="Book Antiqua" w:hAnsi="Book Antiqua"/>
          <w:sz w:val="23"/>
          <w:szCs w:val="23"/>
          <w:lang w:val="en-GB"/>
        </w:rPr>
        <w:t xml:space="preserve"> </w:t>
      </w:r>
      <w:r w:rsidR="007556EC" w:rsidRPr="003E3613">
        <w:rPr>
          <w:rFonts w:ascii="Book Antiqua" w:hAnsi="Book Antiqua"/>
          <w:sz w:val="23"/>
          <w:szCs w:val="23"/>
          <w:lang w:val="en-GB"/>
        </w:rPr>
        <w:t>n</w:t>
      </w:r>
      <w:r w:rsidRPr="003E3613">
        <w:rPr>
          <w:rFonts w:ascii="Book Antiqua" w:hAnsi="Book Antiqua"/>
          <w:sz w:val="23"/>
          <w:szCs w:val="23"/>
          <w:lang w:val="en-GB"/>
        </w:rPr>
        <w:t xml:space="preserve">or does this provision prevent the Constitutional Court from referring to its earlier decisions. The Constitutional Court indeed has exactly </w:t>
      </w:r>
      <w:r w:rsidR="00642CB6" w:rsidRPr="003E3613">
        <w:rPr>
          <w:rFonts w:ascii="Book Antiqua" w:hAnsi="Book Antiqua"/>
          <w:sz w:val="23"/>
          <w:szCs w:val="23"/>
          <w:lang w:val="en-GB"/>
        </w:rPr>
        <w:t xml:space="preserve">continued to follow its former practice after </w:t>
      </w:r>
      <w:r w:rsidRPr="003E3613">
        <w:rPr>
          <w:rFonts w:ascii="Book Antiqua" w:hAnsi="Book Antiqua"/>
          <w:sz w:val="23"/>
          <w:szCs w:val="23"/>
          <w:lang w:val="en-GB"/>
        </w:rPr>
        <w:t xml:space="preserve">the entry into force of the Fourth Amendment in </w:t>
      </w:r>
      <w:r w:rsidR="007B5507" w:rsidRPr="003E3613">
        <w:rPr>
          <w:rFonts w:ascii="Book Antiqua" w:hAnsi="Book Antiqua"/>
          <w:sz w:val="23"/>
          <w:szCs w:val="23"/>
          <w:lang w:val="en-GB"/>
        </w:rPr>
        <w:t xml:space="preserve">a </w:t>
      </w:r>
      <w:r w:rsidRPr="003E3613">
        <w:rPr>
          <w:rFonts w:ascii="Book Antiqua" w:hAnsi="Book Antiqua"/>
          <w:sz w:val="23"/>
          <w:szCs w:val="23"/>
          <w:lang w:val="en-GB"/>
        </w:rPr>
        <w:t>number o</w:t>
      </w:r>
      <w:r w:rsidR="007B5507" w:rsidRPr="003E3613">
        <w:rPr>
          <w:rFonts w:ascii="Book Antiqua" w:hAnsi="Book Antiqua"/>
          <w:sz w:val="23"/>
          <w:szCs w:val="23"/>
          <w:lang w:val="en-GB"/>
        </w:rPr>
        <w:t>f</w:t>
      </w:r>
      <w:r w:rsidRPr="003E3613">
        <w:rPr>
          <w:rFonts w:ascii="Book Antiqua" w:hAnsi="Book Antiqua"/>
          <w:sz w:val="23"/>
          <w:szCs w:val="23"/>
          <w:lang w:val="en-GB"/>
        </w:rPr>
        <w:t xml:space="preserve"> decisions </w:t>
      </w:r>
      <w:r w:rsidR="007B5507" w:rsidRPr="003E3613">
        <w:rPr>
          <w:rFonts w:ascii="Book Antiqua" w:hAnsi="Book Antiqua"/>
          <w:sz w:val="23"/>
          <w:szCs w:val="23"/>
          <w:lang w:val="en-GB"/>
        </w:rPr>
        <w:t>(</w:t>
      </w:r>
      <w:r w:rsidRPr="003E3613">
        <w:rPr>
          <w:rFonts w:ascii="Book Antiqua" w:hAnsi="Book Antiqua"/>
          <w:sz w:val="23"/>
          <w:szCs w:val="23"/>
          <w:lang w:val="en-GB"/>
        </w:rPr>
        <w:t>e.g. in Decision 10/2013. (</w:t>
      </w:r>
      <w:r w:rsidR="0045792E" w:rsidRPr="003E3613">
        <w:rPr>
          <w:rFonts w:ascii="Book Antiqua" w:hAnsi="Book Antiqua"/>
          <w:sz w:val="23"/>
          <w:szCs w:val="23"/>
          <w:lang w:val="en-GB"/>
        </w:rPr>
        <w:t xml:space="preserve">IV. </w:t>
      </w:r>
      <w:r w:rsidRPr="003E3613">
        <w:rPr>
          <w:rFonts w:ascii="Book Antiqua" w:hAnsi="Book Antiqua"/>
          <w:sz w:val="23"/>
          <w:szCs w:val="23"/>
          <w:lang w:val="en-GB"/>
        </w:rPr>
        <w:t>25</w:t>
      </w:r>
      <w:r w:rsidR="0045792E" w:rsidRPr="003E3613">
        <w:rPr>
          <w:rFonts w:ascii="Book Antiqua" w:hAnsi="Book Antiqua"/>
          <w:sz w:val="23"/>
          <w:szCs w:val="23"/>
          <w:lang w:val="en-GB"/>
        </w:rPr>
        <w:t>.</w:t>
      </w:r>
      <w:r w:rsidRPr="003E3613">
        <w:rPr>
          <w:rFonts w:ascii="Book Antiqua" w:hAnsi="Book Antiqua"/>
          <w:sz w:val="23"/>
          <w:szCs w:val="23"/>
          <w:lang w:val="en-GB"/>
        </w:rPr>
        <w:t>)</w:t>
      </w:r>
      <w:r w:rsidR="007556EC" w:rsidRPr="003E3613">
        <w:rPr>
          <w:rFonts w:ascii="Book Antiqua" w:hAnsi="Book Antiqua"/>
          <w:sz w:val="23"/>
          <w:szCs w:val="23"/>
          <w:lang w:val="en-GB"/>
        </w:rPr>
        <w:t>,</w:t>
      </w:r>
      <w:r w:rsidRPr="003E3613">
        <w:rPr>
          <w:rFonts w:ascii="Book Antiqua" w:hAnsi="Book Antiqua"/>
          <w:sz w:val="23"/>
          <w:szCs w:val="23"/>
          <w:lang w:val="en-GB"/>
        </w:rPr>
        <w:t xml:space="preserve"> </w:t>
      </w:r>
      <w:r w:rsidR="00642CB6" w:rsidRPr="003E3613">
        <w:rPr>
          <w:rFonts w:ascii="Book Antiqua" w:hAnsi="Book Antiqua"/>
          <w:sz w:val="23"/>
          <w:szCs w:val="23"/>
          <w:lang w:val="en-GB"/>
        </w:rPr>
        <w:t>11/2013 (</w:t>
      </w:r>
      <w:r w:rsidR="0045792E" w:rsidRPr="003E3613">
        <w:rPr>
          <w:rFonts w:ascii="Book Antiqua" w:hAnsi="Book Antiqua"/>
          <w:sz w:val="23"/>
          <w:szCs w:val="23"/>
          <w:lang w:val="en-GB"/>
        </w:rPr>
        <w:t xml:space="preserve">V. </w:t>
      </w:r>
      <w:r w:rsidR="00642CB6" w:rsidRPr="003E3613">
        <w:rPr>
          <w:rFonts w:ascii="Book Antiqua" w:hAnsi="Book Antiqua"/>
          <w:sz w:val="23"/>
          <w:szCs w:val="23"/>
          <w:lang w:val="en-GB"/>
        </w:rPr>
        <w:t>9</w:t>
      </w:r>
      <w:r w:rsidR="0045792E" w:rsidRPr="003E3613">
        <w:rPr>
          <w:rFonts w:ascii="Book Antiqua" w:hAnsi="Book Antiqua"/>
          <w:sz w:val="23"/>
          <w:szCs w:val="23"/>
          <w:lang w:val="en-GB"/>
        </w:rPr>
        <w:t>.</w:t>
      </w:r>
      <w:r w:rsidR="00642CB6" w:rsidRPr="003E3613">
        <w:rPr>
          <w:rFonts w:ascii="Book Antiqua" w:hAnsi="Book Antiqua"/>
          <w:sz w:val="23"/>
          <w:szCs w:val="23"/>
          <w:lang w:val="en-GB"/>
        </w:rPr>
        <w:t>)</w:t>
      </w:r>
      <w:r w:rsidR="007556EC" w:rsidRPr="003E3613">
        <w:rPr>
          <w:rFonts w:ascii="Book Antiqua" w:hAnsi="Book Antiqua"/>
          <w:sz w:val="23"/>
          <w:szCs w:val="23"/>
          <w:lang w:val="en-GB"/>
        </w:rPr>
        <w:t xml:space="preserve"> or 13/2013 (VI.17.)</w:t>
      </w:r>
      <w:r w:rsidR="00642CB6" w:rsidRPr="003E3613">
        <w:rPr>
          <w:rFonts w:ascii="Book Antiqua" w:hAnsi="Book Antiqua"/>
          <w:sz w:val="23"/>
          <w:szCs w:val="23"/>
          <w:lang w:val="en-GB"/>
        </w:rPr>
        <w:t xml:space="preserve"> where </w:t>
      </w:r>
      <w:r w:rsidRPr="003E3613">
        <w:rPr>
          <w:rFonts w:ascii="Book Antiqua" w:hAnsi="Book Antiqua"/>
          <w:sz w:val="23"/>
          <w:szCs w:val="23"/>
          <w:lang w:val="en-GB"/>
        </w:rPr>
        <w:t xml:space="preserve">judges keep referring to </w:t>
      </w:r>
      <w:r w:rsidR="00642CB6" w:rsidRPr="003E3613">
        <w:rPr>
          <w:rFonts w:ascii="Book Antiqua" w:hAnsi="Book Antiqua"/>
          <w:sz w:val="23"/>
          <w:szCs w:val="23"/>
          <w:lang w:val="en-GB"/>
        </w:rPr>
        <w:t>earlier</w:t>
      </w:r>
      <w:r w:rsidRPr="003E3613">
        <w:rPr>
          <w:rFonts w:ascii="Book Antiqua" w:hAnsi="Book Antiqua"/>
          <w:sz w:val="23"/>
          <w:szCs w:val="23"/>
          <w:lang w:val="en-GB"/>
        </w:rPr>
        <w:t xml:space="preserve"> Constitutional Court decisions).</w:t>
      </w:r>
      <w:r w:rsidR="00554D9C" w:rsidRPr="003E3613">
        <w:rPr>
          <w:rFonts w:ascii="Book Antiqua" w:hAnsi="Book Antiqua"/>
          <w:sz w:val="23"/>
          <w:szCs w:val="23"/>
          <w:lang w:val="en-GB"/>
        </w:rPr>
        <w:t xml:space="preserve"> </w:t>
      </w:r>
    </w:p>
    <w:p w14:paraId="57D15044" w14:textId="77777777" w:rsidR="00926619" w:rsidRPr="003E3613" w:rsidRDefault="00926619" w:rsidP="00204696">
      <w:pPr>
        <w:spacing w:after="0"/>
        <w:jc w:val="both"/>
        <w:rPr>
          <w:rFonts w:ascii="Book Antiqua" w:hAnsi="Book Antiqua"/>
          <w:sz w:val="23"/>
          <w:szCs w:val="23"/>
          <w:lang w:val="en-GB"/>
        </w:rPr>
      </w:pPr>
    </w:p>
    <w:p w14:paraId="14012F9A" w14:textId="77777777" w:rsidR="00916F3B" w:rsidRPr="003E3613" w:rsidRDefault="00916F3B" w:rsidP="00204696">
      <w:pPr>
        <w:spacing w:after="0"/>
        <w:jc w:val="both"/>
        <w:rPr>
          <w:rFonts w:ascii="Book Antiqua" w:hAnsi="Book Antiqua"/>
          <w:sz w:val="23"/>
          <w:szCs w:val="23"/>
          <w:lang w:val="en-GB"/>
        </w:rPr>
      </w:pPr>
      <w:r w:rsidRPr="003E3613">
        <w:rPr>
          <w:rFonts w:ascii="Book Antiqua" w:hAnsi="Book Antiqua"/>
          <w:sz w:val="23"/>
          <w:szCs w:val="23"/>
          <w:lang w:val="en-GB"/>
        </w:rPr>
        <w:t>It should be stated that the Venice Commission identified a number of positive elements of the reforms, such as provisions on budgetary guarantees, the fact that the Hungarian authorities have taken up the Commission’s suggestion to rule out the re-election of Constitutional Court Judges</w:t>
      </w:r>
      <w:r w:rsidR="00AA27B4" w:rsidRPr="003E3613">
        <w:rPr>
          <w:rFonts w:ascii="Book Antiqua" w:hAnsi="Book Antiqua"/>
          <w:sz w:val="23"/>
          <w:szCs w:val="23"/>
          <w:lang w:val="en-GB"/>
        </w:rPr>
        <w:t>.</w:t>
      </w:r>
      <w:r w:rsidRPr="003E3613">
        <w:rPr>
          <w:rFonts w:ascii="Book Antiqua" w:hAnsi="Book Antiqua"/>
          <w:sz w:val="23"/>
          <w:szCs w:val="23"/>
          <w:lang w:val="en-GB"/>
        </w:rPr>
        <w:t xml:space="preserve"> </w:t>
      </w:r>
      <w:r w:rsidR="00AA27B4" w:rsidRPr="003E3613">
        <w:rPr>
          <w:rFonts w:ascii="Book Antiqua" w:hAnsi="Book Antiqua"/>
          <w:sz w:val="23"/>
          <w:szCs w:val="23"/>
          <w:lang w:val="en-GB"/>
        </w:rPr>
        <w:t>I</w:t>
      </w:r>
      <w:r w:rsidRPr="003E3613">
        <w:rPr>
          <w:rFonts w:ascii="Book Antiqua" w:hAnsi="Book Antiqua"/>
          <w:sz w:val="23"/>
          <w:szCs w:val="23"/>
          <w:lang w:val="en-GB"/>
        </w:rPr>
        <w:t>t</w:t>
      </w:r>
      <w:r w:rsidR="00AA27B4" w:rsidRPr="003E3613">
        <w:rPr>
          <w:rFonts w:ascii="Book Antiqua" w:hAnsi="Book Antiqua"/>
          <w:sz w:val="23"/>
          <w:szCs w:val="23"/>
          <w:lang w:val="en-GB"/>
        </w:rPr>
        <w:t xml:space="preserve"> also</w:t>
      </w:r>
      <w:r w:rsidR="00554D9C" w:rsidRPr="003E3613">
        <w:rPr>
          <w:rFonts w:ascii="Book Antiqua" w:hAnsi="Book Antiqua"/>
          <w:sz w:val="23"/>
          <w:szCs w:val="23"/>
          <w:lang w:val="en-GB"/>
        </w:rPr>
        <w:t xml:space="preserve"> </w:t>
      </w:r>
      <w:r w:rsidRPr="003E3613">
        <w:rPr>
          <w:rFonts w:ascii="Book Antiqua" w:hAnsi="Book Antiqua"/>
          <w:sz w:val="23"/>
          <w:szCs w:val="23"/>
          <w:lang w:val="en-GB"/>
        </w:rPr>
        <w:t xml:space="preserve">appreciated that the Act </w:t>
      </w:r>
      <w:r w:rsidR="001A4F74" w:rsidRPr="003E3613">
        <w:rPr>
          <w:rFonts w:ascii="Book Antiqua" w:hAnsi="Book Antiqua"/>
          <w:sz w:val="23"/>
          <w:szCs w:val="23"/>
          <w:lang w:val="en-GB"/>
        </w:rPr>
        <w:t xml:space="preserve">CLI of 2011 </w:t>
      </w:r>
      <w:r w:rsidR="00FF406F" w:rsidRPr="003E3613">
        <w:rPr>
          <w:rFonts w:ascii="Book Antiqua" w:hAnsi="Book Antiqua"/>
          <w:sz w:val="23"/>
          <w:szCs w:val="23"/>
          <w:lang w:val="en-GB"/>
        </w:rPr>
        <w:t>on the Constitutional Court</w:t>
      </w:r>
      <w:r w:rsidR="001A4F74" w:rsidRPr="003E3613">
        <w:rPr>
          <w:rFonts w:ascii="Book Antiqua" w:hAnsi="Book Antiqua"/>
          <w:sz w:val="23"/>
          <w:szCs w:val="23"/>
          <w:lang w:val="en-GB"/>
        </w:rPr>
        <w:t xml:space="preserve"> of Hungary</w:t>
      </w:r>
      <w:r w:rsidR="00FF406F" w:rsidRPr="003E3613">
        <w:rPr>
          <w:rFonts w:ascii="Book Antiqua" w:hAnsi="Book Antiqua"/>
          <w:sz w:val="23"/>
          <w:szCs w:val="23"/>
          <w:lang w:val="en-GB"/>
        </w:rPr>
        <w:t xml:space="preserve"> </w:t>
      </w:r>
      <w:r w:rsidRPr="003E3613">
        <w:rPr>
          <w:rFonts w:ascii="Book Antiqua" w:hAnsi="Book Antiqua"/>
          <w:sz w:val="23"/>
          <w:szCs w:val="23"/>
          <w:lang w:val="en-GB"/>
        </w:rPr>
        <w:t>provide</w:t>
      </w:r>
      <w:r w:rsidR="007B5507" w:rsidRPr="003E3613">
        <w:rPr>
          <w:rFonts w:ascii="Book Antiqua" w:hAnsi="Book Antiqua"/>
          <w:sz w:val="23"/>
          <w:szCs w:val="23"/>
          <w:lang w:val="en-GB"/>
        </w:rPr>
        <w:t>d</w:t>
      </w:r>
      <w:r w:rsidRPr="003E3613">
        <w:rPr>
          <w:rFonts w:ascii="Book Antiqua" w:hAnsi="Book Antiqua"/>
          <w:sz w:val="23"/>
          <w:szCs w:val="23"/>
          <w:lang w:val="en-GB"/>
        </w:rPr>
        <w:t xml:space="preserve"> for a time limit for the appointment of new judges in order to ensure continuity</w:t>
      </w:r>
      <w:r w:rsidR="007556EC" w:rsidRPr="003E3613">
        <w:rPr>
          <w:rFonts w:ascii="Book Antiqua" w:hAnsi="Book Antiqua"/>
          <w:sz w:val="23"/>
          <w:szCs w:val="23"/>
          <w:lang w:val="en-GB"/>
        </w:rPr>
        <w:t xml:space="preserve"> and</w:t>
      </w:r>
      <w:r w:rsidRPr="003E3613">
        <w:rPr>
          <w:rFonts w:ascii="Book Antiqua" w:hAnsi="Book Antiqua"/>
          <w:sz w:val="23"/>
          <w:szCs w:val="23"/>
          <w:lang w:val="en-GB"/>
        </w:rPr>
        <w:t xml:space="preserve"> </w:t>
      </w:r>
      <w:r w:rsidR="007556EC" w:rsidRPr="003E3613">
        <w:rPr>
          <w:rFonts w:ascii="Book Antiqua" w:hAnsi="Book Antiqua"/>
          <w:sz w:val="23"/>
          <w:szCs w:val="23"/>
          <w:lang w:val="en-GB"/>
        </w:rPr>
        <w:t xml:space="preserve">the </w:t>
      </w:r>
      <w:r w:rsidRPr="003E3613">
        <w:rPr>
          <w:rFonts w:ascii="Book Antiqua" w:hAnsi="Book Antiqua"/>
          <w:sz w:val="23"/>
          <w:szCs w:val="23"/>
          <w:lang w:val="en-GB"/>
        </w:rPr>
        <w:t>functional immunity of the judges</w:t>
      </w:r>
      <w:r w:rsidR="00463A8F" w:rsidRPr="003E3613">
        <w:rPr>
          <w:rFonts w:ascii="Book Antiqua" w:hAnsi="Book Antiqua"/>
          <w:sz w:val="23"/>
          <w:szCs w:val="23"/>
          <w:lang w:val="en-GB"/>
        </w:rPr>
        <w:t xml:space="preserve">. </w:t>
      </w:r>
      <w:r w:rsidR="00642CB6" w:rsidRPr="003E3613">
        <w:rPr>
          <w:rFonts w:ascii="Book Antiqua" w:hAnsi="Book Antiqua"/>
          <w:sz w:val="23"/>
          <w:szCs w:val="23"/>
          <w:lang w:val="en-GB"/>
        </w:rPr>
        <w:t xml:space="preserve">According to </w:t>
      </w:r>
      <w:r w:rsidR="007B5507" w:rsidRPr="003E3613">
        <w:rPr>
          <w:rFonts w:ascii="Book Antiqua" w:hAnsi="Book Antiqua"/>
          <w:sz w:val="23"/>
          <w:szCs w:val="23"/>
          <w:lang w:val="en-GB"/>
        </w:rPr>
        <w:t xml:space="preserve">point 31 of the </w:t>
      </w:r>
      <w:r w:rsidR="00642CB6" w:rsidRPr="003E3613">
        <w:rPr>
          <w:rFonts w:ascii="Book Antiqua" w:hAnsi="Book Antiqua"/>
          <w:sz w:val="23"/>
          <w:szCs w:val="23"/>
          <w:lang w:val="en-GB"/>
        </w:rPr>
        <w:t>Opinion on</w:t>
      </w:r>
      <w:r w:rsidR="001A4F74" w:rsidRPr="003E3613">
        <w:rPr>
          <w:rFonts w:ascii="Book Antiqua" w:hAnsi="Book Antiqua"/>
          <w:sz w:val="23"/>
          <w:szCs w:val="23"/>
          <w:lang w:val="en-GB"/>
        </w:rPr>
        <w:t xml:space="preserve"> the above-mentioned</w:t>
      </w:r>
      <w:r w:rsidR="00642CB6" w:rsidRPr="003E3613">
        <w:rPr>
          <w:rFonts w:ascii="Book Antiqua" w:hAnsi="Book Antiqua"/>
          <w:sz w:val="23"/>
          <w:szCs w:val="23"/>
          <w:lang w:val="en-GB"/>
        </w:rPr>
        <w:t xml:space="preserve"> act, r</w:t>
      </w:r>
      <w:r w:rsidR="00417976" w:rsidRPr="003E3613">
        <w:rPr>
          <w:rFonts w:ascii="Book Antiqua" w:hAnsi="Book Antiqua"/>
          <w:sz w:val="23"/>
          <w:szCs w:val="23"/>
          <w:lang w:val="en-GB"/>
        </w:rPr>
        <w:t>ules on the ex-</w:t>
      </w:r>
      <w:r w:rsidRPr="003E3613">
        <w:rPr>
          <w:rFonts w:ascii="Book Antiqua" w:hAnsi="Book Antiqua"/>
          <w:sz w:val="23"/>
          <w:szCs w:val="23"/>
          <w:lang w:val="en-GB"/>
        </w:rPr>
        <w:t>post</w:t>
      </w:r>
      <w:r w:rsidR="00642CB6" w:rsidRPr="003E3613">
        <w:rPr>
          <w:rFonts w:ascii="Book Antiqua" w:hAnsi="Book Antiqua"/>
          <w:sz w:val="23"/>
          <w:szCs w:val="23"/>
          <w:lang w:val="en-GB"/>
        </w:rPr>
        <w:t xml:space="preserve"> constitutional</w:t>
      </w:r>
      <w:r w:rsidRPr="003E3613">
        <w:rPr>
          <w:rFonts w:ascii="Book Antiqua" w:hAnsi="Book Antiqua"/>
          <w:sz w:val="23"/>
          <w:szCs w:val="23"/>
          <w:lang w:val="en-GB"/>
        </w:rPr>
        <w:t xml:space="preserve"> review of legal acts were warmly welcomed by the Venice Commission. </w:t>
      </w:r>
      <w:r w:rsidR="007B5507" w:rsidRPr="003E3613">
        <w:rPr>
          <w:rFonts w:ascii="Book Antiqua" w:hAnsi="Book Antiqua"/>
          <w:sz w:val="23"/>
          <w:szCs w:val="23"/>
          <w:lang w:val="en-GB"/>
        </w:rPr>
        <w:t>P</w:t>
      </w:r>
      <w:r w:rsidR="00642CB6" w:rsidRPr="003E3613">
        <w:rPr>
          <w:rFonts w:ascii="Book Antiqua" w:hAnsi="Book Antiqua"/>
          <w:sz w:val="23"/>
          <w:szCs w:val="23"/>
          <w:lang w:val="en-GB"/>
        </w:rPr>
        <w:t xml:space="preserve">oint 53 of the </w:t>
      </w:r>
      <w:r w:rsidR="007B5507" w:rsidRPr="003E3613">
        <w:rPr>
          <w:rFonts w:ascii="Book Antiqua" w:hAnsi="Book Antiqua"/>
          <w:sz w:val="23"/>
          <w:szCs w:val="23"/>
          <w:lang w:val="en-GB"/>
        </w:rPr>
        <w:t xml:space="preserve">same </w:t>
      </w:r>
      <w:r w:rsidR="00642CB6" w:rsidRPr="003E3613">
        <w:rPr>
          <w:rFonts w:ascii="Book Antiqua" w:hAnsi="Book Antiqua"/>
          <w:sz w:val="23"/>
          <w:szCs w:val="23"/>
          <w:lang w:val="en-GB"/>
        </w:rPr>
        <w:t>Opinion</w:t>
      </w:r>
      <w:r w:rsidR="007B5507" w:rsidRPr="003E3613">
        <w:rPr>
          <w:rFonts w:ascii="Book Antiqua" w:hAnsi="Book Antiqua"/>
          <w:sz w:val="23"/>
          <w:szCs w:val="23"/>
          <w:lang w:val="en-GB"/>
        </w:rPr>
        <w:t xml:space="preserve"> considered as positive elements the </w:t>
      </w:r>
      <w:r w:rsidR="00642CB6" w:rsidRPr="003E3613">
        <w:rPr>
          <w:rFonts w:ascii="Book Antiqua" w:hAnsi="Book Antiqua"/>
          <w:sz w:val="23"/>
          <w:szCs w:val="23"/>
          <w:lang w:val="en-GB"/>
        </w:rPr>
        <w:t xml:space="preserve">provisions </w:t>
      </w:r>
      <w:r w:rsidR="007B5507" w:rsidRPr="003E3613">
        <w:rPr>
          <w:rFonts w:ascii="Book Antiqua" w:hAnsi="Book Antiqua"/>
          <w:sz w:val="23"/>
          <w:szCs w:val="23"/>
          <w:lang w:val="en-GB"/>
        </w:rPr>
        <w:t xml:space="preserve">which </w:t>
      </w:r>
      <w:r w:rsidR="00642CB6" w:rsidRPr="003E3613">
        <w:rPr>
          <w:rFonts w:ascii="Book Antiqua" w:hAnsi="Book Antiqua"/>
          <w:sz w:val="23"/>
          <w:szCs w:val="23"/>
          <w:lang w:val="en-GB"/>
        </w:rPr>
        <w:t>ensur</w:t>
      </w:r>
      <w:r w:rsidR="007B5507" w:rsidRPr="003E3613">
        <w:rPr>
          <w:rFonts w:ascii="Book Antiqua" w:hAnsi="Book Antiqua"/>
          <w:sz w:val="23"/>
          <w:szCs w:val="23"/>
          <w:lang w:val="en-GB"/>
        </w:rPr>
        <w:t>ed</w:t>
      </w:r>
      <w:r w:rsidR="00642CB6" w:rsidRPr="003E3613">
        <w:rPr>
          <w:rFonts w:ascii="Book Antiqua" w:hAnsi="Book Antiqua"/>
          <w:sz w:val="23"/>
          <w:szCs w:val="23"/>
          <w:lang w:val="en-GB"/>
        </w:rPr>
        <w:t xml:space="preserve"> an extensive possibility to approach the Constitutional Court even</w:t>
      </w:r>
      <w:r w:rsidR="007B5507" w:rsidRPr="003E3613">
        <w:rPr>
          <w:rFonts w:ascii="Book Antiqua" w:hAnsi="Book Antiqua"/>
          <w:sz w:val="23"/>
          <w:szCs w:val="23"/>
          <w:lang w:val="en-GB"/>
        </w:rPr>
        <w:t xml:space="preserve">ly, </w:t>
      </w:r>
      <w:r w:rsidR="00642CB6" w:rsidRPr="003E3613">
        <w:rPr>
          <w:rFonts w:ascii="Book Antiqua" w:hAnsi="Book Antiqua"/>
          <w:sz w:val="23"/>
          <w:szCs w:val="23"/>
          <w:lang w:val="en-GB"/>
        </w:rPr>
        <w:t xml:space="preserve">especially under exceptional circumstances. </w:t>
      </w:r>
    </w:p>
    <w:p w14:paraId="0C8BD3D5" w14:textId="77777777" w:rsidR="00507F12" w:rsidRPr="003E3613" w:rsidRDefault="00507F12" w:rsidP="00204696">
      <w:pPr>
        <w:pStyle w:val="Heading2"/>
        <w:keepNext w:val="0"/>
        <w:keepLines w:val="0"/>
        <w:spacing w:before="0"/>
        <w:rPr>
          <w:rFonts w:ascii="Book Antiqua" w:hAnsi="Book Antiqua"/>
          <w:sz w:val="23"/>
          <w:szCs w:val="23"/>
          <w:lang w:val="en-GB"/>
        </w:rPr>
      </w:pPr>
    </w:p>
    <w:p w14:paraId="6B4A3E49" w14:textId="77777777" w:rsidR="00FB417C" w:rsidRPr="003E3613" w:rsidRDefault="00FB417C" w:rsidP="00204696">
      <w:pPr>
        <w:spacing w:after="0"/>
        <w:jc w:val="both"/>
        <w:rPr>
          <w:rFonts w:ascii="Book Antiqua" w:hAnsi="Book Antiqua"/>
          <w:sz w:val="23"/>
          <w:szCs w:val="23"/>
          <w:lang w:val="en-GB"/>
        </w:rPr>
      </w:pPr>
      <w:r w:rsidRPr="003E3613">
        <w:rPr>
          <w:rFonts w:ascii="Book Antiqua" w:hAnsi="Book Antiqua"/>
          <w:sz w:val="23"/>
          <w:szCs w:val="23"/>
          <w:lang w:val="en-GB"/>
        </w:rPr>
        <w:t>The rules on the composition of the Constitutional Court (election based on</w:t>
      </w:r>
      <w:r w:rsidR="004D24EA" w:rsidRPr="003E3613">
        <w:rPr>
          <w:rFonts w:ascii="Book Antiqua" w:hAnsi="Book Antiqua"/>
          <w:sz w:val="23"/>
          <w:szCs w:val="23"/>
          <w:lang w:val="en-GB"/>
        </w:rPr>
        <w:t xml:space="preserve"> 2/3</w:t>
      </w:r>
      <w:r w:rsidRPr="003E3613">
        <w:rPr>
          <w:rFonts w:ascii="Book Antiqua" w:hAnsi="Book Antiqua"/>
          <w:sz w:val="23"/>
          <w:szCs w:val="23"/>
          <w:lang w:val="en-GB"/>
        </w:rPr>
        <w:t xml:space="preserve"> majority</w:t>
      </w:r>
      <w:r w:rsidR="004D24EA" w:rsidRPr="003E3613">
        <w:rPr>
          <w:rFonts w:ascii="Book Antiqua" w:hAnsi="Book Antiqua"/>
          <w:sz w:val="23"/>
          <w:szCs w:val="23"/>
          <w:lang w:val="en-GB"/>
        </w:rPr>
        <w:t xml:space="preserve"> of MPs</w:t>
      </w:r>
      <w:r w:rsidRPr="003E3613">
        <w:rPr>
          <w:rFonts w:ascii="Book Antiqua" w:hAnsi="Book Antiqua"/>
          <w:sz w:val="23"/>
          <w:szCs w:val="23"/>
          <w:lang w:val="en-GB"/>
        </w:rPr>
        <w:t xml:space="preserve"> and high level professional requirements) are high level guarantees of the independence of judges, </w:t>
      </w:r>
      <w:r w:rsidR="00642CB6" w:rsidRPr="003E3613">
        <w:rPr>
          <w:rFonts w:ascii="Book Antiqua" w:hAnsi="Book Antiqua"/>
          <w:sz w:val="23"/>
          <w:szCs w:val="23"/>
          <w:lang w:val="en-GB"/>
        </w:rPr>
        <w:t xml:space="preserve">and so is </w:t>
      </w:r>
      <w:r w:rsidRPr="003E3613">
        <w:rPr>
          <w:rFonts w:ascii="Book Antiqua" w:hAnsi="Book Antiqua"/>
          <w:sz w:val="23"/>
          <w:szCs w:val="23"/>
          <w:lang w:val="en-GB"/>
        </w:rPr>
        <w:t xml:space="preserve">the length of </w:t>
      </w:r>
      <w:r w:rsidR="00642CB6" w:rsidRPr="003E3613">
        <w:rPr>
          <w:rFonts w:ascii="Book Antiqua" w:hAnsi="Book Antiqua"/>
          <w:sz w:val="23"/>
          <w:szCs w:val="23"/>
          <w:lang w:val="en-GB"/>
        </w:rPr>
        <w:t>term of office</w:t>
      </w:r>
      <w:r w:rsidR="007B5507" w:rsidRPr="003E3613">
        <w:rPr>
          <w:rFonts w:ascii="Book Antiqua" w:hAnsi="Book Antiqua"/>
          <w:sz w:val="23"/>
          <w:szCs w:val="23"/>
          <w:lang w:val="en-GB"/>
        </w:rPr>
        <w:t xml:space="preserve">, which </w:t>
      </w:r>
      <w:r w:rsidR="00642CB6" w:rsidRPr="003E3613">
        <w:rPr>
          <w:rFonts w:ascii="Book Antiqua" w:hAnsi="Book Antiqua"/>
          <w:sz w:val="23"/>
          <w:szCs w:val="23"/>
          <w:lang w:val="en-GB"/>
        </w:rPr>
        <w:t>is currently</w:t>
      </w:r>
      <w:r w:rsidRPr="003E3613">
        <w:rPr>
          <w:rFonts w:ascii="Book Antiqua" w:hAnsi="Book Antiqua"/>
          <w:sz w:val="23"/>
          <w:szCs w:val="23"/>
          <w:lang w:val="en-GB"/>
        </w:rPr>
        <w:t xml:space="preserve"> 12 years</w:t>
      </w:r>
      <w:r w:rsidR="00642CB6" w:rsidRPr="003E3613">
        <w:rPr>
          <w:rFonts w:ascii="Book Antiqua" w:hAnsi="Book Antiqua"/>
          <w:sz w:val="23"/>
          <w:szCs w:val="23"/>
          <w:lang w:val="en-GB"/>
        </w:rPr>
        <w:t>, as well as the rules on</w:t>
      </w:r>
      <w:r w:rsidRPr="003E3613">
        <w:rPr>
          <w:rFonts w:ascii="Book Antiqua" w:hAnsi="Book Antiqua"/>
          <w:sz w:val="23"/>
          <w:szCs w:val="23"/>
          <w:lang w:val="en-GB"/>
        </w:rPr>
        <w:t xml:space="preserve"> the ex</w:t>
      </w:r>
      <w:r w:rsidR="000B6ED1" w:rsidRPr="003E3613">
        <w:rPr>
          <w:rFonts w:ascii="Book Antiqua" w:hAnsi="Book Antiqua"/>
          <w:sz w:val="23"/>
          <w:szCs w:val="23"/>
          <w:lang w:val="en-GB"/>
        </w:rPr>
        <w:t xml:space="preserve">clusion of their </w:t>
      </w:r>
      <w:r w:rsidR="00642CB6" w:rsidRPr="003E3613">
        <w:rPr>
          <w:rFonts w:ascii="Book Antiqua" w:hAnsi="Book Antiqua"/>
          <w:sz w:val="23"/>
          <w:szCs w:val="23"/>
          <w:lang w:val="en-GB"/>
        </w:rPr>
        <w:t>re-election</w:t>
      </w:r>
      <w:r w:rsidR="000B6ED1" w:rsidRPr="003E3613">
        <w:rPr>
          <w:rFonts w:ascii="Book Antiqua" w:hAnsi="Book Antiqua"/>
          <w:sz w:val="23"/>
          <w:szCs w:val="23"/>
          <w:lang w:val="en-GB"/>
        </w:rPr>
        <w:t>.</w:t>
      </w:r>
    </w:p>
    <w:p w14:paraId="1A44614C" w14:textId="77777777" w:rsidR="00112A0E" w:rsidRPr="003E3613" w:rsidRDefault="00112A0E" w:rsidP="00204696">
      <w:pPr>
        <w:spacing w:after="0"/>
        <w:jc w:val="both"/>
        <w:rPr>
          <w:rFonts w:ascii="Book Antiqua" w:hAnsi="Book Antiqua"/>
          <w:sz w:val="23"/>
          <w:szCs w:val="23"/>
          <w:lang w:val="en-GB"/>
        </w:rPr>
      </w:pPr>
    </w:p>
    <w:p w14:paraId="4C554DF1" w14:textId="77777777" w:rsidR="00112A0E" w:rsidRPr="003E3613" w:rsidRDefault="00112A0E"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It stems from the above that the </w:t>
      </w:r>
      <w:r w:rsidR="00A61DDC" w:rsidRPr="003E3613">
        <w:rPr>
          <w:rFonts w:ascii="Book Antiqua" w:hAnsi="Book Antiqua"/>
          <w:sz w:val="23"/>
          <w:szCs w:val="23"/>
          <w:lang w:val="en-GB"/>
        </w:rPr>
        <w:t xml:space="preserve">role of the </w:t>
      </w:r>
      <w:r w:rsidR="00522CE5" w:rsidRPr="003E3613">
        <w:rPr>
          <w:rFonts w:ascii="Book Antiqua" w:hAnsi="Book Antiqua"/>
          <w:sz w:val="23"/>
          <w:szCs w:val="23"/>
          <w:lang w:val="en-GB"/>
        </w:rPr>
        <w:t>Constitutional</w:t>
      </w:r>
      <w:r w:rsidR="00A61DDC" w:rsidRPr="003E3613">
        <w:rPr>
          <w:rFonts w:ascii="Book Antiqua" w:hAnsi="Book Antiqua"/>
          <w:sz w:val="23"/>
          <w:szCs w:val="23"/>
          <w:lang w:val="en-GB"/>
        </w:rPr>
        <w:t xml:space="preserve"> Court </w:t>
      </w:r>
      <w:r w:rsidR="007B5507" w:rsidRPr="003E3613">
        <w:rPr>
          <w:rFonts w:ascii="Book Antiqua" w:hAnsi="Book Antiqua"/>
          <w:sz w:val="23"/>
          <w:szCs w:val="23"/>
          <w:lang w:val="en-GB"/>
        </w:rPr>
        <w:t xml:space="preserve">as far as the </w:t>
      </w:r>
      <w:r w:rsidR="00642CB6" w:rsidRPr="003E3613">
        <w:rPr>
          <w:rFonts w:ascii="Book Antiqua" w:hAnsi="Book Antiqua"/>
          <w:sz w:val="23"/>
          <w:szCs w:val="23"/>
          <w:lang w:val="en-GB"/>
        </w:rPr>
        <w:t xml:space="preserve">system of checks and balances </w:t>
      </w:r>
      <w:r w:rsidR="007B5507" w:rsidRPr="003E3613">
        <w:rPr>
          <w:rFonts w:ascii="Book Antiqua" w:hAnsi="Book Antiqua"/>
          <w:sz w:val="23"/>
          <w:szCs w:val="23"/>
          <w:lang w:val="en-GB"/>
        </w:rPr>
        <w:t xml:space="preserve">is concerned, </w:t>
      </w:r>
      <w:r w:rsidR="00A61DDC" w:rsidRPr="003E3613">
        <w:rPr>
          <w:rFonts w:ascii="Book Antiqua" w:hAnsi="Book Antiqua"/>
          <w:sz w:val="23"/>
          <w:szCs w:val="23"/>
          <w:lang w:val="en-GB"/>
        </w:rPr>
        <w:t>has not changed</w:t>
      </w:r>
      <w:r w:rsidR="00C801AE" w:rsidRPr="003E3613">
        <w:rPr>
          <w:rFonts w:ascii="Book Antiqua" w:hAnsi="Book Antiqua"/>
          <w:sz w:val="23"/>
          <w:szCs w:val="23"/>
          <w:lang w:val="en-GB"/>
        </w:rPr>
        <w:t xml:space="preserve"> with the reform</w:t>
      </w:r>
      <w:r w:rsidR="00317F32" w:rsidRPr="003E3613">
        <w:rPr>
          <w:rFonts w:ascii="Book Antiqua" w:hAnsi="Book Antiqua"/>
          <w:sz w:val="23"/>
          <w:szCs w:val="23"/>
          <w:lang w:val="en-GB"/>
        </w:rPr>
        <w:t xml:space="preserve">. </w:t>
      </w:r>
    </w:p>
    <w:p w14:paraId="7F9BEC44" w14:textId="77777777" w:rsidR="00FB417C" w:rsidRPr="003E3613" w:rsidRDefault="00FB417C" w:rsidP="00204696">
      <w:pPr>
        <w:spacing w:after="0"/>
        <w:jc w:val="both"/>
        <w:rPr>
          <w:rFonts w:ascii="Book Antiqua" w:hAnsi="Book Antiqua"/>
          <w:sz w:val="23"/>
          <w:szCs w:val="23"/>
          <w:lang w:val="en-GB"/>
        </w:rPr>
      </w:pPr>
    </w:p>
    <w:p w14:paraId="1BC3E51E" w14:textId="77777777" w:rsidR="00507F12" w:rsidRPr="003E3613" w:rsidRDefault="00FB417C" w:rsidP="00204696">
      <w:pPr>
        <w:pStyle w:val="Heading2"/>
        <w:keepNext w:val="0"/>
        <w:keepLines w:val="0"/>
        <w:spacing w:before="0"/>
        <w:rPr>
          <w:rFonts w:ascii="Book Antiqua" w:hAnsi="Book Antiqua"/>
          <w:color w:val="auto"/>
          <w:sz w:val="23"/>
          <w:szCs w:val="23"/>
          <w:lang w:val="en-GB"/>
        </w:rPr>
      </w:pPr>
      <w:bookmarkStart w:id="6" w:name="_Toc19120767"/>
      <w:r w:rsidRPr="003E3613">
        <w:rPr>
          <w:rFonts w:ascii="Book Antiqua" w:hAnsi="Book Antiqua"/>
          <w:color w:val="auto"/>
          <w:sz w:val="23"/>
          <w:szCs w:val="23"/>
          <w:lang w:val="en-GB"/>
        </w:rPr>
        <w:t>D</w:t>
      </w:r>
      <w:r w:rsidR="00507F12" w:rsidRPr="003E3613">
        <w:rPr>
          <w:rFonts w:ascii="Book Antiqua" w:hAnsi="Book Antiqua"/>
          <w:color w:val="auto"/>
          <w:sz w:val="23"/>
          <w:szCs w:val="23"/>
          <w:lang w:val="en-GB"/>
        </w:rPr>
        <w:t>elineation of single-member constituencies</w:t>
      </w:r>
      <w:bookmarkEnd w:id="6"/>
    </w:p>
    <w:p w14:paraId="45395F7A" w14:textId="77777777" w:rsidR="00507F12" w:rsidRPr="003E3613" w:rsidRDefault="00507F12" w:rsidP="00204696">
      <w:pPr>
        <w:spacing w:after="0"/>
        <w:jc w:val="both"/>
        <w:rPr>
          <w:rFonts w:ascii="Book Antiqua" w:hAnsi="Book Antiqua"/>
          <w:i/>
          <w:sz w:val="23"/>
          <w:szCs w:val="23"/>
          <w:lang w:val="en-GB"/>
        </w:rPr>
      </w:pPr>
    </w:p>
    <w:p w14:paraId="4510B246" w14:textId="77777777" w:rsidR="007B52E2" w:rsidRPr="003E3613" w:rsidRDefault="007B52E2" w:rsidP="00204696">
      <w:pPr>
        <w:spacing w:after="0"/>
        <w:jc w:val="both"/>
        <w:rPr>
          <w:rFonts w:ascii="Book Antiqua" w:hAnsi="Book Antiqua"/>
          <w:i/>
          <w:sz w:val="23"/>
          <w:szCs w:val="23"/>
          <w:lang w:val="en-GB"/>
        </w:rPr>
      </w:pPr>
      <w:r w:rsidRPr="003E3613">
        <w:rPr>
          <w:rFonts w:ascii="Book Antiqua" w:hAnsi="Book Antiqua"/>
          <w:i/>
          <w:sz w:val="23"/>
          <w:szCs w:val="23"/>
          <w:lang w:val="en-GB"/>
        </w:rPr>
        <w:t>(10)</w:t>
      </w:r>
      <w:r w:rsidRPr="003E3613">
        <w:rPr>
          <w:rFonts w:ascii="Book Antiqua" w:hAnsi="Book Antiqua"/>
          <w:i/>
          <w:sz w:val="23"/>
          <w:szCs w:val="23"/>
          <w:lang w:val="en-GB"/>
        </w:rPr>
        <w:tab/>
        <w:t xml:space="preserve">In its report, adopted on 27 June 2018, the limited election observation mission of the OSCE Office for Democratic Institutions and Human Rights stated that the technical administration of the elections was professional and transparent, fundamental rights and freedoms were respected overall, but exercised in an adverse climate. The election administration fulfilled its mandate in a professional and transparent manner, enjoyed overall confidence among stakeholders and was generally perceived as impartial. The campaign was animated but hostile and intimidating campaign rhetoric limited space for substantive debate and diminished voters’ ability to make an informed choice. Public campaign funding and expenditure ceilings aimed at securing equal opportunities for all candidates. However, the ability </w:t>
      </w:r>
      <w:r w:rsidRPr="003E3613">
        <w:rPr>
          <w:rFonts w:ascii="Book Antiqua" w:hAnsi="Book Antiqua"/>
          <w:i/>
          <w:sz w:val="23"/>
          <w:szCs w:val="23"/>
          <w:lang w:val="en-GB"/>
        </w:rPr>
        <w:lastRenderedPageBreak/>
        <w:t>of contestants to compete on an equal basis was significantly compromised by the government’s excessive spending on public information advertisements that amplified the ruling coalition’s campaign message. With no reporting requirements until after the elections, voters were effectively deprived of information on campaign financing, key to making an informed choice. It also expressed concerns about the delineation of single-member constituencies. Similar concerns were expressed in the Joint Opinion of 18 June 2012 on the Act on the Elections of Members of Parliament of Hungary adopted by the Venice Commission and the Council for Democratic Elections, in which it was mentioned that the delimitation of constituencies has to be done in a transparent and professional manner through an impartial and non-partisan process, i.e. avoiding short-term political objectives (gerrymandering).</w:t>
      </w:r>
      <w:r w:rsidR="00554D9C" w:rsidRPr="003E3613">
        <w:rPr>
          <w:rFonts w:ascii="Book Antiqua" w:hAnsi="Book Antiqua"/>
          <w:i/>
          <w:sz w:val="23"/>
          <w:szCs w:val="23"/>
          <w:lang w:val="en-GB"/>
        </w:rPr>
        <w:t xml:space="preserve"> </w:t>
      </w:r>
    </w:p>
    <w:p w14:paraId="2C93F0F0" w14:textId="77777777" w:rsidR="00F04CB9" w:rsidRPr="003E3613" w:rsidRDefault="00F04CB9" w:rsidP="00204696">
      <w:pPr>
        <w:spacing w:after="0"/>
        <w:jc w:val="both"/>
        <w:rPr>
          <w:rFonts w:ascii="Book Antiqua" w:hAnsi="Book Antiqua"/>
          <w:i/>
          <w:sz w:val="23"/>
          <w:szCs w:val="23"/>
          <w:lang w:val="en-GB"/>
        </w:rPr>
      </w:pPr>
    </w:p>
    <w:p w14:paraId="428EE1EE" w14:textId="77777777" w:rsidR="00EF7D4D" w:rsidRPr="003E3613" w:rsidRDefault="00470259" w:rsidP="00204696">
      <w:pPr>
        <w:spacing w:after="0"/>
        <w:jc w:val="both"/>
        <w:rPr>
          <w:rFonts w:ascii="Book Antiqua" w:hAnsi="Book Antiqua"/>
          <w:sz w:val="23"/>
          <w:szCs w:val="23"/>
          <w:lang w:val="en-GB"/>
        </w:rPr>
      </w:pPr>
      <w:r w:rsidRPr="003E3613">
        <w:rPr>
          <w:rFonts w:ascii="Book Antiqua" w:hAnsi="Book Antiqua"/>
          <w:sz w:val="23"/>
          <w:szCs w:val="23"/>
          <w:lang w:val="en-GB"/>
        </w:rPr>
        <w:t>The criticism on the delineation of single-member constituencies is unfounded and lacks the knowledge about the Hungarian election system. Hungary has a mixed electoral system which combines the benefits of non-proportional and proportional systems, providing a balanced and proportional electoral system. Hungary’s electoral system is more proportional than some other EU Member States that have non-proportional electoral systems.</w:t>
      </w:r>
    </w:p>
    <w:p w14:paraId="7E7E50E2" w14:textId="77777777" w:rsidR="00EF7D4D" w:rsidRPr="003E3613" w:rsidRDefault="00EF7D4D" w:rsidP="00204696">
      <w:pPr>
        <w:spacing w:after="0"/>
        <w:jc w:val="both"/>
        <w:rPr>
          <w:rFonts w:ascii="Book Antiqua" w:hAnsi="Book Antiqua"/>
          <w:sz w:val="23"/>
          <w:szCs w:val="23"/>
          <w:lang w:val="en-GB"/>
        </w:rPr>
      </w:pPr>
    </w:p>
    <w:p w14:paraId="4EF1DDBF" w14:textId="77777777" w:rsidR="00B93EB7" w:rsidRPr="003E3613" w:rsidRDefault="00B93EB7" w:rsidP="00204696">
      <w:pPr>
        <w:spacing w:after="0"/>
        <w:jc w:val="both"/>
        <w:rPr>
          <w:rFonts w:ascii="Book Antiqua" w:hAnsi="Book Antiqua"/>
          <w:bCs/>
          <w:sz w:val="23"/>
          <w:szCs w:val="23"/>
          <w:lang w:val="en-GB"/>
        </w:rPr>
      </w:pPr>
      <w:r w:rsidRPr="003E3613">
        <w:rPr>
          <w:rFonts w:ascii="Book Antiqua" w:hAnsi="Book Antiqua"/>
          <w:sz w:val="23"/>
          <w:szCs w:val="23"/>
          <w:lang w:val="en-GB"/>
        </w:rPr>
        <w:t xml:space="preserve">The new legislation on the </w:t>
      </w:r>
      <w:r w:rsidR="00522CE5" w:rsidRPr="003E3613">
        <w:rPr>
          <w:rFonts w:ascii="Book Antiqua" w:hAnsi="Book Antiqua"/>
          <w:sz w:val="23"/>
          <w:szCs w:val="23"/>
          <w:lang w:val="en-GB"/>
        </w:rPr>
        <w:t>electoral</w:t>
      </w:r>
      <w:r w:rsidRPr="003E3613">
        <w:rPr>
          <w:rFonts w:ascii="Book Antiqua" w:hAnsi="Book Antiqua"/>
          <w:sz w:val="23"/>
          <w:szCs w:val="23"/>
          <w:lang w:val="en-GB"/>
        </w:rPr>
        <w:t xml:space="preserve"> districts was </w:t>
      </w:r>
      <w:r w:rsidR="0045792E" w:rsidRPr="003E3613">
        <w:rPr>
          <w:rFonts w:ascii="Book Antiqua" w:hAnsi="Book Antiqua"/>
          <w:sz w:val="23"/>
          <w:szCs w:val="23"/>
          <w:lang w:val="en-GB"/>
        </w:rPr>
        <w:t xml:space="preserve">adopted </w:t>
      </w:r>
      <w:r w:rsidRPr="003E3613">
        <w:rPr>
          <w:rFonts w:ascii="Book Antiqua" w:hAnsi="Book Antiqua"/>
          <w:sz w:val="23"/>
          <w:szCs w:val="23"/>
          <w:lang w:val="en-GB"/>
        </w:rPr>
        <w:t>in April 2013.</w:t>
      </w:r>
      <w:r w:rsidRPr="003E3613">
        <w:rPr>
          <w:rStyle w:val="FootnoteReference"/>
          <w:rFonts w:ascii="Book Antiqua" w:hAnsi="Book Antiqua"/>
          <w:sz w:val="23"/>
          <w:szCs w:val="23"/>
          <w:lang w:val="en-GB"/>
        </w:rPr>
        <w:footnoteReference w:id="4"/>
      </w:r>
      <w:r w:rsidRPr="003E3613">
        <w:rPr>
          <w:rFonts w:ascii="Book Antiqua" w:hAnsi="Book Antiqua"/>
          <w:sz w:val="23"/>
          <w:szCs w:val="23"/>
          <w:lang w:val="en-GB"/>
        </w:rPr>
        <w:t xml:space="preserve"> The new regulation on the single </w:t>
      </w:r>
      <w:r w:rsidR="00522CE5" w:rsidRPr="003E3613">
        <w:rPr>
          <w:rFonts w:ascii="Book Antiqua" w:hAnsi="Book Antiqua"/>
          <w:sz w:val="23"/>
          <w:szCs w:val="23"/>
          <w:lang w:val="en-GB"/>
        </w:rPr>
        <w:t>constituencies</w:t>
      </w:r>
      <w:r w:rsidRPr="003E3613">
        <w:rPr>
          <w:rFonts w:ascii="Book Antiqua" w:hAnsi="Book Antiqua"/>
          <w:sz w:val="23"/>
          <w:szCs w:val="23"/>
          <w:lang w:val="en-GB"/>
        </w:rPr>
        <w:t xml:space="preserve"> was meant to reduce the number of the members of the Hungarian Parliament and to establish a more proportionate </w:t>
      </w:r>
      <w:r w:rsidR="00522CE5" w:rsidRPr="003E3613">
        <w:rPr>
          <w:rFonts w:ascii="Book Antiqua" w:hAnsi="Book Antiqua"/>
          <w:sz w:val="23"/>
          <w:szCs w:val="23"/>
          <w:lang w:val="en-GB"/>
        </w:rPr>
        <w:t>electoral</w:t>
      </w:r>
      <w:r w:rsidRPr="003E3613">
        <w:rPr>
          <w:rFonts w:ascii="Book Antiqua" w:hAnsi="Book Antiqua"/>
          <w:sz w:val="23"/>
          <w:szCs w:val="23"/>
          <w:lang w:val="en-GB"/>
        </w:rPr>
        <w:t xml:space="preserve"> system which had showed </w:t>
      </w:r>
      <w:r w:rsidRPr="003E3613">
        <w:rPr>
          <w:rFonts w:ascii="Book Antiqua" w:hAnsi="Book Antiqua"/>
          <w:bCs/>
          <w:sz w:val="23"/>
          <w:szCs w:val="23"/>
          <w:lang w:val="en-GB"/>
        </w:rPr>
        <w:t xml:space="preserve">300% disproportionalities at certain territories. The rule </w:t>
      </w:r>
      <w:r w:rsidR="00EF7D4D" w:rsidRPr="003E3613">
        <w:rPr>
          <w:rFonts w:ascii="Book Antiqua" w:hAnsi="Book Antiqua"/>
          <w:bCs/>
          <w:sz w:val="23"/>
          <w:szCs w:val="23"/>
          <w:lang w:val="en-GB"/>
        </w:rPr>
        <w:t xml:space="preserve">which states </w:t>
      </w:r>
      <w:r w:rsidRPr="003E3613">
        <w:rPr>
          <w:rFonts w:ascii="Book Antiqua" w:hAnsi="Book Antiqua"/>
          <w:bCs/>
          <w:sz w:val="23"/>
          <w:szCs w:val="23"/>
          <w:lang w:val="en-GB"/>
        </w:rPr>
        <w:t>that the electoral districts cannot cross county borders and the borders of Budapest, and that they must form a block territory remained unchanged under the current legislation.</w:t>
      </w:r>
    </w:p>
    <w:p w14:paraId="2FD4B4BD" w14:textId="77777777" w:rsidR="00470259" w:rsidRPr="003E3613" w:rsidRDefault="00470259" w:rsidP="00204696">
      <w:pPr>
        <w:spacing w:after="0"/>
        <w:jc w:val="both"/>
        <w:rPr>
          <w:rFonts w:ascii="Book Antiqua" w:hAnsi="Book Antiqua"/>
          <w:sz w:val="23"/>
          <w:szCs w:val="23"/>
          <w:lang w:val="en-GB"/>
        </w:rPr>
      </w:pPr>
    </w:p>
    <w:p w14:paraId="0E269406" w14:textId="77777777" w:rsidR="00470259" w:rsidRPr="003E3613" w:rsidRDefault="00FB417C"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In this context </w:t>
      </w:r>
      <w:r w:rsidR="00BE7F86" w:rsidRPr="003E3613">
        <w:rPr>
          <w:rFonts w:ascii="Book Antiqua" w:hAnsi="Book Antiqua"/>
          <w:sz w:val="23"/>
          <w:szCs w:val="23"/>
          <w:lang w:val="en-GB"/>
        </w:rPr>
        <w:t xml:space="preserve">it </w:t>
      </w:r>
      <w:r w:rsidRPr="003E3613">
        <w:rPr>
          <w:rFonts w:ascii="Book Antiqua" w:hAnsi="Book Antiqua"/>
          <w:sz w:val="23"/>
          <w:szCs w:val="23"/>
          <w:lang w:val="en-GB"/>
        </w:rPr>
        <w:t xml:space="preserve">must </w:t>
      </w:r>
      <w:r w:rsidR="00BE7F86" w:rsidRPr="003E3613">
        <w:rPr>
          <w:rFonts w:ascii="Book Antiqua" w:hAnsi="Book Antiqua"/>
          <w:sz w:val="23"/>
          <w:szCs w:val="23"/>
          <w:lang w:val="en-GB"/>
        </w:rPr>
        <w:t xml:space="preserve">be </w:t>
      </w:r>
      <w:r w:rsidRPr="003E3613">
        <w:rPr>
          <w:rFonts w:ascii="Book Antiqua" w:hAnsi="Book Antiqua"/>
          <w:sz w:val="23"/>
          <w:szCs w:val="23"/>
          <w:lang w:val="en-GB"/>
        </w:rPr>
        <w:t>emphasize</w:t>
      </w:r>
      <w:r w:rsidR="00BE7F86" w:rsidRPr="003E3613">
        <w:rPr>
          <w:rFonts w:ascii="Book Antiqua" w:hAnsi="Book Antiqua"/>
          <w:sz w:val="23"/>
          <w:szCs w:val="23"/>
          <w:lang w:val="en-GB"/>
        </w:rPr>
        <w:t>d that</w:t>
      </w:r>
      <w:r w:rsidRPr="003E3613">
        <w:rPr>
          <w:rFonts w:ascii="Book Antiqua" w:hAnsi="Book Antiqua"/>
          <w:sz w:val="23"/>
          <w:szCs w:val="23"/>
          <w:lang w:val="en-GB"/>
        </w:rPr>
        <w:t xml:space="preserve"> </w:t>
      </w:r>
      <w:r w:rsidR="00D14D84" w:rsidRPr="003E3613">
        <w:rPr>
          <w:rFonts w:ascii="Book Antiqua" w:hAnsi="Book Antiqua"/>
          <w:sz w:val="23"/>
          <w:szCs w:val="23"/>
          <w:lang w:val="en-GB"/>
        </w:rPr>
        <w:t>D</w:t>
      </w:r>
      <w:r w:rsidRPr="003E3613">
        <w:rPr>
          <w:rFonts w:ascii="Book Antiqua" w:hAnsi="Book Antiqua"/>
          <w:sz w:val="23"/>
          <w:szCs w:val="23"/>
          <w:lang w:val="en-GB"/>
        </w:rPr>
        <w:t xml:space="preserve">ecision </w:t>
      </w:r>
      <w:r w:rsidR="008B4AEF" w:rsidRPr="003E3613">
        <w:rPr>
          <w:rFonts w:ascii="Book Antiqua" w:hAnsi="Book Antiqua"/>
          <w:sz w:val="23"/>
          <w:szCs w:val="23"/>
          <w:lang w:val="en-GB"/>
        </w:rPr>
        <w:t xml:space="preserve">No. </w:t>
      </w:r>
      <w:r w:rsidR="00D14D84" w:rsidRPr="003E3613">
        <w:rPr>
          <w:rFonts w:ascii="Book Antiqua" w:hAnsi="Book Antiqua"/>
          <w:sz w:val="23"/>
          <w:szCs w:val="23"/>
          <w:lang w:val="en-GB"/>
        </w:rPr>
        <w:t xml:space="preserve">193/2010 (XII. 8.) </w:t>
      </w:r>
      <w:r w:rsidRPr="003E3613">
        <w:rPr>
          <w:rFonts w:ascii="Book Antiqua" w:hAnsi="Book Antiqua"/>
          <w:sz w:val="23"/>
          <w:szCs w:val="23"/>
          <w:lang w:val="en-GB"/>
        </w:rPr>
        <w:t>of the Constitutional Court</w:t>
      </w:r>
      <w:r w:rsidR="00D14D84" w:rsidRPr="003E3613">
        <w:rPr>
          <w:rStyle w:val="FootnoteReference"/>
          <w:rFonts w:ascii="Book Antiqua" w:hAnsi="Book Antiqua"/>
          <w:sz w:val="23"/>
          <w:szCs w:val="23"/>
          <w:lang w:val="en-GB"/>
        </w:rPr>
        <w:footnoteReference w:id="5"/>
      </w:r>
      <w:r w:rsidRPr="003E3613">
        <w:rPr>
          <w:rFonts w:ascii="Book Antiqua" w:hAnsi="Book Antiqua"/>
          <w:sz w:val="23"/>
          <w:szCs w:val="23"/>
          <w:lang w:val="en-GB"/>
        </w:rPr>
        <w:t xml:space="preserve"> annulled the previous legislation on the establishment of electoral districts, both individual and territorial. </w:t>
      </w:r>
      <w:r w:rsidR="00916F3B" w:rsidRPr="003E3613">
        <w:rPr>
          <w:rFonts w:ascii="Book Antiqua" w:hAnsi="Book Antiqua"/>
          <w:sz w:val="23"/>
          <w:szCs w:val="23"/>
          <w:lang w:val="en-GB"/>
        </w:rPr>
        <w:t xml:space="preserve">Joint Opinion </w:t>
      </w:r>
      <w:r w:rsidR="0058533C" w:rsidRPr="003E3613">
        <w:rPr>
          <w:rFonts w:ascii="Book Antiqua" w:hAnsi="Book Antiqua"/>
          <w:sz w:val="23"/>
          <w:szCs w:val="23"/>
          <w:lang w:val="en-GB"/>
        </w:rPr>
        <w:t xml:space="preserve">No. 662/2012 </w:t>
      </w:r>
      <w:r w:rsidR="00916F3B" w:rsidRPr="003E3613">
        <w:rPr>
          <w:rFonts w:ascii="Book Antiqua" w:hAnsi="Book Antiqua"/>
          <w:sz w:val="23"/>
          <w:szCs w:val="23"/>
          <w:lang w:val="en-GB"/>
        </w:rPr>
        <w:t xml:space="preserve">of 18 June 2012 on the Act on the Elections of Members of Parliament of Hungary adopted by the Venice Commission and the Council for Democratic Elections also identified it as a positive element. </w:t>
      </w:r>
      <w:r w:rsidRPr="003E3613">
        <w:rPr>
          <w:rFonts w:ascii="Book Antiqua" w:hAnsi="Book Antiqua"/>
          <w:sz w:val="23"/>
          <w:szCs w:val="23"/>
          <w:lang w:val="en-GB"/>
        </w:rPr>
        <w:t xml:space="preserve">The Decision of the </w:t>
      </w:r>
      <w:r w:rsidR="00BC7A6E" w:rsidRPr="003E3613">
        <w:rPr>
          <w:rFonts w:ascii="Book Antiqua" w:hAnsi="Book Antiqua"/>
          <w:sz w:val="23"/>
          <w:szCs w:val="23"/>
          <w:lang w:val="en-GB"/>
        </w:rPr>
        <w:t xml:space="preserve">Parliamentary </w:t>
      </w:r>
      <w:r w:rsidRPr="003E3613">
        <w:rPr>
          <w:rFonts w:ascii="Book Antiqua" w:hAnsi="Book Antiqua"/>
          <w:sz w:val="23"/>
          <w:szCs w:val="23"/>
          <w:lang w:val="en-GB"/>
        </w:rPr>
        <w:t>Assembly of the Council of Europe acknowledged that by this legislative amendment Hungary complied with the recommendations of the Venice Commission.</w:t>
      </w:r>
      <w:r w:rsidR="002E7D2C" w:rsidRPr="003E3613">
        <w:rPr>
          <w:rFonts w:ascii="Book Antiqua" w:hAnsi="Book Antiqua"/>
          <w:sz w:val="23"/>
          <w:szCs w:val="23"/>
          <w:lang w:val="en-GB"/>
        </w:rPr>
        <w:t xml:space="preserve"> </w:t>
      </w:r>
    </w:p>
    <w:p w14:paraId="79096A17" w14:textId="77777777" w:rsidR="00FB417C" w:rsidRPr="003E3613" w:rsidRDefault="00FB417C" w:rsidP="00204696">
      <w:pPr>
        <w:spacing w:after="0"/>
        <w:jc w:val="both"/>
        <w:rPr>
          <w:rFonts w:ascii="Book Antiqua" w:hAnsi="Book Antiqua"/>
          <w:sz w:val="23"/>
          <w:szCs w:val="23"/>
          <w:lang w:val="en-GB"/>
        </w:rPr>
      </w:pPr>
    </w:p>
    <w:p w14:paraId="7937F23B" w14:textId="77777777" w:rsidR="00E47987" w:rsidRPr="003E3613" w:rsidRDefault="00B93EB7" w:rsidP="00204696">
      <w:pPr>
        <w:spacing w:after="0"/>
        <w:jc w:val="both"/>
        <w:rPr>
          <w:rFonts w:ascii="Book Antiqua" w:hAnsi="Book Antiqua"/>
          <w:sz w:val="23"/>
          <w:szCs w:val="23"/>
          <w:lang w:val="en-GB"/>
        </w:rPr>
      </w:pPr>
      <w:r w:rsidRPr="003E3613">
        <w:rPr>
          <w:rFonts w:ascii="Book Antiqua" w:hAnsi="Book Antiqua"/>
          <w:sz w:val="23"/>
          <w:szCs w:val="23"/>
          <w:lang w:val="en-GB"/>
        </w:rPr>
        <w:t>The parliamentary elections in Hungary, which took place on 8 April 2018, saw a large surge in voter turnout, one of the largest in Hungarian history since the end of communism.</w:t>
      </w:r>
      <w:r w:rsidR="00E47987" w:rsidRPr="003E3613">
        <w:rPr>
          <w:rFonts w:ascii="Book Antiqua" w:hAnsi="Book Antiqua"/>
          <w:sz w:val="23"/>
          <w:szCs w:val="23"/>
          <w:lang w:val="en-GB"/>
        </w:rPr>
        <w:t xml:space="preserve"> The Report of the Head of the National Election Office states that a total of 8 312 264 citizens have been enrolled as voters. Based on registration as a national minority member, 59 235 citizens could vote for a national minority list. Election turnout was 69.73% calculated on a basis of 5 796 268 voters. This result, on its own, demonstrates the strong legitimacy of the Hungarian Parliament.</w:t>
      </w:r>
      <w:r w:rsidR="00470259" w:rsidRPr="003E3613">
        <w:rPr>
          <w:rFonts w:ascii="Book Antiqua" w:hAnsi="Book Antiqua"/>
          <w:sz w:val="23"/>
          <w:szCs w:val="23"/>
          <w:lang w:val="en-GB"/>
        </w:rPr>
        <w:t xml:space="preserve"> With such a high turnout, it is entirely misleading to state that “voters’ ability to make an informed choice was diminished” as the </w:t>
      </w:r>
      <w:r w:rsidR="004621F5" w:rsidRPr="003E3613">
        <w:rPr>
          <w:rFonts w:ascii="Book Antiqua" w:hAnsi="Book Antiqua"/>
          <w:sz w:val="23"/>
          <w:szCs w:val="23"/>
          <w:lang w:val="en-GB"/>
        </w:rPr>
        <w:t>reasoned proposal claims</w:t>
      </w:r>
      <w:r w:rsidR="00470259" w:rsidRPr="003E3613">
        <w:rPr>
          <w:rFonts w:ascii="Book Antiqua" w:hAnsi="Book Antiqua"/>
          <w:sz w:val="23"/>
          <w:szCs w:val="23"/>
          <w:lang w:val="en-GB"/>
        </w:rPr>
        <w:t>.</w:t>
      </w:r>
    </w:p>
    <w:p w14:paraId="7254C7A1" w14:textId="77777777" w:rsidR="00B93EB7" w:rsidRPr="003E3613" w:rsidRDefault="00B93EB7" w:rsidP="00204696">
      <w:pPr>
        <w:spacing w:after="0"/>
        <w:jc w:val="both"/>
        <w:rPr>
          <w:rFonts w:ascii="Book Antiqua" w:eastAsia="Times New Roman" w:hAnsi="Book Antiqua"/>
          <w:bCs/>
          <w:sz w:val="23"/>
          <w:szCs w:val="23"/>
          <w:lang w:val="en-GB"/>
        </w:rPr>
      </w:pPr>
    </w:p>
    <w:p w14:paraId="397B519E" w14:textId="50982AAB" w:rsidR="00BE42E3" w:rsidRPr="003E3613" w:rsidRDefault="00B93EB7" w:rsidP="00204696">
      <w:pPr>
        <w:spacing w:after="0"/>
        <w:jc w:val="both"/>
        <w:rPr>
          <w:rFonts w:ascii="Book Antiqua" w:hAnsi="Book Antiqua"/>
          <w:sz w:val="23"/>
          <w:szCs w:val="23"/>
          <w:lang w:val="en-GB"/>
        </w:rPr>
      </w:pPr>
      <w:r w:rsidRPr="003E3613">
        <w:rPr>
          <w:rFonts w:ascii="Book Antiqua" w:eastAsia="Times New Roman" w:hAnsi="Book Antiqua"/>
          <w:bCs/>
          <w:sz w:val="23"/>
          <w:szCs w:val="23"/>
          <w:lang w:val="en-GB"/>
        </w:rPr>
        <w:t xml:space="preserve">As far as the reporting requirements </w:t>
      </w:r>
      <w:r w:rsidR="00E47987" w:rsidRPr="003E3613">
        <w:rPr>
          <w:rFonts w:ascii="Book Antiqua" w:eastAsia="Times New Roman" w:hAnsi="Book Antiqua"/>
          <w:bCs/>
          <w:sz w:val="23"/>
          <w:szCs w:val="23"/>
          <w:lang w:val="en-GB"/>
        </w:rPr>
        <w:t xml:space="preserve">on </w:t>
      </w:r>
      <w:r w:rsidR="00522CE5" w:rsidRPr="003E3613">
        <w:rPr>
          <w:rFonts w:ascii="Book Antiqua" w:eastAsia="Times New Roman" w:hAnsi="Book Antiqua"/>
          <w:bCs/>
          <w:sz w:val="23"/>
          <w:szCs w:val="23"/>
          <w:lang w:val="en-GB"/>
        </w:rPr>
        <w:t>campaign</w:t>
      </w:r>
      <w:r w:rsidR="00E47987" w:rsidRPr="003E3613">
        <w:rPr>
          <w:rFonts w:ascii="Book Antiqua" w:eastAsia="Times New Roman" w:hAnsi="Book Antiqua"/>
          <w:bCs/>
          <w:sz w:val="23"/>
          <w:szCs w:val="23"/>
          <w:lang w:val="en-GB"/>
        </w:rPr>
        <w:t xml:space="preserve"> financing </w:t>
      </w:r>
      <w:r w:rsidRPr="003E3613">
        <w:rPr>
          <w:rFonts w:ascii="Book Antiqua" w:eastAsia="Times New Roman" w:hAnsi="Book Antiqua"/>
          <w:bCs/>
          <w:sz w:val="23"/>
          <w:szCs w:val="23"/>
          <w:lang w:val="en-GB"/>
        </w:rPr>
        <w:t>are concerned, the Code of Good Practice in Electoral Matters by the Venice Commission does not make any specific regulatory proposals on the reporting deadline,</w:t>
      </w:r>
      <w:r w:rsidRPr="003E3613">
        <w:rPr>
          <w:rStyle w:val="FootnoteReference"/>
          <w:rFonts w:ascii="Book Antiqua" w:eastAsia="Times New Roman" w:hAnsi="Book Antiqua"/>
          <w:sz w:val="23"/>
          <w:szCs w:val="23"/>
          <w:lang w:val="en-GB"/>
        </w:rPr>
        <w:footnoteReference w:id="6"/>
      </w:r>
      <w:r w:rsidRPr="003E3613">
        <w:rPr>
          <w:rFonts w:ascii="Book Antiqua" w:eastAsia="Times New Roman" w:hAnsi="Book Antiqua"/>
          <w:bCs/>
          <w:sz w:val="23"/>
          <w:szCs w:val="23"/>
          <w:lang w:val="en-GB"/>
        </w:rPr>
        <w:t xml:space="preserve"> whereas t</w:t>
      </w:r>
      <w:r w:rsidR="00D14D84" w:rsidRPr="003E3613">
        <w:rPr>
          <w:rFonts w:ascii="Book Antiqua" w:eastAsia="Times New Roman" w:hAnsi="Book Antiqua"/>
          <w:bCs/>
          <w:sz w:val="23"/>
          <w:szCs w:val="23"/>
          <w:lang w:val="en-GB"/>
        </w:rPr>
        <w:t xml:space="preserve">he Guidelines on Political Party Regulation by </w:t>
      </w:r>
      <w:r w:rsidR="0058533C" w:rsidRPr="003E3613">
        <w:rPr>
          <w:rFonts w:ascii="Book Antiqua" w:eastAsia="Times New Roman" w:hAnsi="Book Antiqua"/>
          <w:bCs/>
          <w:sz w:val="23"/>
          <w:szCs w:val="23"/>
          <w:lang w:val="en-GB"/>
        </w:rPr>
        <w:t xml:space="preserve">the </w:t>
      </w:r>
      <w:r w:rsidR="00D14D84" w:rsidRPr="003E3613">
        <w:rPr>
          <w:rFonts w:ascii="Book Antiqua" w:eastAsia="Times New Roman" w:hAnsi="Book Antiqua"/>
          <w:bCs/>
          <w:sz w:val="23"/>
          <w:szCs w:val="23"/>
          <w:lang w:val="en-GB"/>
        </w:rPr>
        <w:t>OSCE/ODIHR and the Venice Commission recommends reporting within a period of no more than 30 days after the elections</w:t>
      </w:r>
      <w:r w:rsidR="00303326" w:rsidRPr="003E3613">
        <w:rPr>
          <w:rFonts w:ascii="Book Antiqua" w:eastAsia="Times New Roman" w:hAnsi="Book Antiqua"/>
          <w:bCs/>
          <w:sz w:val="23"/>
          <w:szCs w:val="23"/>
          <w:lang w:val="en-GB"/>
        </w:rPr>
        <w:t>. The Hungarian regulations are fully in line with these recommendations</w:t>
      </w:r>
      <w:r w:rsidR="00D14D84" w:rsidRPr="003E3613">
        <w:rPr>
          <w:rFonts w:ascii="Book Antiqua" w:eastAsia="Times New Roman" w:hAnsi="Book Antiqua"/>
          <w:bCs/>
          <w:sz w:val="23"/>
          <w:szCs w:val="23"/>
          <w:lang w:val="en-GB"/>
        </w:rPr>
        <w:t>.</w:t>
      </w:r>
      <w:r w:rsidR="00D14D84" w:rsidRPr="003E3613">
        <w:rPr>
          <w:rStyle w:val="FootnoteReference"/>
          <w:rFonts w:ascii="Book Antiqua" w:eastAsia="Times New Roman" w:hAnsi="Book Antiqua"/>
          <w:sz w:val="23"/>
          <w:szCs w:val="23"/>
          <w:lang w:val="en-GB"/>
        </w:rPr>
        <w:footnoteReference w:id="7"/>
      </w:r>
      <w:r w:rsidR="00CE5082" w:rsidRPr="003E3613">
        <w:rPr>
          <w:rFonts w:ascii="Book Antiqua" w:hAnsi="Book Antiqua"/>
          <w:sz w:val="23"/>
          <w:szCs w:val="23"/>
          <w:lang w:val="en-GB"/>
        </w:rPr>
        <w:t xml:space="preserve"> </w:t>
      </w:r>
    </w:p>
    <w:p w14:paraId="4AF6E40D" w14:textId="77777777" w:rsidR="00507F12" w:rsidRPr="003E3613" w:rsidRDefault="00507F12" w:rsidP="00204696">
      <w:pPr>
        <w:spacing w:after="0"/>
        <w:jc w:val="both"/>
        <w:rPr>
          <w:rFonts w:ascii="Book Antiqua" w:hAnsi="Book Antiqua"/>
          <w:b/>
          <w:sz w:val="23"/>
          <w:szCs w:val="23"/>
          <w:lang w:val="en-GB"/>
        </w:rPr>
      </w:pPr>
    </w:p>
    <w:p w14:paraId="7C97B5C3" w14:textId="77777777" w:rsidR="00507F12" w:rsidRPr="003E3613" w:rsidRDefault="00507F12" w:rsidP="00204696">
      <w:pPr>
        <w:pStyle w:val="Heading2"/>
        <w:keepNext w:val="0"/>
        <w:keepLines w:val="0"/>
        <w:spacing w:before="0"/>
        <w:rPr>
          <w:rFonts w:ascii="Book Antiqua" w:hAnsi="Book Antiqua"/>
          <w:color w:val="auto"/>
          <w:sz w:val="23"/>
          <w:szCs w:val="23"/>
          <w:lang w:val="en-GB"/>
        </w:rPr>
      </w:pPr>
      <w:bookmarkStart w:id="7" w:name="_Toc19120768"/>
      <w:r w:rsidRPr="003E3613">
        <w:rPr>
          <w:rFonts w:ascii="Book Antiqua" w:hAnsi="Book Antiqua"/>
          <w:color w:val="auto"/>
          <w:sz w:val="23"/>
          <w:szCs w:val="23"/>
          <w:lang w:val="en-GB"/>
        </w:rPr>
        <w:t>National consultation “Let’s stop Brussels”</w:t>
      </w:r>
      <w:bookmarkEnd w:id="7"/>
    </w:p>
    <w:p w14:paraId="63250162" w14:textId="77777777" w:rsidR="00507F12" w:rsidRPr="003E3613" w:rsidRDefault="00507F12" w:rsidP="00204696">
      <w:pPr>
        <w:spacing w:after="0"/>
        <w:jc w:val="both"/>
        <w:rPr>
          <w:rFonts w:ascii="Book Antiqua" w:hAnsi="Book Antiqua"/>
          <w:sz w:val="23"/>
          <w:szCs w:val="23"/>
          <w:lang w:val="en-GB"/>
        </w:rPr>
      </w:pPr>
    </w:p>
    <w:p w14:paraId="1DB2FD12" w14:textId="77777777" w:rsidR="00507F12" w:rsidRPr="003E3613" w:rsidRDefault="00507F12" w:rsidP="00204696">
      <w:pPr>
        <w:spacing w:after="0"/>
        <w:jc w:val="both"/>
        <w:rPr>
          <w:rFonts w:ascii="Book Antiqua" w:hAnsi="Book Antiqua"/>
          <w:i/>
          <w:sz w:val="23"/>
          <w:szCs w:val="23"/>
          <w:lang w:val="en-GB"/>
        </w:rPr>
      </w:pPr>
      <w:r w:rsidRPr="003E3613">
        <w:rPr>
          <w:rFonts w:ascii="Book Antiqua" w:hAnsi="Book Antiqua"/>
          <w:i/>
          <w:sz w:val="23"/>
          <w:szCs w:val="23"/>
          <w:lang w:val="en-GB"/>
        </w:rPr>
        <w:t>(1</w:t>
      </w:r>
      <w:r w:rsidR="007D4504" w:rsidRPr="003E3613">
        <w:rPr>
          <w:rFonts w:ascii="Book Antiqua" w:hAnsi="Book Antiqua"/>
          <w:i/>
          <w:sz w:val="23"/>
          <w:szCs w:val="23"/>
          <w:lang w:val="en-GB"/>
        </w:rPr>
        <w:t>1</w:t>
      </w:r>
      <w:r w:rsidRPr="003E3613">
        <w:rPr>
          <w:rFonts w:ascii="Book Antiqua" w:hAnsi="Book Antiqua"/>
          <w:i/>
          <w:sz w:val="23"/>
          <w:szCs w:val="23"/>
          <w:lang w:val="en-GB"/>
        </w:rPr>
        <w:t>) In recent years the Hungarian Government has extensively used national consultations</w:t>
      </w:r>
      <w:r w:rsidR="007D4504" w:rsidRPr="003E3613">
        <w:rPr>
          <w:rFonts w:ascii="Book Antiqua" w:hAnsi="Book Antiqua"/>
          <w:i/>
          <w:sz w:val="23"/>
          <w:szCs w:val="23"/>
          <w:lang w:val="en-GB"/>
        </w:rPr>
        <w:t>, expanding direct democracy at the national level</w:t>
      </w:r>
      <w:r w:rsidRPr="003E3613">
        <w:rPr>
          <w:rFonts w:ascii="Book Antiqua" w:hAnsi="Book Antiqua"/>
          <w:i/>
          <w:sz w:val="23"/>
          <w:szCs w:val="23"/>
          <w:lang w:val="en-GB"/>
        </w:rPr>
        <w:t xml:space="preserve">. On 27 April 2017, the Commission pointed out that the national consultation “Let’s stop Brussels” contained several claims and allegations which were factually incorrect or highly misleading. </w:t>
      </w:r>
      <w:r w:rsidR="00C63027" w:rsidRPr="003E3613">
        <w:rPr>
          <w:rFonts w:ascii="Book Antiqua" w:hAnsi="Book Antiqua"/>
          <w:i/>
          <w:sz w:val="23"/>
          <w:szCs w:val="23"/>
          <w:lang w:val="en-GB"/>
        </w:rPr>
        <w:t>The Hungarian Government also conducted consultations entitled ‘Migration and Terrorism’ in May 2015 and against a so-called ‘Soros Plan’ in October 2017. Those consultations drew parallels between terrorism and migration, inducing hatred towards migrants, and targeted particularly the person of George Soros and the Union.</w:t>
      </w:r>
    </w:p>
    <w:p w14:paraId="76A367AA" w14:textId="77777777" w:rsidR="00A40D6E" w:rsidRPr="003E3613" w:rsidRDefault="00A40D6E" w:rsidP="00204696">
      <w:pPr>
        <w:spacing w:after="0"/>
        <w:jc w:val="both"/>
        <w:rPr>
          <w:rFonts w:ascii="Book Antiqua" w:hAnsi="Book Antiqua"/>
          <w:i/>
          <w:sz w:val="23"/>
          <w:szCs w:val="23"/>
          <w:lang w:val="en-GB"/>
        </w:rPr>
      </w:pPr>
    </w:p>
    <w:p w14:paraId="6BE6882F" w14:textId="77777777" w:rsidR="00F400FE" w:rsidRDefault="00475658" w:rsidP="00204696">
      <w:pPr>
        <w:pStyle w:val="ListParagraph"/>
        <w:spacing w:after="0"/>
        <w:ind w:left="0"/>
        <w:contextualSpacing w:val="0"/>
        <w:jc w:val="both"/>
        <w:rPr>
          <w:rFonts w:ascii="Book Antiqua" w:hAnsi="Book Antiqua"/>
          <w:bCs/>
          <w:sz w:val="23"/>
          <w:szCs w:val="23"/>
          <w:lang w:val="en-GB"/>
        </w:rPr>
      </w:pPr>
      <w:r w:rsidRPr="003E3613">
        <w:rPr>
          <w:rFonts w:ascii="Book Antiqua" w:hAnsi="Book Antiqua"/>
          <w:sz w:val="23"/>
          <w:szCs w:val="23"/>
          <w:lang w:val="en-GB"/>
        </w:rPr>
        <w:t>It should be highlighted that</w:t>
      </w:r>
      <w:r w:rsidR="00B13B4A" w:rsidRPr="003E3613">
        <w:rPr>
          <w:rFonts w:ascii="Book Antiqua" w:hAnsi="Book Antiqua"/>
          <w:sz w:val="23"/>
          <w:szCs w:val="23"/>
          <w:lang w:val="en-GB"/>
        </w:rPr>
        <w:t xml:space="preserve"> </w:t>
      </w:r>
      <w:r w:rsidR="00E07FDE" w:rsidRPr="003E3613">
        <w:rPr>
          <w:rFonts w:ascii="Book Antiqua" w:hAnsi="Book Antiqua"/>
          <w:sz w:val="23"/>
          <w:szCs w:val="23"/>
          <w:lang w:val="en-GB"/>
        </w:rPr>
        <w:t xml:space="preserve">national consultations </w:t>
      </w:r>
      <w:r w:rsidR="00D60B0A" w:rsidRPr="003E3613">
        <w:rPr>
          <w:rFonts w:ascii="Book Antiqua" w:hAnsi="Book Antiqua"/>
          <w:sz w:val="23"/>
          <w:szCs w:val="23"/>
          <w:lang w:val="en-GB"/>
        </w:rPr>
        <w:t>are</w:t>
      </w:r>
      <w:r w:rsidR="00946D57" w:rsidRPr="003E3613">
        <w:rPr>
          <w:rFonts w:ascii="Book Antiqua" w:hAnsi="Book Antiqua"/>
          <w:sz w:val="23"/>
          <w:szCs w:val="23"/>
          <w:lang w:val="en-GB"/>
        </w:rPr>
        <w:t xml:space="preserve"> a tool for the Hungarian Government to regularly </w:t>
      </w:r>
      <w:r w:rsidR="00D60B0A" w:rsidRPr="003E3613">
        <w:rPr>
          <w:rFonts w:ascii="Book Antiqua" w:hAnsi="Book Antiqua"/>
          <w:sz w:val="23"/>
          <w:szCs w:val="23"/>
          <w:lang w:val="en-GB"/>
        </w:rPr>
        <w:t>survey</w:t>
      </w:r>
      <w:r w:rsidR="00946D57" w:rsidRPr="003E3613">
        <w:rPr>
          <w:rFonts w:ascii="Book Antiqua" w:hAnsi="Book Antiqua"/>
          <w:sz w:val="23"/>
          <w:szCs w:val="23"/>
          <w:lang w:val="en-GB"/>
        </w:rPr>
        <w:t xml:space="preserve"> Hungarian citizens</w:t>
      </w:r>
      <w:r w:rsidR="00D60B0A" w:rsidRPr="003E3613">
        <w:rPr>
          <w:rFonts w:ascii="Book Antiqua" w:hAnsi="Book Antiqua"/>
          <w:sz w:val="23"/>
          <w:szCs w:val="23"/>
          <w:lang w:val="en-GB"/>
        </w:rPr>
        <w:t>’ opinion</w:t>
      </w:r>
      <w:r w:rsidR="00946D57" w:rsidRPr="003E3613">
        <w:rPr>
          <w:rFonts w:ascii="Book Antiqua" w:hAnsi="Book Antiqua"/>
          <w:sz w:val="23"/>
          <w:szCs w:val="23"/>
          <w:lang w:val="en-GB"/>
        </w:rPr>
        <w:t xml:space="preserve"> since 2010.</w:t>
      </w:r>
      <w:r w:rsidRPr="003E3613">
        <w:rPr>
          <w:rFonts w:ascii="Book Antiqua" w:hAnsi="Book Antiqua"/>
          <w:sz w:val="23"/>
          <w:szCs w:val="23"/>
          <w:lang w:val="en-GB"/>
        </w:rPr>
        <w:t xml:space="preserve"> </w:t>
      </w:r>
      <w:r w:rsidR="00615656" w:rsidRPr="003E3613">
        <w:rPr>
          <w:rFonts w:ascii="Book Antiqua" w:hAnsi="Book Antiqua"/>
          <w:bCs/>
          <w:sz w:val="23"/>
          <w:szCs w:val="23"/>
          <w:lang w:val="en-GB"/>
        </w:rPr>
        <w:t xml:space="preserve">During the last </w:t>
      </w:r>
      <w:r w:rsidR="004174CA" w:rsidRPr="003E3613">
        <w:rPr>
          <w:rFonts w:ascii="Book Antiqua" w:hAnsi="Book Antiqua"/>
          <w:bCs/>
          <w:sz w:val="23"/>
          <w:szCs w:val="23"/>
          <w:lang w:val="en-GB"/>
        </w:rPr>
        <w:t>nine</w:t>
      </w:r>
      <w:r w:rsidR="00615656" w:rsidRPr="003E3613">
        <w:rPr>
          <w:rFonts w:ascii="Book Antiqua" w:hAnsi="Book Antiqua"/>
          <w:bCs/>
          <w:sz w:val="23"/>
          <w:szCs w:val="23"/>
          <w:lang w:val="en-GB"/>
        </w:rPr>
        <w:t xml:space="preserve"> years there were seven national consultations held with the participation of </w:t>
      </w:r>
      <w:r w:rsidR="00BD065D" w:rsidRPr="003E3613">
        <w:rPr>
          <w:rFonts w:ascii="Book Antiqua" w:hAnsi="Book Antiqua"/>
          <w:bCs/>
          <w:sz w:val="23"/>
          <w:szCs w:val="23"/>
          <w:lang w:val="en-GB"/>
        </w:rPr>
        <w:t xml:space="preserve">more than 2 </w:t>
      </w:r>
      <w:r w:rsidR="00615656" w:rsidRPr="003E3613">
        <w:rPr>
          <w:rFonts w:ascii="Book Antiqua" w:hAnsi="Book Antiqua"/>
          <w:bCs/>
          <w:sz w:val="23"/>
          <w:szCs w:val="23"/>
          <w:lang w:val="en-GB"/>
        </w:rPr>
        <w:t xml:space="preserve">million Hungarian citizens. According to the high participations and the results of </w:t>
      </w:r>
      <w:r w:rsidR="00E47987" w:rsidRPr="003E3613">
        <w:rPr>
          <w:rFonts w:ascii="Book Antiqua" w:hAnsi="Book Antiqua"/>
          <w:bCs/>
          <w:sz w:val="23"/>
          <w:szCs w:val="23"/>
          <w:lang w:val="en-GB"/>
        </w:rPr>
        <w:t xml:space="preserve">these </w:t>
      </w:r>
      <w:r w:rsidR="00615656" w:rsidRPr="003E3613">
        <w:rPr>
          <w:rFonts w:ascii="Book Antiqua" w:hAnsi="Book Antiqua"/>
          <w:bCs/>
          <w:sz w:val="23"/>
          <w:szCs w:val="23"/>
          <w:lang w:val="en-GB"/>
        </w:rPr>
        <w:t>con</w:t>
      </w:r>
      <w:r w:rsidR="00530DC6" w:rsidRPr="003E3613">
        <w:rPr>
          <w:rFonts w:ascii="Book Antiqua" w:hAnsi="Book Antiqua"/>
          <w:bCs/>
          <w:sz w:val="23"/>
          <w:szCs w:val="23"/>
          <w:lang w:val="en-GB"/>
        </w:rPr>
        <w:t>s</w:t>
      </w:r>
      <w:r w:rsidR="00615656" w:rsidRPr="003E3613">
        <w:rPr>
          <w:rFonts w:ascii="Book Antiqua" w:hAnsi="Book Antiqua"/>
          <w:bCs/>
          <w:sz w:val="23"/>
          <w:szCs w:val="23"/>
          <w:lang w:val="en-GB"/>
        </w:rPr>
        <w:t>ultations</w:t>
      </w:r>
      <w:r w:rsidR="00E47987" w:rsidRPr="003E3613">
        <w:rPr>
          <w:rFonts w:ascii="Book Antiqua" w:hAnsi="Book Antiqua"/>
          <w:bCs/>
          <w:sz w:val="23"/>
          <w:szCs w:val="23"/>
          <w:lang w:val="en-GB"/>
        </w:rPr>
        <w:t>,</w:t>
      </w:r>
      <w:r w:rsidR="00615656" w:rsidRPr="003E3613">
        <w:rPr>
          <w:rFonts w:ascii="Book Antiqua" w:hAnsi="Book Antiqua"/>
          <w:bCs/>
          <w:sz w:val="23"/>
          <w:szCs w:val="23"/>
          <w:lang w:val="en-GB"/>
        </w:rPr>
        <w:t xml:space="preserve"> the Government concluded that </w:t>
      </w:r>
      <w:r w:rsidR="002A690A" w:rsidRPr="003E3613">
        <w:rPr>
          <w:rFonts w:ascii="Book Antiqua" w:hAnsi="Book Antiqua"/>
          <w:bCs/>
          <w:sz w:val="23"/>
          <w:szCs w:val="23"/>
          <w:lang w:val="en-GB"/>
        </w:rPr>
        <w:t xml:space="preserve">Hungary is </w:t>
      </w:r>
      <w:r w:rsidR="00E47987" w:rsidRPr="003E3613">
        <w:rPr>
          <w:rFonts w:ascii="Book Antiqua" w:hAnsi="Book Antiqua"/>
          <w:bCs/>
          <w:sz w:val="23"/>
          <w:szCs w:val="23"/>
          <w:lang w:val="en-GB"/>
        </w:rPr>
        <w:t xml:space="preserve">a) </w:t>
      </w:r>
      <w:r w:rsidR="002A690A" w:rsidRPr="003E3613">
        <w:rPr>
          <w:rFonts w:ascii="Book Antiqua" w:hAnsi="Book Antiqua"/>
          <w:bCs/>
          <w:sz w:val="23"/>
          <w:szCs w:val="23"/>
          <w:lang w:val="en-GB"/>
        </w:rPr>
        <w:t>pro-European</w:t>
      </w:r>
      <w:r w:rsidR="00D60B0A" w:rsidRPr="003E3613">
        <w:rPr>
          <w:rFonts w:ascii="Book Antiqua" w:hAnsi="Book Antiqua"/>
          <w:bCs/>
          <w:sz w:val="23"/>
          <w:szCs w:val="23"/>
          <w:lang w:val="en-GB"/>
        </w:rPr>
        <w:t>,</w:t>
      </w:r>
      <w:r w:rsidR="002A690A" w:rsidRPr="003E3613">
        <w:rPr>
          <w:rFonts w:ascii="Book Antiqua" w:hAnsi="Book Antiqua"/>
          <w:bCs/>
          <w:sz w:val="23"/>
          <w:szCs w:val="23"/>
          <w:lang w:val="en-GB"/>
        </w:rPr>
        <w:t xml:space="preserve"> </w:t>
      </w:r>
      <w:r w:rsidR="00E47987" w:rsidRPr="003E3613">
        <w:rPr>
          <w:rFonts w:ascii="Book Antiqua" w:hAnsi="Book Antiqua"/>
          <w:bCs/>
          <w:sz w:val="23"/>
          <w:szCs w:val="23"/>
          <w:lang w:val="en-GB"/>
        </w:rPr>
        <w:t xml:space="preserve">b) is </w:t>
      </w:r>
      <w:r w:rsidR="002A690A" w:rsidRPr="003E3613">
        <w:rPr>
          <w:rFonts w:ascii="Book Antiqua" w:hAnsi="Book Antiqua"/>
          <w:bCs/>
          <w:sz w:val="23"/>
          <w:szCs w:val="23"/>
          <w:lang w:val="en-GB"/>
        </w:rPr>
        <w:t>fighting for a strong Europe</w:t>
      </w:r>
      <w:r w:rsidR="00D60B0A" w:rsidRPr="003E3613">
        <w:rPr>
          <w:rFonts w:ascii="Book Antiqua" w:hAnsi="Book Antiqua"/>
          <w:bCs/>
          <w:sz w:val="23"/>
          <w:szCs w:val="23"/>
          <w:lang w:val="en-GB"/>
        </w:rPr>
        <w:t xml:space="preserve">, while </w:t>
      </w:r>
      <w:r w:rsidR="00E47987" w:rsidRPr="003E3613">
        <w:rPr>
          <w:rFonts w:ascii="Book Antiqua" w:hAnsi="Book Antiqua"/>
          <w:bCs/>
          <w:sz w:val="23"/>
          <w:szCs w:val="23"/>
          <w:lang w:val="en-GB"/>
        </w:rPr>
        <w:t xml:space="preserve">at the same time c) is </w:t>
      </w:r>
      <w:r w:rsidR="00D60B0A" w:rsidRPr="003E3613">
        <w:rPr>
          <w:rFonts w:ascii="Book Antiqua" w:hAnsi="Book Antiqua"/>
          <w:sz w:val="23"/>
          <w:szCs w:val="23"/>
          <w:lang w:val="en-GB"/>
        </w:rPr>
        <w:t xml:space="preserve">urging </w:t>
      </w:r>
      <w:r w:rsidR="002A690A" w:rsidRPr="003E3613">
        <w:rPr>
          <w:rFonts w:ascii="Book Antiqua" w:hAnsi="Book Antiqua"/>
          <w:sz w:val="23"/>
          <w:szCs w:val="23"/>
          <w:lang w:val="en-GB"/>
        </w:rPr>
        <w:t xml:space="preserve">to reform the politics of Brussels </w:t>
      </w:r>
      <w:r w:rsidR="00E47987" w:rsidRPr="003E3613">
        <w:rPr>
          <w:rFonts w:ascii="Book Antiqua" w:hAnsi="Book Antiqua"/>
          <w:sz w:val="23"/>
          <w:szCs w:val="23"/>
          <w:lang w:val="en-GB"/>
        </w:rPr>
        <w:t xml:space="preserve">in order that we can </w:t>
      </w:r>
      <w:r w:rsidR="002A690A" w:rsidRPr="003E3613">
        <w:rPr>
          <w:rFonts w:ascii="Book Antiqua" w:hAnsi="Book Antiqua"/>
          <w:sz w:val="23"/>
          <w:szCs w:val="23"/>
          <w:lang w:val="en-GB"/>
        </w:rPr>
        <w:t xml:space="preserve">live in a Europe that leads the world. </w:t>
      </w:r>
      <w:r w:rsidR="00E47987" w:rsidRPr="003E3613">
        <w:rPr>
          <w:rFonts w:ascii="Book Antiqua" w:hAnsi="Book Antiqua"/>
          <w:bCs/>
          <w:sz w:val="23"/>
          <w:szCs w:val="23"/>
          <w:lang w:val="en-GB"/>
        </w:rPr>
        <w:t xml:space="preserve">In </w:t>
      </w:r>
      <w:r w:rsidR="00A40D6E" w:rsidRPr="003E3613">
        <w:rPr>
          <w:rFonts w:ascii="Book Antiqua" w:hAnsi="Book Antiqua"/>
          <w:bCs/>
          <w:sz w:val="23"/>
          <w:szCs w:val="23"/>
          <w:lang w:val="en-GB"/>
        </w:rPr>
        <w:t>its so called ‘</w:t>
      </w:r>
      <w:r w:rsidR="00A40D6E" w:rsidRPr="003E3613">
        <w:rPr>
          <w:rFonts w:ascii="Book Antiqua" w:hAnsi="Book Antiqua"/>
          <w:sz w:val="23"/>
          <w:szCs w:val="23"/>
          <w:lang w:val="en-GB"/>
        </w:rPr>
        <w:t xml:space="preserve">National consultation’ </w:t>
      </w:r>
      <w:r w:rsidR="00E47987" w:rsidRPr="003E3613">
        <w:rPr>
          <w:rFonts w:ascii="Book Antiqua" w:hAnsi="Book Antiqua"/>
          <w:sz w:val="23"/>
          <w:szCs w:val="23"/>
          <w:lang w:val="en-GB"/>
        </w:rPr>
        <w:t xml:space="preserve">launched on </w:t>
      </w:r>
      <w:r w:rsidR="00A40D6E" w:rsidRPr="003E3613">
        <w:rPr>
          <w:rFonts w:ascii="Book Antiqua" w:hAnsi="Book Antiqua"/>
          <w:sz w:val="23"/>
          <w:szCs w:val="23"/>
          <w:lang w:val="en-GB"/>
        </w:rPr>
        <w:t>31 March 2017</w:t>
      </w:r>
      <w:r w:rsidR="00E47987" w:rsidRPr="003E3613">
        <w:rPr>
          <w:rFonts w:ascii="Book Antiqua" w:hAnsi="Book Antiqua"/>
          <w:sz w:val="23"/>
          <w:szCs w:val="23"/>
          <w:lang w:val="en-GB"/>
        </w:rPr>
        <w:t xml:space="preserve">, the Hungarian </w:t>
      </w:r>
      <w:r w:rsidR="00852A03" w:rsidRPr="003E3613">
        <w:rPr>
          <w:rFonts w:ascii="Book Antiqua" w:hAnsi="Book Antiqua"/>
          <w:sz w:val="23"/>
          <w:szCs w:val="23"/>
          <w:lang w:val="en-GB"/>
        </w:rPr>
        <w:t>G</w:t>
      </w:r>
      <w:r w:rsidR="00E47987" w:rsidRPr="003E3613">
        <w:rPr>
          <w:rFonts w:ascii="Book Antiqua" w:hAnsi="Book Antiqua"/>
          <w:sz w:val="23"/>
          <w:szCs w:val="23"/>
          <w:lang w:val="en-GB"/>
        </w:rPr>
        <w:t>overnment</w:t>
      </w:r>
      <w:r w:rsidR="0050676E" w:rsidRPr="003E3613">
        <w:rPr>
          <w:rFonts w:ascii="Book Antiqua" w:hAnsi="Book Antiqua"/>
          <w:sz w:val="23"/>
          <w:szCs w:val="23"/>
          <w:lang w:val="en-GB"/>
        </w:rPr>
        <w:t xml:space="preserve"> </w:t>
      </w:r>
      <w:r w:rsidR="00A40D6E" w:rsidRPr="003E3613">
        <w:rPr>
          <w:rFonts w:ascii="Book Antiqua" w:hAnsi="Book Antiqua"/>
          <w:bCs/>
          <w:sz w:val="23"/>
          <w:szCs w:val="23"/>
          <w:lang w:val="en-GB"/>
        </w:rPr>
        <w:t>gather</w:t>
      </w:r>
      <w:r w:rsidR="00852A03" w:rsidRPr="003E3613">
        <w:rPr>
          <w:rFonts w:ascii="Book Antiqua" w:hAnsi="Book Antiqua"/>
          <w:bCs/>
          <w:sz w:val="23"/>
          <w:szCs w:val="23"/>
          <w:lang w:val="en-GB"/>
        </w:rPr>
        <w:t>ed</w:t>
      </w:r>
      <w:r w:rsidR="00A40D6E" w:rsidRPr="003E3613">
        <w:rPr>
          <w:rFonts w:ascii="Book Antiqua" w:hAnsi="Book Antiqua"/>
          <w:bCs/>
          <w:sz w:val="23"/>
          <w:szCs w:val="23"/>
          <w:lang w:val="en-GB"/>
        </w:rPr>
        <w:t xml:space="preserve"> people’s opinion</w:t>
      </w:r>
      <w:r w:rsidR="00A40D6E" w:rsidRPr="003E3613">
        <w:rPr>
          <w:rFonts w:ascii="Book Antiqua" w:hAnsi="Book Antiqua"/>
          <w:sz w:val="23"/>
          <w:szCs w:val="23"/>
          <w:lang w:val="en-GB"/>
        </w:rPr>
        <w:t xml:space="preserve"> with the aim of </w:t>
      </w:r>
      <w:r w:rsidR="00A40D6E" w:rsidRPr="003E3613">
        <w:rPr>
          <w:rFonts w:ascii="Book Antiqua" w:hAnsi="Book Antiqua"/>
          <w:bCs/>
          <w:sz w:val="23"/>
          <w:szCs w:val="23"/>
          <w:lang w:val="en-GB"/>
        </w:rPr>
        <w:t xml:space="preserve">providing guidance for </w:t>
      </w:r>
      <w:r w:rsidR="00852A03" w:rsidRPr="003E3613">
        <w:rPr>
          <w:rFonts w:ascii="Book Antiqua" w:hAnsi="Book Antiqua"/>
          <w:bCs/>
          <w:sz w:val="23"/>
          <w:szCs w:val="23"/>
          <w:lang w:val="en-GB"/>
        </w:rPr>
        <w:t xml:space="preserve">what position to take </w:t>
      </w:r>
      <w:r w:rsidR="005C30FD" w:rsidRPr="003E3613">
        <w:rPr>
          <w:rFonts w:ascii="Book Antiqua" w:hAnsi="Book Antiqua"/>
          <w:bCs/>
          <w:sz w:val="23"/>
          <w:szCs w:val="23"/>
          <w:lang w:val="en-GB"/>
        </w:rPr>
        <w:t xml:space="preserve">in the discussion of the future of Europe as well as </w:t>
      </w:r>
      <w:r w:rsidR="00A40D6E" w:rsidRPr="003E3613">
        <w:rPr>
          <w:rFonts w:ascii="Book Antiqua" w:hAnsi="Book Antiqua"/>
          <w:bCs/>
          <w:sz w:val="23"/>
          <w:szCs w:val="23"/>
          <w:lang w:val="en-GB"/>
        </w:rPr>
        <w:t xml:space="preserve">in its </w:t>
      </w:r>
      <w:r w:rsidR="00675168" w:rsidRPr="003E3613">
        <w:rPr>
          <w:rFonts w:ascii="Book Antiqua" w:hAnsi="Book Antiqua"/>
          <w:bCs/>
          <w:sz w:val="23"/>
          <w:szCs w:val="23"/>
          <w:lang w:val="en-GB"/>
        </w:rPr>
        <w:t>European disputes</w:t>
      </w:r>
      <w:r w:rsidR="00A40D6E" w:rsidRPr="003E3613">
        <w:rPr>
          <w:rFonts w:ascii="Book Antiqua" w:hAnsi="Book Antiqua"/>
          <w:bCs/>
          <w:sz w:val="23"/>
          <w:szCs w:val="23"/>
          <w:lang w:val="en-GB"/>
        </w:rPr>
        <w:t xml:space="preserve"> regarding the issues that significantly affect t</w:t>
      </w:r>
      <w:r w:rsidR="00675168" w:rsidRPr="003E3613">
        <w:rPr>
          <w:rFonts w:ascii="Book Antiqua" w:hAnsi="Book Antiqua"/>
          <w:bCs/>
          <w:sz w:val="23"/>
          <w:szCs w:val="23"/>
          <w:lang w:val="en-GB"/>
        </w:rPr>
        <w:t>he life of the Hungarian people</w:t>
      </w:r>
      <w:r w:rsidR="00852A03" w:rsidRPr="003E3613">
        <w:rPr>
          <w:rFonts w:ascii="Book Antiqua" w:hAnsi="Book Antiqua"/>
          <w:bCs/>
          <w:sz w:val="23"/>
          <w:szCs w:val="23"/>
          <w:lang w:val="en-GB"/>
        </w:rPr>
        <w:t>. M</w:t>
      </w:r>
      <w:r w:rsidR="00A40D6E" w:rsidRPr="003E3613">
        <w:rPr>
          <w:rFonts w:ascii="Book Antiqua" w:hAnsi="Book Antiqua"/>
          <w:sz w:val="23"/>
          <w:szCs w:val="23"/>
          <w:lang w:val="en-GB"/>
        </w:rPr>
        <w:t>igration policy, energy prices,</w:t>
      </w:r>
      <w:r w:rsidR="00D60B0A" w:rsidRPr="003E3613">
        <w:rPr>
          <w:rFonts w:ascii="Book Antiqua" w:hAnsi="Book Antiqua"/>
          <w:sz w:val="23"/>
          <w:szCs w:val="23"/>
          <w:lang w:val="en-GB"/>
        </w:rPr>
        <w:t xml:space="preserve"> </w:t>
      </w:r>
      <w:r w:rsidR="00A40D6E" w:rsidRPr="003E3613">
        <w:rPr>
          <w:rFonts w:ascii="Book Antiqua" w:hAnsi="Book Antiqua"/>
          <w:sz w:val="23"/>
          <w:szCs w:val="23"/>
          <w:lang w:val="en-GB"/>
        </w:rPr>
        <w:t>tax and labour policies</w:t>
      </w:r>
      <w:r w:rsidR="00D60B0A" w:rsidRPr="003E3613">
        <w:rPr>
          <w:rFonts w:ascii="Book Antiqua" w:hAnsi="Book Antiqua"/>
          <w:sz w:val="23"/>
          <w:szCs w:val="23"/>
          <w:lang w:val="en-GB"/>
        </w:rPr>
        <w:t>,</w:t>
      </w:r>
      <w:r w:rsidR="00A40D6E" w:rsidRPr="003E3613">
        <w:rPr>
          <w:rFonts w:ascii="Book Antiqua" w:hAnsi="Book Antiqua"/>
          <w:sz w:val="23"/>
          <w:szCs w:val="23"/>
          <w:lang w:val="en-GB"/>
        </w:rPr>
        <w:t xml:space="preserve"> or the transparency of civil society </w:t>
      </w:r>
      <w:r w:rsidR="00BD0A8B" w:rsidRPr="003E3613">
        <w:rPr>
          <w:rFonts w:ascii="Book Antiqua" w:hAnsi="Book Antiqua"/>
          <w:sz w:val="23"/>
          <w:szCs w:val="23"/>
          <w:lang w:val="en-GB"/>
        </w:rPr>
        <w:t>organisation</w:t>
      </w:r>
      <w:r w:rsidR="00A40D6E" w:rsidRPr="003E3613">
        <w:rPr>
          <w:rFonts w:ascii="Book Antiqua" w:hAnsi="Book Antiqua"/>
          <w:sz w:val="23"/>
          <w:szCs w:val="23"/>
          <w:lang w:val="en-GB"/>
        </w:rPr>
        <w:t xml:space="preserve">s supported from abroad are all issues that </w:t>
      </w:r>
      <w:r w:rsidR="00A40D6E" w:rsidRPr="003E3613">
        <w:rPr>
          <w:rFonts w:ascii="Book Antiqua" w:hAnsi="Book Antiqua"/>
          <w:bCs/>
          <w:sz w:val="23"/>
          <w:szCs w:val="23"/>
          <w:lang w:val="en-GB"/>
        </w:rPr>
        <w:t>fundamentally affect Hungary’s sovereignty</w:t>
      </w:r>
      <w:r w:rsidR="00A40D6E" w:rsidRPr="003E3613">
        <w:rPr>
          <w:rFonts w:ascii="Book Antiqua" w:hAnsi="Book Antiqua"/>
          <w:sz w:val="23"/>
          <w:szCs w:val="23"/>
          <w:lang w:val="en-GB"/>
        </w:rPr>
        <w:t xml:space="preserve"> and the fact that </w:t>
      </w:r>
      <w:r w:rsidR="00A40D6E" w:rsidRPr="003E3613">
        <w:rPr>
          <w:rFonts w:ascii="Book Antiqua" w:hAnsi="Book Antiqua"/>
          <w:bCs/>
          <w:sz w:val="23"/>
          <w:szCs w:val="23"/>
          <w:lang w:val="en-GB"/>
        </w:rPr>
        <w:t>1.68 million</w:t>
      </w:r>
      <w:r w:rsidR="008C5179" w:rsidRPr="003E3613">
        <w:rPr>
          <w:rFonts w:ascii="Book Antiqua" w:hAnsi="Book Antiqua"/>
          <w:bCs/>
          <w:sz w:val="23"/>
          <w:szCs w:val="23"/>
          <w:lang w:val="en-GB"/>
        </w:rPr>
        <w:t xml:space="preserve"> citizens</w:t>
      </w:r>
      <w:r w:rsidR="00A40D6E" w:rsidRPr="003E3613">
        <w:rPr>
          <w:rFonts w:ascii="Book Antiqua" w:hAnsi="Book Antiqua"/>
          <w:bCs/>
          <w:sz w:val="23"/>
          <w:szCs w:val="23"/>
          <w:lang w:val="en-GB"/>
        </w:rPr>
        <w:t xml:space="preserve"> shared their opinion</w:t>
      </w:r>
      <w:r w:rsidR="00A40D6E" w:rsidRPr="003E3613">
        <w:rPr>
          <w:rFonts w:ascii="Book Antiqua" w:hAnsi="Book Antiqua"/>
          <w:sz w:val="23"/>
          <w:szCs w:val="23"/>
          <w:lang w:val="en-GB"/>
        </w:rPr>
        <w:t xml:space="preserve"> </w:t>
      </w:r>
      <w:r w:rsidR="00A40D6E" w:rsidRPr="003E3613">
        <w:rPr>
          <w:rFonts w:ascii="Book Antiqua" w:hAnsi="Book Antiqua"/>
          <w:bCs/>
          <w:sz w:val="23"/>
          <w:szCs w:val="23"/>
          <w:lang w:val="en-GB"/>
        </w:rPr>
        <w:t>proves that people find these issues important.</w:t>
      </w:r>
      <w:r w:rsidR="00A40D6E" w:rsidRPr="003E3613">
        <w:rPr>
          <w:rFonts w:ascii="Book Antiqua" w:hAnsi="Book Antiqua"/>
          <w:sz w:val="23"/>
          <w:szCs w:val="23"/>
          <w:lang w:val="en-GB"/>
        </w:rPr>
        <w:t xml:space="preserve"> </w:t>
      </w:r>
      <w:r w:rsidR="00675168" w:rsidRPr="003E3613">
        <w:rPr>
          <w:rFonts w:ascii="Book Antiqua" w:hAnsi="Book Antiqua"/>
          <w:sz w:val="23"/>
          <w:szCs w:val="23"/>
          <w:lang w:val="en-GB"/>
        </w:rPr>
        <w:t xml:space="preserve">The title of the consultation signals the intention </w:t>
      </w:r>
      <w:r w:rsidR="00675168" w:rsidRPr="003E3613">
        <w:rPr>
          <w:rFonts w:ascii="Book Antiqua" w:hAnsi="Book Antiqua"/>
          <w:bCs/>
          <w:sz w:val="23"/>
          <w:szCs w:val="23"/>
          <w:lang w:val="en-GB"/>
        </w:rPr>
        <w:t xml:space="preserve">to halt the transfer of </w:t>
      </w:r>
    </w:p>
    <w:p w14:paraId="4D533D93" w14:textId="77777777" w:rsidR="00F400FE" w:rsidRDefault="00F400FE">
      <w:pPr>
        <w:rPr>
          <w:rFonts w:ascii="Book Antiqua" w:eastAsiaTheme="minorHAnsi" w:hAnsi="Book Antiqua"/>
          <w:bCs/>
          <w:sz w:val="23"/>
          <w:szCs w:val="23"/>
          <w:lang w:val="en-GB" w:eastAsia="en-US"/>
        </w:rPr>
      </w:pPr>
      <w:r>
        <w:rPr>
          <w:rFonts w:ascii="Book Antiqua" w:hAnsi="Book Antiqua"/>
          <w:bCs/>
          <w:sz w:val="23"/>
          <w:szCs w:val="23"/>
          <w:lang w:val="en-GB"/>
        </w:rPr>
        <w:br w:type="page"/>
      </w:r>
    </w:p>
    <w:p w14:paraId="75CCD393" w14:textId="060372AE" w:rsidR="009051E6" w:rsidRPr="003E3613" w:rsidRDefault="00675168" w:rsidP="00204696">
      <w:pPr>
        <w:pStyle w:val="ListParagraph"/>
        <w:spacing w:after="0"/>
        <w:ind w:left="0"/>
        <w:contextualSpacing w:val="0"/>
        <w:jc w:val="both"/>
        <w:rPr>
          <w:rFonts w:ascii="Book Antiqua" w:hAnsi="Book Antiqua"/>
          <w:sz w:val="23"/>
          <w:szCs w:val="23"/>
          <w:lang w:val="en-GB"/>
        </w:rPr>
      </w:pPr>
      <w:r w:rsidRPr="003E3613">
        <w:rPr>
          <w:rFonts w:ascii="Book Antiqua" w:hAnsi="Book Antiqua"/>
          <w:bCs/>
          <w:sz w:val="23"/>
          <w:szCs w:val="23"/>
          <w:lang w:val="en-GB"/>
        </w:rPr>
        <w:lastRenderedPageBreak/>
        <w:t xml:space="preserve">national competences to </w:t>
      </w:r>
      <w:r w:rsidR="008C5179" w:rsidRPr="003E3613">
        <w:rPr>
          <w:rFonts w:ascii="Book Antiqua" w:hAnsi="Book Antiqua"/>
          <w:bCs/>
          <w:sz w:val="23"/>
          <w:szCs w:val="23"/>
          <w:lang w:val="en-GB"/>
        </w:rPr>
        <w:t>the European Union</w:t>
      </w:r>
      <w:r w:rsidRPr="003E3613">
        <w:rPr>
          <w:rFonts w:ascii="Book Antiqua" w:hAnsi="Book Antiqua"/>
          <w:sz w:val="23"/>
          <w:szCs w:val="23"/>
          <w:lang w:val="en-GB"/>
        </w:rPr>
        <w:t>, to stop the politics that is trying to extend beyond what is laid down in the Treaties. The Government</w:t>
      </w:r>
      <w:r w:rsidR="00513598" w:rsidRPr="003E3613">
        <w:rPr>
          <w:rFonts w:ascii="Book Antiqua" w:hAnsi="Book Antiqua"/>
          <w:sz w:val="23"/>
          <w:szCs w:val="23"/>
          <w:lang w:val="en-GB"/>
        </w:rPr>
        <w:t xml:space="preserve"> aims</w:t>
      </w:r>
      <w:r w:rsidRPr="003E3613">
        <w:rPr>
          <w:rFonts w:ascii="Book Antiqua" w:hAnsi="Book Antiqua"/>
          <w:sz w:val="23"/>
          <w:szCs w:val="23"/>
          <w:lang w:val="en-GB"/>
        </w:rPr>
        <w:t xml:space="preserve"> to preserve</w:t>
      </w:r>
      <w:r w:rsidR="00750E85" w:rsidRPr="003E3613">
        <w:rPr>
          <w:rFonts w:ascii="Book Antiqua" w:hAnsi="Book Antiqua"/>
          <w:sz w:val="23"/>
          <w:szCs w:val="23"/>
          <w:lang w:val="en-GB"/>
        </w:rPr>
        <w:t xml:space="preserve"> </w:t>
      </w:r>
      <w:r w:rsidRPr="003E3613">
        <w:rPr>
          <w:rFonts w:ascii="Book Antiqua" w:hAnsi="Book Antiqua"/>
          <w:sz w:val="23"/>
          <w:szCs w:val="23"/>
          <w:lang w:val="en-GB"/>
        </w:rPr>
        <w:t xml:space="preserve">the current division of competences between Member States and European institutions. </w:t>
      </w:r>
      <w:r w:rsidR="00A40D6E" w:rsidRPr="003E3613">
        <w:rPr>
          <w:rFonts w:ascii="Book Antiqua" w:hAnsi="Book Antiqua"/>
          <w:sz w:val="23"/>
          <w:szCs w:val="23"/>
          <w:lang w:val="en-GB"/>
        </w:rPr>
        <w:t xml:space="preserve">This opportunity for the people to voice their opinions regarding these issues is a manifestation of the </w:t>
      </w:r>
      <w:r w:rsidR="00A40D6E" w:rsidRPr="003E3613">
        <w:rPr>
          <w:rFonts w:ascii="Book Antiqua" w:hAnsi="Book Antiqua"/>
          <w:bCs/>
          <w:sz w:val="23"/>
          <w:szCs w:val="23"/>
          <w:lang w:val="en-GB"/>
        </w:rPr>
        <w:t>principle of democracy.</w:t>
      </w:r>
      <w:r w:rsidR="00A40D6E" w:rsidRPr="003E3613">
        <w:rPr>
          <w:rFonts w:ascii="Book Antiqua" w:hAnsi="Book Antiqua"/>
          <w:sz w:val="23"/>
          <w:szCs w:val="23"/>
          <w:lang w:val="en-GB"/>
        </w:rPr>
        <w:t xml:space="preserve"> It is important to highlight that </w:t>
      </w:r>
      <w:r w:rsidR="00A40D6E" w:rsidRPr="003E3613">
        <w:rPr>
          <w:rFonts w:ascii="Book Antiqua" w:hAnsi="Book Antiqua"/>
          <w:bCs/>
          <w:sz w:val="23"/>
          <w:szCs w:val="23"/>
          <w:lang w:val="en-GB"/>
        </w:rPr>
        <w:t xml:space="preserve">Hungary is the only Member State of the EU which </w:t>
      </w:r>
      <w:r w:rsidR="00852A03" w:rsidRPr="003E3613">
        <w:rPr>
          <w:rFonts w:ascii="Book Antiqua" w:hAnsi="Book Antiqua"/>
          <w:bCs/>
          <w:sz w:val="23"/>
          <w:szCs w:val="23"/>
          <w:lang w:val="en-GB"/>
        </w:rPr>
        <w:t xml:space="preserve">decided </w:t>
      </w:r>
      <w:r w:rsidR="00A40D6E" w:rsidRPr="003E3613">
        <w:rPr>
          <w:rFonts w:ascii="Book Antiqua" w:hAnsi="Book Antiqua"/>
          <w:bCs/>
          <w:sz w:val="23"/>
          <w:szCs w:val="23"/>
          <w:lang w:val="en-GB"/>
        </w:rPr>
        <w:t>to openly ask its citizens on how to cope with the migration crisis.</w:t>
      </w:r>
      <w:r w:rsidR="0072738E" w:rsidRPr="003E3613">
        <w:rPr>
          <w:rFonts w:ascii="Book Antiqua" w:hAnsi="Book Antiqua"/>
          <w:sz w:val="23"/>
          <w:szCs w:val="23"/>
          <w:lang w:val="en-GB"/>
        </w:rPr>
        <w:t xml:space="preserve"> </w:t>
      </w:r>
      <w:r w:rsidR="00685E8B" w:rsidRPr="003E3613">
        <w:rPr>
          <w:rFonts w:ascii="Book Antiqua" w:hAnsi="Book Antiqua"/>
          <w:bCs/>
          <w:sz w:val="23"/>
          <w:szCs w:val="23"/>
          <w:lang w:val="en-GB"/>
        </w:rPr>
        <w:t>After the adoption of the reasoned proposal</w:t>
      </w:r>
      <w:r w:rsidR="0072738E" w:rsidRPr="003E3613">
        <w:rPr>
          <w:rFonts w:ascii="Book Antiqua" w:hAnsi="Book Antiqua"/>
          <w:bCs/>
          <w:sz w:val="23"/>
          <w:szCs w:val="23"/>
          <w:lang w:val="en-GB"/>
        </w:rPr>
        <w:t>, on 5 November 2018, the Hungarian Government launched a consultation on family subsidies providing support for young couples and employment issues for women with children.</w:t>
      </w:r>
      <w:r w:rsidR="00A40D6E" w:rsidRPr="003E3613">
        <w:rPr>
          <w:rFonts w:ascii="Book Antiqua" w:hAnsi="Book Antiqua"/>
          <w:sz w:val="23"/>
          <w:szCs w:val="23"/>
          <w:lang w:val="en-GB"/>
        </w:rPr>
        <w:t xml:space="preserve"> </w:t>
      </w:r>
    </w:p>
    <w:p w14:paraId="4DDDA11E" w14:textId="77777777" w:rsidR="008C36AC" w:rsidRPr="003E3613" w:rsidRDefault="008C36AC" w:rsidP="00204696">
      <w:pPr>
        <w:pStyle w:val="ListParagraph"/>
        <w:spacing w:after="0"/>
        <w:ind w:left="0"/>
        <w:contextualSpacing w:val="0"/>
        <w:jc w:val="both"/>
        <w:rPr>
          <w:rFonts w:ascii="Book Antiqua" w:hAnsi="Book Antiqua"/>
          <w:sz w:val="23"/>
          <w:szCs w:val="23"/>
          <w:lang w:val="en-GB"/>
        </w:rPr>
      </w:pPr>
    </w:p>
    <w:p w14:paraId="4A7AD955" w14:textId="77777777" w:rsidR="009051E6" w:rsidRPr="003E3613" w:rsidRDefault="00852A03" w:rsidP="00204696">
      <w:pPr>
        <w:spacing w:after="0"/>
        <w:jc w:val="both"/>
        <w:rPr>
          <w:rFonts w:ascii="Book Antiqua" w:eastAsia="Times New Roman" w:hAnsi="Book Antiqua" w:cs="Times New Roman"/>
          <w:sz w:val="23"/>
          <w:szCs w:val="23"/>
          <w:lang w:val="en-GB"/>
        </w:rPr>
      </w:pPr>
      <w:r w:rsidRPr="003E3613">
        <w:rPr>
          <w:rFonts w:ascii="Book Antiqua" w:hAnsi="Book Antiqua" w:cs="Times New Roman"/>
          <w:sz w:val="23"/>
          <w:szCs w:val="23"/>
          <w:lang w:val="en-GB"/>
        </w:rPr>
        <w:t xml:space="preserve">The </w:t>
      </w:r>
      <w:r w:rsidR="009051E6" w:rsidRPr="003E3613">
        <w:rPr>
          <w:rFonts w:ascii="Book Antiqua" w:hAnsi="Book Antiqua" w:cs="Times New Roman"/>
          <w:sz w:val="23"/>
          <w:szCs w:val="23"/>
          <w:lang w:val="en-GB"/>
        </w:rPr>
        <w:t>Hungarian national consultations</w:t>
      </w:r>
      <w:r w:rsidR="009051E6" w:rsidRPr="003E3613">
        <w:rPr>
          <w:rFonts w:ascii="Book Antiqua" w:hAnsi="Book Antiqua" w:cs="Times New Roman"/>
          <w:iCs/>
          <w:sz w:val="23"/>
          <w:szCs w:val="23"/>
          <w:lang w:val="en-GB"/>
        </w:rPr>
        <w:t xml:space="preserve"> </w:t>
      </w:r>
      <w:r w:rsidRPr="003E3613">
        <w:rPr>
          <w:rFonts w:ascii="Book Antiqua" w:hAnsi="Book Antiqua" w:cs="Times New Roman"/>
          <w:iCs/>
          <w:sz w:val="23"/>
          <w:szCs w:val="23"/>
          <w:lang w:val="en-GB"/>
        </w:rPr>
        <w:t xml:space="preserve">have always </w:t>
      </w:r>
      <w:r w:rsidR="009051E6" w:rsidRPr="003E3613">
        <w:rPr>
          <w:rFonts w:ascii="Book Antiqua" w:hAnsi="Book Antiqua" w:cs="Times New Roman"/>
          <w:iCs/>
          <w:sz w:val="23"/>
          <w:szCs w:val="23"/>
          <w:lang w:val="en-GB"/>
        </w:rPr>
        <w:t xml:space="preserve">had </w:t>
      </w:r>
      <w:r w:rsidR="00D60B0A" w:rsidRPr="003E3613">
        <w:rPr>
          <w:rFonts w:ascii="Book Antiqua" w:hAnsi="Book Antiqua" w:cs="Times New Roman"/>
          <w:iCs/>
          <w:sz w:val="23"/>
          <w:szCs w:val="23"/>
          <w:lang w:val="en-GB"/>
        </w:rPr>
        <w:t>an aim similar to that of</w:t>
      </w:r>
      <w:r w:rsidR="00D60B0A" w:rsidRPr="003E3613" w:rsidDel="00D60B0A">
        <w:rPr>
          <w:rFonts w:ascii="Book Antiqua" w:hAnsi="Book Antiqua" w:cs="Times New Roman"/>
          <w:iCs/>
          <w:sz w:val="23"/>
          <w:szCs w:val="23"/>
          <w:lang w:val="en-GB"/>
        </w:rPr>
        <w:t xml:space="preserve"> </w:t>
      </w:r>
      <w:r w:rsidR="009051E6" w:rsidRPr="003E3613">
        <w:rPr>
          <w:rFonts w:ascii="Book Antiqua" w:hAnsi="Book Antiqua" w:cs="Times New Roman"/>
          <w:iCs/>
          <w:sz w:val="23"/>
          <w:szCs w:val="23"/>
          <w:lang w:val="en-GB"/>
        </w:rPr>
        <w:t xml:space="preserve">the </w:t>
      </w:r>
      <w:r w:rsidR="00470259" w:rsidRPr="003E3613">
        <w:rPr>
          <w:rFonts w:ascii="Book Antiqua" w:hAnsi="Book Antiqua" w:cs="Times New Roman"/>
          <w:iCs/>
          <w:sz w:val="23"/>
          <w:szCs w:val="23"/>
          <w:lang w:val="en-GB"/>
        </w:rPr>
        <w:t>Council’s</w:t>
      </w:r>
      <w:r w:rsidR="00470259" w:rsidRPr="003E3613" w:rsidDel="00470259">
        <w:rPr>
          <w:rFonts w:ascii="Book Antiqua" w:hAnsi="Book Antiqua" w:cs="Times New Roman"/>
          <w:iCs/>
          <w:sz w:val="23"/>
          <w:szCs w:val="23"/>
          <w:lang w:val="en-GB"/>
        </w:rPr>
        <w:t xml:space="preserve"> </w:t>
      </w:r>
      <w:r w:rsidR="009051E6" w:rsidRPr="003E3613">
        <w:rPr>
          <w:rFonts w:ascii="Book Antiqua" w:hAnsi="Book Antiqua" w:cs="Times New Roman"/>
          <w:iCs/>
          <w:sz w:val="23"/>
          <w:szCs w:val="23"/>
          <w:lang w:val="en-GB"/>
        </w:rPr>
        <w:t xml:space="preserve">Citizens’ Consultation process </w:t>
      </w:r>
      <w:r w:rsidR="009051E6" w:rsidRPr="003E3613">
        <w:rPr>
          <w:rFonts w:ascii="Book Antiqua" w:eastAsia="Times New Roman" w:hAnsi="Book Antiqua" w:cs="Times New Roman"/>
          <w:sz w:val="23"/>
          <w:szCs w:val="23"/>
          <w:lang w:val="en-GB"/>
        </w:rPr>
        <w:t xml:space="preserve">and </w:t>
      </w:r>
      <w:r w:rsidR="00D60B0A" w:rsidRPr="003E3613">
        <w:rPr>
          <w:rFonts w:ascii="Book Antiqua" w:eastAsia="Times New Roman" w:hAnsi="Book Antiqua" w:cs="Times New Roman"/>
          <w:sz w:val="23"/>
          <w:szCs w:val="23"/>
          <w:lang w:val="en-GB"/>
        </w:rPr>
        <w:t xml:space="preserve">that of </w:t>
      </w:r>
      <w:r w:rsidR="009051E6" w:rsidRPr="003E3613">
        <w:rPr>
          <w:rFonts w:ascii="Book Antiqua" w:eastAsia="Times New Roman" w:hAnsi="Book Antiqua" w:cs="Times New Roman"/>
          <w:sz w:val="23"/>
          <w:szCs w:val="23"/>
          <w:lang w:val="en-GB"/>
        </w:rPr>
        <w:t>the online consultation of the European Commission on the future of Europe.</w:t>
      </w:r>
    </w:p>
    <w:p w14:paraId="65F07F1F" w14:textId="77777777" w:rsidR="00B13B4A" w:rsidRPr="003E3613" w:rsidRDefault="00B13B4A" w:rsidP="00204696">
      <w:pPr>
        <w:spacing w:after="0"/>
        <w:jc w:val="both"/>
        <w:rPr>
          <w:rFonts w:ascii="Book Antiqua" w:eastAsia="Times New Roman" w:hAnsi="Book Antiqua" w:cs="Times New Roman"/>
          <w:sz w:val="23"/>
          <w:szCs w:val="23"/>
          <w:lang w:val="en-GB"/>
        </w:rPr>
      </w:pPr>
    </w:p>
    <w:p w14:paraId="5649C205" w14:textId="77777777" w:rsidR="009051E6" w:rsidRPr="003E3613" w:rsidRDefault="009051E6" w:rsidP="00204696">
      <w:pPr>
        <w:spacing w:after="0"/>
        <w:jc w:val="both"/>
        <w:rPr>
          <w:rFonts w:ascii="Book Antiqua" w:hAnsi="Book Antiqua"/>
          <w:color w:val="404040"/>
          <w:sz w:val="23"/>
          <w:szCs w:val="23"/>
          <w:lang w:val="en-GB"/>
        </w:rPr>
      </w:pPr>
      <w:r w:rsidRPr="003E3613">
        <w:rPr>
          <w:rFonts w:ascii="Book Antiqua" w:hAnsi="Book Antiqua" w:cs="Times New Roman"/>
          <w:sz w:val="23"/>
          <w:szCs w:val="23"/>
          <w:lang w:val="en-GB"/>
        </w:rPr>
        <w:t xml:space="preserve">According to the EU </w:t>
      </w:r>
      <w:r w:rsidR="00D60B0A" w:rsidRPr="003E3613">
        <w:rPr>
          <w:rFonts w:ascii="Book Antiqua" w:hAnsi="Book Antiqua" w:cs="Times New Roman"/>
          <w:sz w:val="23"/>
          <w:szCs w:val="23"/>
          <w:lang w:val="en-GB"/>
        </w:rPr>
        <w:t>Citizens’ C</w:t>
      </w:r>
      <w:r w:rsidRPr="003E3613">
        <w:rPr>
          <w:rFonts w:ascii="Book Antiqua" w:hAnsi="Book Antiqua" w:cs="Times New Roman"/>
          <w:sz w:val="23"/>
          <w:szCs w:val="23"/>
          <w:lang w:val="en-GB"/>
        </w:rPr>
        <w:t xml:space="preserve">onsultation </w:t>
      </w:r>
      <w:r w:rsidR="00470259" w:rsidRPr="003E3613">
        <w:rPr>
          <w:rFonts w:ascii="Book Antiqua" w:hAnsi="Book Antiqua" w:cs="Times New Roman"/>
          <w:sz w:val="23"/>
          <w:szCs w:val="23"/>
          <w:lang w:val="en-GB"/>
        </w:rPr>
        <w:t>process</w:t>
      </w:r>
      <w:r w:rsidR="00852A03" w:rsidRPr="003E3613">
        <w:rPr>
          <w:rFonts w:ascii="Book Antiqua" w:hAnsi="Book Antiqua" w:cs="Times New Roman"/>
          <w:sz w:val="23"/>
          <w:szCs w:val="23"/>
          <w:lang w:val="en-GB"/>
        </w:rPr>
        <w:t>,</w:t>
      </w:r>
      <w:r w:rsidRPr="003E3613">
        <w:rPr>
          <w:rFonts w:ascii="Book Antiqua" w:hAnsi="Book Antiqua" w:cs="Times New Roman"/>
          <w:sz w:val="23"/>
          <w:szCs w:val="23"/>
          <w:lang w:val="en-GB"/>
        </w:rPr>
        <w:t xml:space="preserve"> the participating Member States organise</w:t>
      </w:r>
      <w:r w:rsidR="006159CB" w:rsidRPr="003E3613">
        <w:rPr>
          <w:rFonts w:ascii="Book Antiqua" w:hAnsi="Book Antiqua" w:cs="Times New Roman"/>
          <w:sz w:val="23"/>
          <w:szCs w:val="23"/>
          <w:lang w:val="en-GB"/>
        </w:rPr>
        <w:t>d</w:t>
      </w:r>
      <w:r w:rsidRPr="003E3613">
        <w:rPr>
          <w:rFonts w:ascii="Book Antiqua" w:hAnsi="Book Antiqua" w:cs="Times New Roman"/>
          <w:sz w:val="23"/>
          <w:szCs w:val="23"/>
          <w:lang w:val="en-GB"/>
        </w:rPr>
        <w:t xml:space="preserve"> a variety of citizens’ consultation activities and </w:t>
      </w:r>
      <w:r w:rsidR="006159CB" w:rsidRPr="003E3613">
        <w:rPr>
          <w:rFonts w:ascii="Book Antiqua" w:hAnsi="Book Antiqua" w:cs="Times New Roman"/>
          <w:sz w:val="23"/>
          <w:szCs w:val="23"/>
          <w:lang w:val="en-GB"/>
        </w:rPr>
        <w:t xml:space="preserve">could </w:t>
      </w:r>
      <w:r w:rsidRPr="003E3613">
        <w:rPr>
          <w:rFonts w:ascii="Book Antiqua" w:hAnsi="Book Antiqua" w:cs="Times New Roman"/>
          <w:sz w:val="23"/>
          <w:szCs w:val="23"/>
          <w:lang w:val="en-GB"/>
        </w:rPr>
        <w:t xml:space="preserve">decide on the modalities for the implementation of those activities at national level. Therefore, each Member State </w:t>
      </w:r>
      <w:r w:rsidR="006159CB" w:rsidRPr="003E3613">
        <w:rPr>
          <w:rFonts w:ascii="Book Antiqua" w:hAnsi="Book Antiqua" w:cs="Times New Roman"/>
          <w:sz w:val="23"/>
          <w:szCs w:val="23"/>
          <w:lang w:val="en-GB"/>
        </w:rPr>
        <w:t xml:space="preserve">was </w:t>
      </w:r>
      <w:r w:rsidRPr="003E3613">
        <w:rPr>
          <w:rFonts w:ascii="Book Antiqua" w:hAnsi="Book Antiqua" w:cs="Times New Roman"/>
          <w:sz w:val="23"/>
          <w:szCs w:val="23"/>
          <w:lang w:val="en-GB"/>
        </w:rPr>
        <w:t xml:space="preserve">able to discuss different themes that represent importance for its national debate. Hungary is of the opinion that it is important to take into account the different opinions and priorities of </w:t>
      </w:r>
      <w:r w:rsidR="00D60B0A" w:rsidRPr="003E3613">
        <w:rPr>
          <w:rFonts w:ascii="Book Antiqua" w:hAnsi="Book Antiqua" w:cs="Times New Roman"/>
          <w:sz w:val="23"/>
          <w:szCs w:val="23"/>
          <w:lang w:val="en-GB"/>
        </w:rPr>
        <w:t xml:space="preserve">the </w:t>
      </w:r>
      <w:r w:rsidRPr="003E3613">
        <w:rPr>
          <w:rFonts w:ascii="Book Antiqua" w:hAnsi="Book Antiqua" w:cs="Times New Roman"/>
          <w:sz w:val="23"/>
          <w:szCs w:val="23"/>
          <w:lang w:val="en-GB"/>
        </w:rPr>
        <w:t xml:space="preserve">different Member States. Member States need to have the freedom to organize consultations according to their specificities and be able to bring real results </w:t>
      </w:r>
      <w:r w:rsidRPr="003E3613">
        <w:rPr>
          <w:rFonts w:ascii="Book Antiqua" w:hAnsi="Book Antiqua"/>
          <w:sz w:val="23"/>
          <w:szCs w:val="23"/>
          <w:lang w:val="en-GB"/>
        </w:rPr>
        <w:t>on issues that matter to people and certain challenges where solutions are needed</w:t>
      </w:r>
      <w:r w:rsidRPr="003E3613">
        <w:rPr>
          <w:rFonts w:ascii="Book Antiqua" w:hAnsi="Book Antiqua"/>
          <w:color w:val="404040"/>
          <w:sz w:val="23"/>
          <w:szCs w:val="23"/>
          <w:lang w:val="en-GB"/>
        </w:rPr>
        <w:t>.</w:t>
      </w:r>
    </w:p>
    <w:p w14:paraId="66A51A06" w14:textId="77777777" w:rsidR="00852A03" w:rsidRPr="003E3613" w:rsidRDefault="00852A03" w:rsidP="00204696">
      <w:pPr>
        <w:spacing w:after="0"/>
        <w:jc w:val="both"/>
        <w:rPr>
          <w:rFonts w:ascii="Book Antiqua" w:hAnsi="Book Antiqua" w:cs="Times New Roman"/>
          <w:sz w:val="23"/>
          <w:szCs w:val="23"/>
          <w:lang w:val="en-GB"/>
        </w:rPr>
      </w:pPr>
    </w:p>
    <w:p w14:paraId="66E43AB5" w14:textId="77777777" w:rsidR="00FE58EF" w:rsidRPr="003E3613" w:rsidRDefault="00470259" w:rsidP="00204696">
      <w:pPr>
        <w:spacing w:after="0"/>
        <w:jc w:val="both"/>
        <w:rPr>
          <w:rFonts w:ascii="Book Antiqua" w:hAnsi="Book Antiqua" w:cs="Times New Roman"/>
          <w:b/>
          <w:sz w:val="23"/>
          <w:szCs w:val="23"/>
          <w:lang w:val="en-GB"/>
        </w:rPr>
      </w:pPr>
      <w:r w:rsidRPr="003E3613">
        <w:rPr>
          <w:rFonts w:ascii="Book Antiqua" w:hAnsi="Book Antiqua" w:cs="Times New Roman"/>
          <w:b/>
          <w:sz w:val="23"/>
          <w:szCs w:val="23"/>
          <w:lang w:val="en-GB"/>
        </w:rPr>
        <w:t>As a conclusion, t</w:t>
      </w:r>
      <w:r w:rsidR="00FE58EF" w:rsidRPr="003E3613">
        <w:rPr>
          <w:rFonts w:ascii="Book Antiqua" w:hAnsi="Book Antiqua" w:cs="Times New Roman"/>
          <w:b/>
          <w:sz w:val="23"/>
          <w:szCs w:val="23"/>
          <w:lang w:val="en-GB"/>
        </w:rPr>
        <w:t>he functioning of the Hungarian constitutional system does not raise issues that are in conflict with the fundamental values of the European Union. Therefore, it is not justified to mention the elements of recitals 7-11 in a reasoned proposal requesting the Council to determine, pursuant to Article 7(1) of the Treaty on European Union, the existence of a clear risk of a serious breach by Hungary of the values on which the Union is founded.</w:t>
      </w:r>
    </w:p>
    <w:p w14:paraId="5CAD2C7C" w14:textId="77777777" w:rsidR="00A607A0" w:rsidRPr="003E3613" w:rsidRDefault="00A607A0" w:rsidP="00204696">
      <w:pPr>
        <w:pStyle w:val="ListParagraph"/>
        <w:spacing w:after="0"/>
        <w:ind w:left="0"/>
        <w:contextualSpacing w:val="0"/>
        <w:jc w:val="both"/>
        <w:rPr>
          <w:rFonts w:ascii="Book Antiqua" w:hAnsi="Book Antiqua"/>
          <w:sz w:val="23"/>
          <w:szCs w:val="23"/>
          <w:lang w:val="en-GB"/>
        </w:rPr>
      </w:pPr>
    </w:p>
    <w:p w14:paraId="7A907F1D" w14:textId="77777777" w:rsidR="00507F12" w:rsidRPr="003E3613" w:rsidRDefault="00507F12" w:rsidP="00204696">
      <w:pPr>
        <w:pStyle w:val="Heading1"/>
        <w:keepNext w:val="0"/>
        <w:keepLines w:val="0"/>
        <w:pBdr>
          <w:top w:val="single" w:sz="4" w:space="1" w:color="auto"/>
          <w:left w:val="single" w:sz="4" w:space="4" w:color="auto"/>
          <w:bottom w:val="single" w:sz="4" w:space="1" w:color="auto"/>
          <w:right w:val="single" w:sz="4" w:space="4" w:color="auto"/>
        </w:pBdr>
        <w:shd w:val="clear" w:color="auto" w:fill="C6D9F1" w:themeFill="text2" w:themeFillTint="33"/>
        <w:spacing w:before="0"/>
        <w:rPr>
          <w:rFonts w:ascii="Book Antiqua" w:hAnsi="Book Antiqua"/>
          <w:color w:val="auto"/>
          <w:sz w:val="23"/>
          <w:szCs w:val="23"/>
          <w:lang w:val="en-GB"/>
        </w:rPr>
      </w:pPr>
      <w:bookmarkStart w:id="8" w:name="_Toc19120769"/>
      <w:r w:rsidRPr="003E3613">
        <w:rPr>
          <w:rFonts w:ascii="Book Antiqua" w:hAnsi="Book Antiqua"/>
          <w:color w:val="auto"/>
          <w:sz w:val="23"/>
          <w:szCs w:val="23"/>
          <w:lang w:val="en-GB"/>
        </w:rPr>
        <w:t>Independence of the judiciary and of other institutions</w:t>
      </w:r>
      <w:r w:rsidR="00C63027" w:rsidRPr="003E3613">
        <w:rPr>
          <w:rFonts w:ascii="Book Antiqua" w:hAnsi="Book Antiqua"/>
          <w:color w:val="auto"/>
          <w:sz w:val="23"/>
          <w:szCs w:val="23"/>
          <w:lang w:val="en-GB"/>
        </w:rPr>
        <w:t xml:space="preserve"> and the rights of judges</w:t>
      </w:r>
      <w:bookmarkEnd w:id="8"/>
    </w:p>
    <w:p w14:paraId="14697539" w14:textId="77777777" w:rsidR="000C7B10" w:rsidRPr="003E3613" w:rsidRDefault="000C7B10" w:rsidP="00204696">
      <w:pPr>
        <w:spacing w:after="0"/>
        <w:jc w:val="both"/>
        <w:rPr>
          <w:rFonts w:ascii="Book Antiqua" w:hAnsi="Book Antiqua"/>
          <w:i/>
          <w:sz w:val="23"/>
          <w:szCs w:val="23"/>
          <w:lang w:val="en-GB"/>
        </w:rPr>
      </w:pPr>
    </w:p>
    <w:p w14:paraId="15E2B0DE" w14:textId="77777777" w:rsidR="00F400FE" w:rsidRDefault="00470259"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The Hungarian Government strongly rejects the accusations regarding the independence of the Hungarian judiciary. </w:t>
      </w:r>
      <w:r w:rsidR="00E75CF6" w:rsidRPr="003E3613">
        <w:rPr>
          <w:rFonts w:ascii="Book Antiqua" w:hAnsi="Book Antiqua" w:cs="Times New Roman"/>
          <w:sz w:val="23"/>
          <w:szCs w:val="23"/>
          <w:lang w:val="en-GB"/>
        </w:rPr>
        <w:t>The performance of the Hungarian Court system is in the frontline of Europe according to the</w:t>
      </w:r>
      <w:r w:rsidR="00186984" w:rsidRPr="003E3613">
        <w:rPr>
          <w:rFonts w:ascii="Book Antiqua" w:hAnsi="Book Antiqua" w:cs="Times New Roman"/>
          <w:sz w:val="23"/>
          <w:szCs w:val="23"/>
          <w:lang w:val="en-GB"/>
        </w:rPr>
        <w:t xml:space="preserve"> objective index numbers</w:t>
      </w:r>
      <w:r w:rsidR="00E75CF6" w:rsidRPr="003E3613">
        <w:rPr>
          <w:rFonts w:ascii="Book Antiqua" w:hAnsi="Book Antiqua" w:cs="Times New Roman"/>
          <w:sz w:val="23"/>
          <w:szCs w:val="23"/>
          <w:lang w:val="en-GB"/>
        </w:rPr>
        <w:t xml:space="preserve"> </w:t>
      </w:r>
      <w:r w:rsidR="00186984" w:rsidRPr="003E3613">
        <w:rPr>
          <w:rFonts w:ascii="Book Antiqua" w:hAnsi="Book Antiqua" w:cs="Times New Roman"/>
          <w:sz w:val="23"/>
          <w:szCs w:val="23"/>
          <w:lang w:val="en-GB"/>
        </w:rPr>
        <w:t xml:space="preserve">of the </w:t>
      </w:r>
      <w:r w:rsidR="00E75CF6" w:rsidRPr="003E3613">
        <w:rPr>
          <w:rFonts w:ascii="Book Antiqua" w:hAnsi="Book Antiqua" w:cs="Times New Roman"/>
          <w:sz w:val="23"/>
          <w:szCs w:val="23"/>
          <w:lang w:val="en-GB"/>
        </w:rPr>
        <w:t xml:space="preserve">EU Justice Scoreboard. </w:t>
      </w:r>
      <w:r w:rsidRPr="003E3613">
        <w:rPr>
          <w:rFonts w:ascii="Book Antiqua" w:hAnsi="Book Antiqua" w:cs="Times New Roman"/>
          <w:sz w:val="23"/>
          <w:szCs w:val="23"/>
          <w:lang w:val="en-GB"/>
        </w:rPr>
        <w:t xml:space="preserve">In recent years, the general accusations of the politicians of the institutions of the EU and of some Member States, claiming that "there is a problem" with the independence of the Hungarian judiciary, </w:t>
      </w:r>
      <w:r w:rsidR="000C7B10" w:rsidRPr="003E3613">
        <w:rPr>
          <w:rFonts w:ascii="Book Antiqua" w:hAnsi="Book Antiqua" w:cs="Times New Roman"/>
          <w:sz w:val="23"/>
          <w:szCs w:val="23"/>
          <w:lang w:val="en-GB"/>
        </w:rPr>
        <w:t xml:space="preserve">resulted in an </w:t>
      </w:r>
      <w:r w:rsidRPr="003E3613">
        <w:rPr>
          <w:rFonts w:ascii="Book Antiqua" w:hAnsi="Book Antiqua" w:cs="Times New Roman"/>
          <w:sz w:val="23"/>
          <w:szCs w:val="23"/>
          <w:lang w:val="en-GB"/>
        </w:rPr>
        <w:t>enormous damage to Hungary and, last but not least, to the European Union, due to the loss of trust. As part of the judicial reform that began in 2011, the Hungarian Government has successfully conducted discussions with the Venice Commission and the European Commission on all issues</w:t>
      </w:r>
      <w:r w:rsidRPr="003E3613">
        <w:rPr>
          <w:rFonts w:ascii="Book Antiqua" w:hAnsi="Book Antiqua"/>
          <w:sz w:val="23"/>
          <w:szCs w:val="23"/>
          <w:lang w:val="en-GB"/>
        </w:rPr>
        <w:t xml:space="preserve"> </w:t>
      </w:r>
      <w:r w:rsidRPr="003E3613">
        <w:rPr>
          <w:rFonts w:ascii="Book Antiqua" w:hAnsi="Book Antiqua" w:cs="Times New Roman"/>
          <w:sz w:val="23"/>
          <w:szCs w:val="23"/>
          <w:lang w:val="en-GB"/>
        </w:rPr>
        <w:t xml:space="preserve">and closed all </w:t>
      </w:r>
      <w:r w:rsidR="000C7B10" w:rsidRPr="003E3613">
        <w:rPr>
          <w:rFonts w:ascii="Book Antiqua" w:hAnsi="Book Antiqua" w:cs="Times New Roman"/>
          <w:sz w:val="23"/>
          <w:szCs w:val="23"/>
          <w:lang w:val="en-GB"/>
        </w:rPr>
        <w:t xml:space="preserve">remaining </w:t>
      </w:r>
      <w:r w:rsidRPr="003E3613">
        <w:rPr>
          <w:rFonts w:ascii="Book Antiqua" w:hAnsi="Book Antiqua" w:cs="Times New Roman"/>
          <w:sz w:val="23"/>
          <w:szCs w:val="23"/>
          <w:lang w:val="en-GB"/>
        </w:rPr>
        <w:t xml:space="preserve">issues in a satisfactory manner. </w:t>
      </w:r>
      <w:r w:rsidR="00E75CF6" w:rsidRPr="003E3613">
        <w:rPr>
          <w:rFonts w:ascii="Book Antiqua" w:hAnsi="Book Antiqua" w:cs="Times New Roman"/>
          <w:sz w:val="23"/>
          <w:szCs w:val="23"/>
          <w:lang w:val="en-GB"/>
        </w:rPr>
        <w:t xml:space="preserve">The core of the </w:t>
      </w:r>
    </w:p>
    <w:p w14:paraId="2AABAC57" w14:textId="77777777" w:rsidR="00F400FE" w:rsidRDefault="00F400FE">
      <w:pPr>
        <w:rPr>
          <w:rFonts w:ascii="Book Antiqua" w:hAnsi="Book Antiqua" w:cs="Times New Roman"/>
          <w:sz w:val="23"/>
          <w:szCs w:val="23"/>
          <w:lang w:val="en-GB"/>
        </w:rPr>
      </w:pPr>
      <w:r>
        <w:rPr>
          <w:rFonts w:ascii="Book Antiqua" w:hAnsi="Book Antiqua" w:cs="Times New Roman"/>
          <w:sz w:val="23"/>
          <w:szCs w:val="23"/>
          <w:lang w:val="en-GB"/>
        </w:rPr>
        <w:br w:type="page"/>
      </w:r>
    </w:p>
    <w:p w14:paraId="2CC2BE96" w14:textId="34A7F696" w:rsidR="00470259" w:rsidRPr="003E3613" w:rsidRDefault="00E75CF6"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lastRenderedPageBreak/>
        <w:t xml:space="preserve">sovereignty of a nation is the establishment of its judicial system, and we expect that it be respected, </w:t>
      </w:r>
      <w:r w:rsidR="00BA2808" w:rsidRPr="003E3613">
        <w:rPr>
          <w:rFonts w:ascii="Book Antiqua" w:hAnsi="Book Antiqua" w:cs="Times New Roman"/>
          <w:sz w:val="23"/>
          <w:szCs w:val="23"/>
          <w:lang w:val="en-GB"/>
        </w:rPr>
        <w:t>however,</w:t>
      </w:r>
      <w:r w:rsidRPr="003E3613">
        <w:rPr>
          <w:rFonts w:ascii="Book Antiqua" w:hAnsi="Book Antiqua" w:cs="Times New Roman"/>
          <w:sz w:val="23"/>
          <w:szCs w:val="23"/>
          <w:lang w:val="en-GB"/>
        </w:rPr>
        <w:t xml:space="preserve"> t</w:t>
      </w:r>
      <w:r w:rsidR="00470259" w:rsidRPr="003E3613">
        <w:rPr>
          <w:rFonts w:ascii="Book Antiqua" w:hAnsi="Book Antiqua" w:cs="Times New Roman"/>
          <w:sz w:val="23"/>
          <w:szCs w:val="23"/>
          <w:lang w:val="en-GB"/>
        </w:rPr>
        <w:t>he European Parliament</w:t>
      </w:r>
      <w:r w:rsidR="000C7B10" w:rsidRPr="003E3613">
        <w:rPr>
          <w:rFonts w:ascii="Book Antiqua" w:hAnsi="Book Antiqua" w:cs="Times New Roman"/>
          <w:sz w:val="23"/>
          <w:szCs w:val="23"/>
          <w:lang w:val="en-GB"/>
        </w:rPr>
        <w:t>’s</w:t>
      </w:r>
      <w:r w:rsidR="00470259" w:rsidRPr="003E3613">
        <w:rPr>
          <w:rFonts w:ascii="Book Antiqua" w:hAnsi="Book Antiqua" w:cs="Times New Roman"/>
          <w:sz w:val="23"/>
          <w:szCs w:val="23"/>
          <w:lang w:val="en-GB"/>
        </w:rPr>
        <w:t xml:space="preserve"> </w:t>
      </w:r>
      <w:r w:rsidR="000C7B10" w:rsidRPr="003E3613">
        <w:rPr>
          <w:rFonts w:ascii="Book Antiqua" w:hAnsi="Book Antiqua" w:cs="Times New Roman"/>
          <w:sz w:val="23"/>
          <w:szCs w:val="23"/>
          <w:lang w:val="en-GB"/>
        </w:rPr>
        <w:t xml:space="preserve">reasoned proposal </w:t>
      </w:r>
      <w:r w:rsidR="00470259" w:rsidRPr="003E3613">
        <w:rPr>
          <w:rFonts w:ascii="Book Antiqua" w:hAnsi="Book Antiqua" w:cs="Times New Roman"/>
          <w:sz w:val="23"/>
          <w:szCs w:val="23"/>
          <w:lang w:val="en-GB"/>
        </w:rPr>
        <w:t xml:space="preserve">devoted a separate chapter to the independence of the judiciary and several closed issues are listed as ongoing and unresolved </w:t>
      </w:r>
      <w:r w:rsidR="000C7B10" w:rsidRPr="003E3613">
        <w:rPr>
          <w:rFonts w:ascii="Book Antiqua" w:hAnsi="Book Antiqua" w:cs="Times New Roman"/>
          <w:sz w:val="23"/>
          <w:szCs w:val="23"/>
          <w:lang w:val="en-GB"/>
        </w:rPr>
        <w:t xml:space="preserve">ones </w:t>
      </w:r>
      <w:r w:rsidR="00470259" w:rsidRPr="003E3613">
        <w:rPr>
          <w:rFonts w:ascii="Book Antiqua" w:hAnsi="Book Antiqua" w:cs="Times New Roman"/>
          <w:sz w:val="23"/>
          <w:szCs w:val="23"/>
          <w:lang w:val="en-GB"/>
        </w:rPr>
        <w:t xml:space="preserve">or as they would be a question of particular concern. The Hungarian Government notes that the mere fact that certain rules concern courts or judges cannot </w:t>
      </w:r>
      <w:r w:rsidR="00F7248B" w:rsidRPr="003E3613">
        <w:rPr>
          <w:rFonts w:ascii="Book Antiqua" w:hAnsi="Book Antiqua" w:cs="Times New Roman"/>
          <w:sz w:val="23"/>
          <w:szCs w:val="23"/>
          <w:lang w:val="en-GB"/>
        </w:rPr>
        <w:t xml:space="preserve">be interpreted </w:t>
      </w:r>
      <w:r w:rsidR="00470259" w:rsidRPr="003E3613">
        <w:rPr>
          <w:rFonts w:ascii="Book Antiqua" w:hAnsi="Book Antiqua" w:cs="Times New Roman"/>
          <w:sz w:val="23"/>
          <w:szCs w:val="23"/>
          <w:lang w:val="en-GB"/>
        </w:rPr>
        <w:t xml:space="preserve">that the issue </w:t>
      </w:r>
      <w:r w:rsidR="00F7248B" w:rsidRPr="003E3613">
        <w:rPr>
          <w:rFonts w:ascii="Book Antiqua" w:hAnsi="Book Antiqua" w:cs="Times New Roman"/>
          <w:sz w:val="23"/>
          <w:szCs w:val="23"/>
          <w:lang w:val="en-GB"/>
        </w:rPr>
        <w:t xml:space="preserve">would be </w:t>
      </w:r>
      <w:r w:rsidR="00470259" w:rsidRPr="003E3613">
        <w:rPr>
          <w:rFonts w:ascii="Book Antiqua" w:hAnsi="Book Antiqua" w:cs="Times New Roman"/>
          <w:sz w:val="23"/>
          <w:szCs w:val="23"/>
          <w:lang w:val="en-GB"/>
        </w:rPr>
        <w:t xml:space="preserve">a rule-of-law-related question. Therefore, the Hungarian Government regrets that the </w:t>
      </w:r>
      <w:r w:rsidR="00F7248B" w:rsidRPr="003E3613">
        <w:rPr>
          <w:rFonts w:ascii="Book Antiqua" w:hAnsi="Book Antiqua" w:cs="Times New Roman"/>
          <w:sz w:val="23"/>
          <w:szCs w:val="23"/>
          <w:lang w:val="en-GB"/>
        </w:rPr>
        <w:t xml:space="preserve">reasoned </w:t>
      </w:r>
      <w:r w:rsidR="00BB2F56" w:rsidRPr="003E3613">
        <w:rPr>
          <w:rFonts w:ascii="Book Antiqua" w:hAnsi="Book Antiqua" w:cs="Times New Roman"/>
          <w:sz w:val="23"/>
          <w:szCs w:val="23"/>
          <w:lang w:val="en-GB"/>
        </w:rPr>
        <w:t xml:space="preserve">proposal </w:t>
      </w:r>
      <w:r w:rsidR="00470259" w:rsidRPr="003E3613">
        <w:rPr>
          <w:rFonts w:ascii="Book Antiqua" w:hAnsi="Book Antiqua" w:cs="Times New Roman"/>
          <w:sz w:val="23"/>
          <w:szCs w:val="23"/>
          <w:lang w:val="en-GB"/>
        </w:rPr>
        <w:t xml:space="preserve">treats those as such and seeks to link - in vain - the modification of those rules to the alleged harm to the principle of </w:t>
      </w:r>
      <w:r w:rsidR="00F7248B" w:rsidRPr="003E3613">
        <w:rPr>
          <w:rFonts w:ascii="Book Antiqua" w:hAnsi="Book Antiqua" w:cs="Times New Roman"/>
          <w:sz w:val="23"/>
          <w:szCs w:val="23"/>
          <w:lang w:val="en-GB"/>
        </w:rPr>
        <w:t xml:space="preserve">the </w:t>
      </w:r>
      <w:r w:rsidR="00470259" w:rsidRPr="003E3613">
        <w:rPr>
          <w:rFonts w:ascii="Book Antiqua" w:hAnsi="Book Antiqua" w:cs="Times New Roman"/>
          <w:sz w:val="23"/>
          <w:szCs w:val="23"/>
          <w:lang w:val="en-GB"/>
        </w:rPr>
        <w:t>rule of law. This approach is false and misleading.</w:t>
      </w:r>
    </w:p>
    <w:p w14:paraId="461640C8" w14:textId="77777777" w:rsidR="00221CD2" w:rsidRPr="003E3613" w:rsidRDefault="00221CD2" w:rsidP="00204696">
      <w:pPr>
        <w:spacing w:after="0"/>
        <w:jc w:val="both"/>
        <w:rPr>
          <w:rFonts w:ascii="Book Antiqua" w:hAnsi="Book Antiqua" w:cs="Times New Roman"/>
          <w:sz w:val="23"/>
          <w:szCs w:val="23"/>
          <w:lang w:val="en-GB"/>
        </w:rPr>
      </w:pPr>
    </w:p>
    <w:p w14:paraId="5EC00CA6" w14:textId="77777777" w:rsidR="00221CD2" w:rsidRPr="003E3613" w:rsidRDefault="00221CD2"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In Hungary, the Fundamental Law guarantees the personal independence of judges, the judges are only subordinated to law and may not be instructed as regards their judicial activity. A cardinal law determines the detailed system of guarantees of the independence of the judges. Moreover, the organisation of the judiciary is also independent, the administration of the judiciary is not subordinated to the Government. </w:t>
      </w:r>
    </w:p>
    <w:p w14:paraId="08B22DE6" w14:textId="77777777" w:rsidR="00221CD2" w:rsidRPr="003E3613" w:rsidRDefault="00221CD2" w:rsidP="00204696">
      <w:pPr>
        <w:spacing w:after="0"/>
        <w:jc w:val="both"/>
        <w:rPr>
          <w:rFonts w:ascii="Book Antiqua" w:hAnsi="Book Antiqua" w:cs="Times New Roman"/>
          <w:sz w:val="23"/>
          <w:szCs w:val="23"/>
          <w:lang w:val="en-GB"/>
        </w:rPr>
      </w:pPr>
    </w:p>
    <w:p w14:paraId="3697921E" w14:textId="77777777" w:rsidR="00221CD2" w:rsidRPr="003E3613" w:rsidRDefault="00221CD2"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The administration of the judiciary is headed by the President of the National Office for the Judiciary</w:t>
      </w:r>
      <w:r w:rsidR="00A12793" w:rsidRPr="003E3613">
        <w:rPr>
          <w:rFonts w:ascii="Book Antiqua" w:hAnsi="Book Antiqua" w:cs="Times New Roman"/>
          <w:sz w:val="23"/>
          <w:szCs w:val="23"/>
          <w:lang w:val="en-GB"/>
        </w:rPr>
        <w:t xml:space="preserve"> (NOJ)</w:t>
      </w:r>
      <w:r w:rsidRPr="003E3613">
        <w:rPr>
          <w:rFonts w:ascii="Book Antiqua" w:hAnsi="Book Antiqua" w:cs="Times New Roman"/>
          <w:sz w:val="23"/>
          <w:szCs w:val="23"/>
          <w:lang w:val="en-GB"/>
        </w:rPr>
        <w:t xml:space="preserve">, </w:t>
      </w:r>
      <w:r w:rsidR="00BA2808" w:rsidRPr="003E3613">
        <w:rPr>
          <w:rFonts w:ascii="Book Antiqua" w:hAnsi="Book Antiqua" w:cs="Times New Roman"/>
          <w:sz w:val="23"/>
          <w:szCs w:val="23"/>
          <w:lang w:val="en-GB"/>
        </w:rPr>
        <w:t>who is a judge, whose independence from the executive is guaranteed by the Fundamental Law. The President shares competences with the National Judicial Council</w:t>
      </w:r>
      <w:r w:rsidR="00A12793" w:rsidRPr="003E3613">
        <w:rPr>
          <w:rFonts w:ascii="Book Antiqua" w:hAnsi="Book Antiqua" w:cs="Times New Roman"/>
          <w:sz w:val="23"/>
          <w:szCs w:val="23"/>
          <w:lang w:val="en-GB"/>
        </w:rPr>
        <w:t xml:space="preserve"> (hereinafter NJC)</w:t>
      </w:r>
      <w:r w:rsidR="00BA2808" w:rsidRPr="003E3613">
        <w:rPr>
          <w:rFonts w:ascii="Book Antiqua" w:hAnsi="Book Antiqua" w:cs="Times New Roman"/>
          <w:sz w:val="23"/>
          <w:szCs w:val="23"/>
          <w:lang w:val="en-GB"/>
        </w:rPr>
        <w:t>, which is established by a cardinal law and whose members may only be judges</w:t>
      </w:r>
      <w:r w:rsidRPr="003E3613">
        <w:rPr>
          <w:rFonts w:ascii="Book Antiqua" w:hAnsi="Book Antiqua" w:cs="Times New Roman"/>
          <w:sz w:val="23"/>
          <w:szCs w:val="23"/>
          <w:lang w:val="en-GB"/>
        </w:rPr>
        <w:t>.</w:t>
      </w:r>
    </w:p>
    <w:p w14:paraId="6FCD6043" w14:textId="77777777" w:rsidR="00470259" w:rsidRPr="003E3613" w:rsidRDefault="00470259" w:rsidP="00204696">
      <w:pPr>
        <w:spacing w:after="0"/>
        <w:jc w:val="both"/>
        <w:rPr>
          <w:rFonts w:ascii="Book Antiqua" w:hAnsi="Book Antiqua"/>
          <w:i/>
          <w:sz w:val="23"/>
          <w:szCs w:val="23"/>
          <w:lang w:val="en-GB"/>
        </w:rPr>
      </w:pPr>
    </w:p>
    <w:p w14:paraId="34F2E29A" w14:textId="77777777" w:rsidR="00507F12" w:rsidRPr="003E3613" w:rsidRDefault="00507F12" w:rsidP="00204696">
      <w:pPr>
        <w:pStyle w:val="Heading2"/>
        <w:keepNext w:val="0"/>
        <w:keepLines w:val="0"/>
        <w:spacing w:before="0"/>
        <w:rPr>
          <w:rFonts w:ascii="Book Antiqua" w:hAnsi="Book Antiqua"/>
          <w:color w:val="auto"/>
          <w:sz w:val="23"/>
          <w:szCs w:val="23"/>
          <w:lang w:val="en-GB"/>
        </w:rPr>
      </w:pPr>
      <w:bookmarkStart w:id="9" w:name="_Toc19120770"/>
      <w:r w:rsidRPr="003E3613">
        <w:rPr>
          <w:rFonts w:ascii="Book Antiqua" w:hAnsi="Book Antiqua"/>
          <w:color w:val="auto"/>
          <w:sz w:val="23"/>
          <w:szCs w:val="23"/>
          <w:lang w:val="en-GB"/>
        </w:rPr>
        <w:t>Centralised administration of courts</w:t>
      </w:r>
      <w:r w:rsidR="003C216E" w:rsidRPr="003E3613">
        <w:rPr>
          <w:rFonts w:ascii="Book Antiqua" w:hAnsi="Book Antiqua"/>
          <w:color w:val="auto"/>
          <w:sz w:val="23"/>
          <w:szCs w:val="23"/>
          <w:lang w:val="en-GB"/>
        </w:rPr>
        <w:t xml:space="preserve"> / independence of judges and lawyers</w:t>
      </w:r>
      <w:bookmarkEnd w:id="9"/>
    </w:p>
    <w:p w14:paraId="64EBF5F3" w14:textId="77777777" w:rsidR="00507F12" w:rsidRPr="003E3613" w:rsidRDefault="00507F12" w:rsidP="00204696">
      <w:pPr>
        <w:spacing w:after="0"/>
        <w:jc w:val="both"/>
        <w:rPr>
          <w:rFonts w:ascii="Book Antiqua" w:hAnsi="Book Antiqua"/>
          <w:b/>
          <w:sz w:val="23"/>
          <w:szCs w:val="23"/>
          <w:lang w:val="en-GB"/>
        </w:rPr>
      </w:pPr>
    </w:p>
    <w:p w14:paraId="4B475A78" w14:textId="77777777" w:rsidR="00507F12" w:rsidRPr="003E3613" w:rsidRDefault="00507F12" w:rsidP="00204696">
      <w:pPr>
        <w:spacing w:after="0"/>
        <w:jc w:val="both"/>
        <w:rPr>
          <w:rFonts w:ascii="Book Antiqua" w:hAnsi="Book Antiqua"/>
          <w:sz w:val="23"/>
          <w:szCs w:val="23"/>
          <w:lang w:val="en-GB"/>
        </w:rPr>
      </w:pPr>
      <w:r w:rsidRPr="003E3613">
        <w:rPr>
          <w:rFonts w:ascii="Book Antiqua" w:hAnsi="Book Antiqua"/>
          <w:i/>
          <w:sz w:val="23"/>
          <w:szCs w:val="23"/>
          <w:lang w:val="en-GB"/>
        </w:rPr>
        <w:t>(</w:t>
      </w:r>
      <w:r w:rsidR="00C63027" w:rsidRPr="003E3613">
        <w:rPr>
          <w:rFonts w:ascii="Book Antiqua" w:hAnsi="Book Antiqua"/>
          <w:i/>
          <w:sz w:val="23"/>
          <w:szCs w:val="23"/>
          <w:lang w:val="en-GB"/>
        </w:rPr>
        <w:t>12</w:t>
      </w:r>
      <w:r w:rsidRPr="003E3613">
        <w:rPr>
          <w:rFonts w:ascii="Book Antiqua" w:hAnsi="Book Antiqua"/>
          <w:i/>
          <w:sz w:val="23"/>
          <w:szCs w:val="23"/>
          <w:lang w:val="en-GB"/>
        </w:rPr>
        <w:t>) As a result of the extensive changes to the legal framework enacted in 2011, the president of the newly created National Judicial Office (NJO) was entrusted with extensive powers. The Venice Commission criticised those extensive powers in its Opinion on Act CLXII of 2011 on the Legal Status and Remuneration of Judges and Act CLXI of 2011 on the Organisation and Administration of Courts of Hungary, adopted on 19 March 2012 and in its Opinion on the Cardinal Acts on the Judiciary, adopted on 15 October 2012. Similar concerns have been raised by the UN Special Rapporteur on the independence of judges and lawyers on 29 February 2012 and on 3 July 2013, as well as by the Group of States against Corruption (GRECO) in its report adopted on 27 March 2015. All those actors emphasised the need to enhance the role of the collective body, the National Judicial Council (NJC), as an oversight instance, because the president of the NJO, who is elected by the Hungarian Parliament, cannot be considered an organ of judicial self-government. Following international recommendations, the status of the president of the NJO</w:t>
      </w:r>
      <w:r w:rsidR="00A12793" w:rsidRPr="003E3613">
        <w:rPr>
          <w:rFonts w:ascii="Book Antiqua" w:hAnsi="Book Antiqua"/>
          <w:i/>
          <w:sz w:val="23"/>
          <w:szCs w:val="23"/>
          <w:lang w:val="en-GB"/>
        </w:rPr>
        <w:t xml:space="preserve"> </w:t>
      </w:r>
      <w:r w:rsidRPr="003E3613">
        <w:rPr>
          <w:rFonts w:ascii="Book Antiqua" w:hAnsi="Book Antiqua"/>
          <w:i/>
          <w:sz w:val="23"/>
          <w:szCs w:val="23"/>
          <w:lang w:val="en-GB"/>
        </w:rPr>
        <w:t xml:space="preserve">was changed and the president’s powers restricted in order to ensure a better balance between the president and the </w:t>
      </w:r>
      <w:r w:rsidR="00C63027" w:rsidRPr="003E3613">
        <w:rPr>
          <w:rFonts w:ascii="Book Antiqua" w:hAnsi="Book Antiqua"/>
          <w:i/>
          <w:sz w:val="23"/>
          <w:szCs w:val="23"/>
          <w:lang w:val="en-GB"/>
        </w:rPr>
        <w:t>NJC</w:t>
      </w:r>
      <w:r w:rsidRPr="003E3613">
        <w:rPr>
          <w:rFonts w:ascii="Book Antiqua" w:hAnsi="Book Antiqua"/>
          <w:i/>
          <w:sz w:val="23"/>
          <w:szCs w:val="23"/>
          <w:lang w:val="en-GB"/>
        </w:rPr>
        <w:t>.</w:t>
      </w:r>
    </w:p>
    <w:p w14:paraId="0B669CB7" w14:textId="77777777" w:rsidR="003C216E" w:rsidRPr="003E3613" w:rsidRDefault="003C216E" w:rsidP="00204696">
      <w:pPr>
        <w:spacing w:after="0"/>
        <w:jc w:val="both"/>
        <w:rPr>
          <w:rFonts w:ascii="Book Antiqua" w:hAnsi="Book Antiqua"/>
          <w:sz w:val="23"/>
          <w:szCs w:val="23"/>
          <w:lang w:val="en-GB"/>
        </w:rPr>
      </w:pPr>
    </w:p>
    <w:p w14:paraId="7A96DA44" w14:textId="77777777" w:rsidR="00E30977" w:rsidRPr="003E3613" w:rsidRDefault="00ED44E1" w:rsidP="00204696">
      <w:pPr>
        <w:spacing w:after="0"/>
        <w:jc w:val="both"/>
        <w:rPr>
          <w:rFonts w:ascii="Book Antiqua" w:hAnsi="Book Antiqua"/>
          <w:sz w:val="23"/>
          <w:szCs w:val="23"/>
          <w:lang w:val="en-GB"/>
        </w:rPr>
      </w:pPr>
      <w:r w:rsidRPr="003E3613">
        <w:rPr>
          <w:rFonts w:ascii="Book Antiqua" w:hAnsi="Book Antiqua"/>
          <w:sz w:val="23"/>
          <w:szCs w:val="23"/>
          <w:lang w:val="en-GB"/>
        </w:rPr>
        <w:t>First of all, it must be noted that</w:t>
      </w:r>
      <w:r w:rsidR="00E741AD" w:rsidRPr="003E3613">
        <w:rPr>
          <w:rFonts w:ascii="Book Antiqua" w:hAnsi="Book Antiqua"/>
          <w:sz w:val="23"/>
          <w:szCs w:val="23"/>
          <w:lang w:val="en-GB"/>
        </w:rPr>
        <w:t xml:space="preserve"> the Group of States against Corruption (GRECO)</w:t>
      </w:r>
      <w:r w:rsidR="00554D9C" w:rsidRPr="003E3613">
        <w:rPr>
          <w:rFonts w:ascii="Book Antiqua" w:hAnsi="Book Antiqua"/>
          <w:sz w:val="23"/>
          <w:szCs w:val="23"/>
          <w:lang w:val="en-GB"/>
        </w:rPr>
        <w:t xml:space="preserve"> </w:t>
      </w:r>
      <w:r w:rsidR="00E741AD" w:rsidRPr="003E3613">
        <w:rPr>
          <w:rFonts w:ascii="Book Antiqua" w:hAnsi="Book Antiqua"/>
          <w:sz w:val="23"/>
          <w:szCs w:val="23"/>
          <w:lang w:val="en-GB"/>
        </w:rPr>
        <w:t xml:space="preserve">was established in 1999 by the Council of Europe with the objective to improve the capacity of its members to fight corruption by monitoring their compliance with Council of Europe anti-corruption standards through a dynamic process of mutual evaluation and peer pressure. </w:t>
      </w:r>
      <w:r w:rsidR="00E741AD" w:rsidRPr="003E3613">
        <w:rPr>
          <w:rFonts w:ascii="Book Antiqua" w:hAnsi="Book Antiqua"/>
          <w:sz w:val="23"/>
          <w:szCs w:val="23"/>
          <w:lang w:val="en-GB"/>
        </w:rPr>
        <w:lastRenderedPageBreak/>
        <w:t xml:space="preserve">Currently, GRECO comprises </w:t>
      </w:r>
      <w:r w:rsidR="00852A03" w:rsidRPr="003E3613">
        <w:rPr>
          <w:rFonts w:ascii="Book Antiqua" w:hAnsi="Book Antiqua"/>
          <w:sz w:val="23"/>
          <w:szCs w:val="23"/>
          <w:lang w:val="en-GB"/>
        </w:rPr>
        <w:t xml:space="preserve">of </w:t>
      </w:r>
      <w:r w:rsidR="00E741AD" w:rsidRPr="003E3613">
        <w:rPr>
          <w:rFonts w:ascii="Book Antiqua" w:hAnsi="Book Antiqua"/>
          <w:sz w:val="23"/>
          <w:szCs w:val="23"/>
          <w:lang w:val="en-GB"/>
        </w:rPr>
        <w:t>49 member States (48 European States, including all the Member States of the European Union and the United States of America).</w:t>
      </w:r>
      <w:r w:rsidR="00E57727" w:rsidRPr="003E3613">
        <w:rPr>
          <w:rFonts w:ascii="Book Antiqua" w:hAnsi="Book Antiqua"/>
          <w:sz w:val="23"/>
          <w:szCs w:val="23"/>
          <w:lang w:val="en-GB"/>
        </w:rPr>
        <w:t xml:space="preserve"> </w:t>
      </w:r>
    </w:p>
    <w:p w14:paraId="08404EFA" w14:textId="77777777" w:rsidR="00E75CF6" w:rsidRPr="003E3613" w:rsidRDefault="00E75CF6" w:rsidP="00204696">
      <w:pPr>
        <w:spacing w:after="0"/>
        <w:jc w:val="both"/>
        <w:rPr>
          <w:rFonts w:ascii="Book Antiqua" w:hAnsi="Book Antiqua"/>
          <w:sz w:val="23"/>
          <w:szCs w:val="23"/>
          <w:lang w:val="en-GB"/>
        </w:rPr>
      </w:pPr>
    </w:p>
    <w:p w14:paraId="2622926E" w14:textId="77777777" w:rsidR="00023C41" w:rsidRPr="003E3613" w:rsidRDefault="00E57727" w:rsidP="00204696">
      <w:pPr>
        <w:spacing w:after="0"/>
        <w:jc w:val="both"/>
        <w:rPr>
          <w:rFonts w:ascii="Book Antiqua" w:hAnsi="Book Antiqua"/>
          <w:sz w:val="23"/>
          <w:szCs w:val="23"/>
          <w:lang w:val="en-GB"/>
        </w:rPr>
      </w:pPr>
      <w:r w:rsidRPr="003E3613">
        <w:rPr>
          <w:rFonts w:ascii="Book Antiqua" w:hAnsi="Book Antiqua"/>
          <w:sz w:val="23"/>
          <w:szCs w:val="23"/>
          <w:lang w:val="en-GB"/>
        </w:rPr>
        <w:t>In the frame</w:t>
      </w:r>
      <w:r w:rsidR="00324199" w:rsidRPr="003E3613">
        <w:rPr>
          <w:rFonts w:ascii="Book Antiqua" w:hAnsi="Book Antiqua"/>
          <w:sz w:val="23"/>
          <w:szCs w:val="23"/>
          <w:lang w:val="en-GB"/>
        </w:rPr>
        <w:t>work of its monitor</w:t>
      </w:r>
      <w:r w:rsidRPr="003E3613">
        <w:rPr>
          <w:rFonts w:ascii="Book Antiqua" w:hAnsi="Book Antiqua"/>
          <w:sz w:val="23"/>
          <w:szCs w:val="23"/>
          <w:lang w:val="en-GB"/>
        </w:rPr>
        <w:t>ing mechanism</w:t>
      </w:r>
      <w:r w:rsidR="00747D1E" w:rsidRPr="003E3613">
        <w:rPr>
          <w:rFonts w:ascii="Book Antiqua" w:hAnsi="Book Antiqua"/>
          <w:sz w:val="23"/>
          <w:szCs w:val="23"/>
          <w:lang w:val="en-GB"/>
        </w:rPr>
        <w:t>,</w:t>
      </w:r>
      <w:r w:rsidRPr="003E3613">
        <w:rPr>
          <w:rFonts w:ascii="Book Antiqua" w:hAnsi="Book Antiqua"/>
          <w:sz w:val="23"/>
          <w:szCs w:val="23"/>
          <w:lang w:val="en-GB"/>
        </w:rPr>
        <w:t xml:space="preserve"> </w:t>
      </w:r>
      <w:r w:rsidR="00E741AD" w:rsidRPr="003E3613">
        <w:rPr>
          <w:rFonts w:ascii="Book Antiqua" w:hAnsi="Book Antiqua"/>
          <w:sz w:val="23"/>
          <w:szCs w:val="23"/>
          <w:lang w:val="en-GB"/>
        </w:rPr>
        <w:t xml:space="preserve">GRECO </w:t>
      </w:r>
      <w:r w:rsidR="00324199" w:rsidRPr="003E3613">
        <w:rPr>
          <w:rFonts w:ascii="Book Antiqua" w:hAnsi="Book Antiqua"/>
          <w:sz w:val="23"/>
          <w:szCs w:val="23"/>
          <w:lang w:val="en-GB"/>
        </w:rPr>
        <w:t>might address recommendations to the member undergoing the evaluation in order to improve its domestic laws and practices to combat corruption</w:t>
      </w:r>
      <w:r w:rsidR="00476ACC" w:rsidRPr="003E3613">
        <w:rPr>
          <w:rFonts w:ascii="Book Antiqua" w:hAnsi="Book Antiqua"/>
          <w:sz w:val="23"/>
          <w:szCs w:val="23"/>
          <w:lang w:val="en-GB"/>
        </w:rPr>
        <w:t xml:space="preserve"> which the country </w:t>
      </w:r>
      <w:r w:rsidR="00852A03" w:rsidRPr="003E3613">
        <w:rPr>
          <w:rFonts w:ascii="Book Antiqua" w:hAnsi="Book Antiqua"/>
          <w:sz w:val="23"/>
          <w:szCs w:val="23"/>
          <w:lang w:val="en-GB"/>
        </w:rPr>
        <w:t xml:space="preserve">concerned </w:t>
      </w:r>
      <w:r w:rsidR="00476ACC" w:rsidRPr="003E3613">
        <w:rPr>
          <w:rFonts w:ascii="Book Antiqua" w:hAnsi="Book Antiqua"/>
          <w:sz w:val="23"/>
          <w:szCs w:val="23"/>
          <w:lang w:val="en-GB"/>
        </w:rPr>
        <w:t>coul</w:t>
      </w:r>
      <w:r w:rsidR="00747D1E" w:rsidRPr="003E3613">
        <w:rPr>
          <w:rFonts w:ascii="Book Antiqua" w:hAnsi="Book Antiqua"/>
          <w:sz w:val="23"/>
          <w:szCs w:val="23"/>
          <w:lang w:val="en-GB"/>
        </w:rPr>
        <w:t>d</w:t>
      </w:r>
      <w:r w:rsidR="00476ACC" w:rsidRPr="003E3613">
        <w:rPr>
          <w:rFonts w:ascii="Book Antiqua" w:hAnsi="Book Antiqua"/>
          <w:sz w:val="23"/>
          <w:szCs w:val="23"/>
          <w:lang w:val="en-GB"/>
        </w:rPr>
        <w:t xml:space="preserve"> take into consideration. </w:t>
      </w:r>
      <w:r w:rsidR="00023C41" w:rsidRPr="003E3613">
        <w:rPr>
          <w:rFonts w:ascii="Book Antiqua" w:hAnsi="Book Antiqua"/>
          <w:sz w:val="23"/>
          <w:szCs w:val="23"/>
          <w:lang w:val="en-GB"/>
        </w:rPr>
        <w:t xml:space="preserve">GRECO assesses the implementation of each individual recommendation contained in the Evaluation Report and establishes an overall appraisal of the level of the member’s compliance with these recommendations. </w:t>
      </w:r>
      <w:r w:rsidR="005D17B9" w:rsidRPr="003E3613">
        <w:rPr>
          <w:rFonts w:ascii="Book Antiqua" w:hAnsi="Book Antiqua"/>
          <w:sz w:val="23"/>
          <w:szCs w:val="23"/>
          <w:lang w:val="en-GB"/>
        </w:rPr>
        <w:t>Without questioning the importance of the organisation</w:t>
      </w:r>
      <w:r w:rsidR="00AD4BD2" w:rsidRPr="003E3613">
        <w:rPr>
          <w:rFonts w:ascii="Book Antiqua" w:hAnsi="Book Antiqua"/>
          <w:sz w:val="23"/>
          <w:szCs w:val="23"/>
          <w:lang w:val="en-GB"/>
        </w:rPr>
        <w:t xml:space="preserve"> and the value of its recommendations</w:t>
      </w:r>
      <w:r w:rsidR="005D17B9" w:rsidRPr="003E3613">
        <w:rPr>
          <w:rFonts w:ascii="Book Antiqua" w:hAnsi="Book Antiqua"/>
          <w:sz w:val="23"/>
          <w:szCs w:val="23"/>
          <w:lang w:val="en-GB"/>
        </w:rPr>
        <w:t xml:space="preserve">, it should be highlighted that </w:t>
      </w:r>
      <w:r w:rsidR="00AD4BD2" w:rsidRPr="003E3613">
        <w:rPr>
          <w:rFonts w:ascii="Book Antiqua" w:hAnsi="Book Antiqua"/>
          <w:sz w:val="23"/>
          <w:szCs w:val="23"/>
          <w:lang w:val="en-GB"/>
        </w:rPr>
        <w:t xml:space="preserve">GRECO </w:t>
      </w:r>
      <w:r w:rsidR="00865E64" w:rsidRPr="003E3613">
        <w:rPr>
          <w:rFonts w:ascii="Book Antiqua" w:hAnsi="Book Antiqua"/>
          <w:sz w:val="23"/>
          <w:szCs w:val="23"/>
          <w:lang w:val="en-GB"/>
        </w:rPr>
        <w:t>is formulating similar opinion</w:t>
      </w:r>
      <w:r w:rsidR="00747D1E" w:rsidRPr="003E3613">
        <w:rPr>
          <w:rFonts w:ascii="Book Antiqua" w:hAnsi="Book Antiqua"/>
          <w:sz w:val="23"/>
          <w:szCs w:val="23"/>
          <w:lang w:val="en-GB"/>
        </w:rPr>
        <w:t>s</w:t>
      </w:r>
      <w:r w:rsidR="00865E64" w:rsidRPr="003E3613">
        <w:rPr>
          <w:rFonts w:ascii="Book Antiqua" w:hAnsi="Book Antiqua"/>
          <w:sz w:val="23"/>
          <w:szCs w:val="23"/>
          <w:lang w:val="en-GB"/>
        </w:rPr>
        <w:t xml:space="preserve"> on other Member States’ legislation</w:t>
      </w:r>
      <w:r w:rsidR="00747D1E" w:rsidRPr="003E3613">
        <w:rPr>
          <w:rFonts w:ascii="Book Antiqua" w:hAnsi="Book Antiqua"/>
          <w:sz w:val="23"/>
          <w:szCs w:val="23"/>
          <w:lang w:val="en-GB"/>
        </w:rPr>
        <w:t>, as well</w:t>
      </w:r>
      <w:r w:rsidR="00865E64" w:rsidRPr="003E3613">
        <w:rPr>
          <w:rFonts w:ascii="Book Antiqua" w:hAnsi="Book Antiqua"/>
          <w:sz w:val="23"/>
          <w:szCs w:val="23"/>
          <w:lang w:val="en-GB"/>
        </w:rPr>
        <w:t xml:space="preserve">. </w:t>
      </w:r>
      <w:r w:rsidR="00C2633F" w:rsidRPr="003E3613">
        <w:rPr>
          <w:rFonts w:ascii="Book Antiqua" w:hAnsi="Book Antiqua"/>
          <w:sz w:val="23"/>
          <w:szCs w:val="23"/>
          <w:lang w:val="en-GB"/>
        </w:rPr>
        <w:t>Despite repetitive calls from Member States and other international organisations, the European Union’s accession to GRECO is still awaited.</w:t>
      </w:r>
    </w:p>
    <w:p w14:paraId="175855FD" w14:textId="77777777" w:rsidR="00E75CF6" w:rsidRPr="003E3613" w:rsidRDefault="00E75CF6" w:rsidP="00204696">
      <w:pPr>
        <w:spacing w:after="0"/>
        <w:jc w:val="both"/>
        <w:rPr>
          <w:rFonts w:ascii="Book Antiqua" w:hAnsi="Book Antiqua"/>
          <w:sz w:val="23"/>
          <w:szCs w:val="23"/>
          <w:lang w:val="en-GB"/>
        </w:rPr>
      </w:pPr>
    </w:p>
    <w:p w14:paraId="32E77E16" w14:textId="77777777" w:rsidR="00E75CF6" w:rsidRPr="003E3613" w:rsidRDefault="00E75CF6"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As regards Hungary, GRECO made 11 recommendations relating to the ordinary courts and the prosecution system and only 4 of them </w:t>
      </w:r>
      <w:r w:rsidR="00B5217F" w:rsidRPr="003E3613">
        <w:rPr>
          <w:rFonts w:ascii="Book Antiqua" w:hAnsi="Book Antiqua"/>
          <w:sz w:val="23"/>
          <w:szCs w:val="23"/>
          <w:lang w:val="en-GB"/>
        </w:rPr>
        <w:t>are</w:t>
      </w:r>
      <w:r w:rsidR="009278C3" w:rsidRPr="003E3613">
        <w:rPr>
          <w:rFonts w:ascii="Book Antiqua" w:hAnsi="Book Antiqua"/>
          <w:sz w:val="23"/>
          <w:szCs w:val="23"/>
          <w:lang w:val="en-GB"/>
        </w:rPr>
        <w:t xml:space="preserve"> considered as “not implemented” yet</w:t>
      </w:r>
      <w:r w:rsidRPr="003E3613">
        <w:rPr>
          <w:rFonts w:ascii="Book Antiqua" w:hAnsi="Book Antiqua"/>
          <w:sz w:val="23"/>
          <w:szCs w:val="23"/>
          <w:lang w:val="en-GB"/>
        </w:rPr>
        <w:t>. GRECO 2018 Interim Compliance Report also stated that ‘some progress has been made concerning disciplinary proceedings in respect of prosecutors’.</w:t>
      </w:r>
    </w:p>
    <w:p w14:paraId="75DCEE27" w14:textId="77777777" w:rsidR="00E75CF6" w:rsidRPr="003E3613" w:rsidRDefault="00E75CF6" w:rsidP="00204696">
      <w:pPr>
        <w:spacing w:after="0"/>
        <w:jc w:val="both"/>
        <w:rPr>
          <w:rFonts w:ascii="Book Antiqua" w:hAnsi="Book Antiqua"/>
          <w:sz w:val="23"/>
          <w:szCs w:val="23"/>
          <w:lang w:val="en-GB"/>
        </w:rPr>
      </w:pPr>
    </w:p>
    <w:p w14:paraId="37A9380B" w14:textId="77777777" w:rsidR="00221CD2" w:rsidRPr="003E3613" w:rsidRDefault="004F794E" w:rsidP="00204696">
      <w:pPr>
        <w:spacing w:before="20" w:after="20"/>
        <w:jc w:val="both"/>
        <w:rPr>
          <w:rFonts w:ascii="Book Antiqua" w:hAnsi="Book Antiqua"/>
          <w:sz w:val="23"/>
          <w:szCs w:val="23"/>
          <w:lang w:val="en-GB"/>
        </w:rPr>
      </w:pPr>
      <w:r w:rsidRPr="003E3613">
        <w:rPr>
          <w:rFonts w:ascii="Book Antiqua" w:hAnsi="Book Antiqua"/>
          <w:sz w:val="23"/>
          <w:szCs w:val="23"/>
          <w:lang w:val="en-GB"/>
        </w:rPr>
        <w:t>As for the Hungarian legislation</w:t>
      </w:r>
      <w:r w:rsidR="00852A03" w:rsidRPr="003E3613">
        <w:rPr>
          <w:rFonts w:ascii="Book Antiqua" w:hAnsi="Book Antiqua"/>
          <w:sz w:val="23"/>
          <w:szCs w:val="23"/>
          <w:lang w:val="en-GB"/>
        </w:rPr>
        <w:t xml:space="preserve"> referred to above</w:t>
      </w:r>
      <w:r w:rsidRPr="003E3613">
        <w:rPr>
          <w:rFonts w:ascii="Book Antiqua" w:hAnsi="Book Antiqua"/>
          <w:sz w:val="23"/>
          <w:szCs w:val="23"/>
          <w:lang w:val="en-GB"/>
        </w:rPr>
        <w:t>, it is</w:t>
      </w:r>
      <w:r w:rsidR="00E75CF6" w:rsidRPr="003E3613">
        <w:rPr>
          <w:rFonts w:ascii="Book Antiqua" w:hAnsi="Book Antiqua"/>
          <w:sz w:val="23"/>
          <w:szCs w:val="23"/>
          <w:lang w:val="en-GB"/>
        </w:rPr>
        <w:t xml:space="preserve"> already a closed case. That</w:t>
      </w:r>
      <w:r w:rsidR="00A12793" w:rsidRPr="003E3613">
        <w:rPr>
          <w:rFonts w:ascii="Book Antiqua" w:hAnsi="Book Antiqua"/>
          <w:sz w:val="23"/>
          <w:szCs w:val="23"/>
          <w:lang w:val="en-GB"/>
        </w:rPr>
        <w:t xml:space="preserve"> </w:t>
      </w:r>
      <w:r w:rsidR="00E75CF6" w:rsidRPr="003E3613">
        <w:rPr>
          <w:rFonts w:ascii="Book Antiqua" w:hAnsi="Book Antiqua"/>
          <w:sz w:val="23"/>
          <w:szCs w:val="23"/>
          <w:lang w:val="en-GB"/>
        </w:rPr>
        <w:t>is why it is</w:t>
      </w:r>
      <w:r w:rsidRPr="003E3613">
        <w:rPr>
          <w:rFonts w:ascii="Book Antiqua" w:hAnsi="Book Antiqua"/>
          <w:sz w:val="23"/>
          <w:szCs w:val="23"/>
          <w:lang w:val="en-GB"/>
        </w:rPr>
        <w:t xml:space="preserve"> important to not</w:t>
      </w:r>
      <w:r w:rsidR="00747D1E" w:rsidRPr="003E3613">
        <w:rPr>
          <w:rFonts w:ascii="Book Antiqua" w:hAnsi="Book Antiqua"/>
          <w:sz w:val="23"/>
          <w:szCs w:val="23"/>
          <w:lang w:val="en-GB"/>
        </w:rPr>
        <w:t>e</w:t>
      </w:r>
      <w:r w:rsidRPr="003E3613">
        <w:rPr>
          <w:rFonts w:ascii="Book Antiqua" w:hAnsi="Book Antiqua"/>
          <w:sz w:val="23"/>
          <w:szCs w:val="23"/>
          <w:lang w:val="en-GB"/>
        </w:rPr>
        <w:t xml:space="preserve"> that</w:t>
      </w:r>
      <w:r w:rsidR="00ED44E1" w:rsidRPr="003E3613">
        <w:rPr>
          <w:rFonts w:ascii="Book Antiqua" w:hAnsi="Book Antiqua"/>
          <w:sz w:val="23"/>
          <w:szCs w:val="23"/>
          <w:lang w:val="en-GB"/>
        </w:rPr>
        <w:t xml:space="preserve"> the</w:t>
      </w:r>
      <w:r w:rsidR="00DC16BA" w:rsidRPr="003E3613">
        <w:rPr>
          <w:rFonts w:ascii="Book Antiqua" w:hAnsi="Book Antiqua"/>
          <w:sz w:val="23"/>
          <w:szCs w:val="23"/>
          <w:lang w:val="en-GB"/>
        </w:rPr>
        <w:t xml:space="preserve"> </w:t>
      </w:r>
      <w:r w:rsidR="00ED44E1" w:rsidRPr="003E3613">
        <w:rPr>
          <w:rFonts w:ascii="Book Antiqua" w:hAnsi="Book Antiqua"/>
          <w:sz w:val="23"/>
          <w:szCs w:val="23"/>
          <w:lang w:val="en-GB"/>
        </w:rPr>
        <w:t xml:space="preserve">Venice Commission at its 16-17 March 2012 session has acknowledged the necessity of improving the efficiency of the previous judiciary system. </w:t>
      </w:r>
      <w:r w:rsidR="00AD5101" w:rsidRPr="003E3613">
        <w:rPr>
          <w:rFonts w:ascii="Book Antiqua" w:hAnsi="Book Antiqua"/>
          <w:sz w:val="23"/>
          <w:szCs w:val="23"/>
          <w:lang w:val="en-GB"/>
        </w:rPr>
        <w:t>Concerned bodies (including the European Commission)</w:t>
      </w:r>
      <w:r w:rsidR="00ED44E1" w:rsidRPr="003E3613">
        <w:rPr>
          <w:rFonts w:ascii="Book Antiqua" w:hAnsi="Book Antiqua"/>
          <w:sz w:val="23"/>
          <w:szCs w:val="23"/>
          <w:lang w:val="en-GB"/>
        </w:rPr>
        <w:t xml:space="preserve"> </w:t>
      </w:r>
      <w:r w:rsidR="00AD5101" w:rsidRPr="003E3613">
        <w:rPr>
          <w:rFonts w:ascii="Book Antiqua" w:hAnsi="Book Antiqua"/>
          <w:sz w:val="23"/>
          <w:szCs w:val="23"/>
          <w:lang w:val="en-GB"/>
        </w:rPr>
        <w:t xml:space="preserve">have </w:t>
      </w:r>
      <w:r w:rsidR="00ED44E1" w:rsidRPr="003E3613">
        <w:rPr>
          <w:rFonts w:ascii="Book Antiqua" w:hAnsi="Book Antiqua"/>
          <w:sz w:val="23"/>
          <w:szCs w:val="23"/>
          <w:lang w:val="en-GB"/>
        </w:rPr>
        <w:t xml:space="preserve">identified </w:t>
      </w:r>
      <w:r w:rsidR="00AD5101" w:rsidRPr="003E3613">
        <w:rPr>
          <w:rFonts w:ascii="Book Antiqua" w:hAnsi="Book Antiqua"/>
          <w:sz w:val="23"/>
          <w:szCs w:val="23"/>
          <w:lang w:val="en-GB"/>
        </w:rPr>
        <w:t xml:space="preserve">several </w:t>
      </w:r>
      <w:r w:rsidR="00ED44E1" w:rsidRPr="003E3613">
        <w:rPr>
          <w:rFonts w:ascii="Book Antiqua" w:hAnsi="Book Antiqua"/>
          <w:sz w:val="23"/>
          <w:szCs w:val="23"/>
          <w:lang w:val="en-GB"/>
        </w:rPr>
        <w:t>positive provisions in both acts</w:t>
      </w:r>
      <w:r w:rsidR="00AD5101" w:rsidRPr="003E3613">
        <w:rPr>
          <w:rFonts w:ascii="Book Antiqua" w:hAnsi="Book Antiqua"/>
          <w:sz w:val="23"/>
          <w:szCs w:val="23"/>
          <w:lang w:val="en-GB"/>
        </w:rPr>
        <w:t xml:space="preserve"> referred to above</w:t>
      </w:r>
      <w:r w:rsidR="00ED44E1" w:rsidRPr="003E3613">
        <w:rPr>
          <w:rFonts w:ascii="Book Antiqua" w:hAnsi="Book Antiqua"/>
          <w:sz w:val="23"/>
          <w:szCs w:val="23"/>
          <w:lang w:val="en-GB"/>
        </w:rPr>
        <w:t xml:space="preserve">, </w:t>
      </w:r>
      <w:r w:rsidR="00AD5101" w:rsidRPr="003E3613">
        <w:rPr>
          <w:rFonts w:ascii="Book Antiqua" w:hAnsi="Book Antiqua"/>
          <w:sz w:val="23"/>
          <w:szCs w:val="23"/>
          <w:lang w:val="en-GB"/>
        </w:rPr>
        <w:t>while also pointing out a few</w:t>
      </w:r>
      <w:r w:rsidR="00ED44E1" w:rsidRPr="003E3613">
        <w:rPr>
          <w:rFonts w:ascii="Book Antiqua" w:hAnsi="Book Antiqua"/>
          <w:sz w:val="23"/>
          <w:szCs w:val="23"/>
          <w:lang w:val="en-GB"/>
        </w:rPr>
        <w:t xml:space="preserve"> problematic elements</w:t>
      </w:r>
      <w:r w:rsidR="00AD5101" w:rsidRPr="003E3613">
        <w:rPr>
          <w:rFonts w:ascii="Book Antiqua" w:hAnsi="Book Antiqua"/>
          <w:sz w:val="23"/>
          <w:szCs w:val="23"/>
          <w:lang w:val="en-GB"/>
        </w:rPr>
        <w:t xml:space="preserve"> that were addressed by the Hungarian Government, as also acknowledged by th</w:t>
      </w:r>
      <w:r w:rsidR="00795C07" w:rsidRPr="003E3613">
        <w:rPr>
          <w:rFonts w:ascii="Book Antiqua" w:hAnsi="Book Antiqua"/>
          <w:sz w:val="23"/>
          <w:szCs w:val="23"/>
          <w:lang w:val="en-GB"/>
        </w:rPr>
        <w:t>e GRECO</w:t>
      </w:r>
      <w:r w:rsidR="00AD5101" w:rsidRPr="003E3613">
        <w:rPr>
          <w:rFonts w:ascii="Book Antiqua" w:hAnsi="Book Antiqua"/>
          <w:sz w:val="23"/>
          <w:szCs w:val="23"/>
          <w:lang w:val="en-GB"/>
        </w:rPr>
        <w:t xml:space="preserve"> report</w:t>
      </w:r>
      <w:r w:rsidR="00ED44E1" w:rsidRPr="003E3613">
        <w:rPr>
          <w:rFonts w:ascii="Book Antiqua" w:hAnsi="Book Antiqua"/>
          <w:sz w:val="23"/>
          <w:szCs w:val="23"/>
          <w:lang w:val="en-GB"/>
        </w:rPr>
        <w:t>.</w:t>
      </w:r>
      <w:r w:rsidR="00554D9C" w:rsidRPr="003E3613">
        <w:rPr>
          <w:rFonts w:ascii="Book Antiqua" w:hAnsi="Book Antiqua"/>
          <w:sz w:val="23"/>
          <w:szCs w:val="23"/>
          <w:lang w:val="en-GB"/>
        </w:rPr>
        <w:t xml:space="preserve"> </w:t>
      </w:r>
      <w:r w:rsidR="00221CD2" w:rsidRPr="003E3613">
        <w:rPr>
          <w:rFonts w:ascii="Book Antiqua" w:hAnsi="Book Antiqua"/>
          <w:sz w:val="23"/>
          <w:szCs w:val="23"/>
          <w:lang w:val="en-GB"/>
        </w:rPr>
        <w:t xml:space="preserve">The GRECO report </w:t>
      </w:r>
      <w:r w:rsidR="00D15E6A" w:rsidRPr="003E3613">
        <w:rPr>
          <w:rFonts w:ascii="Book Antiqua" w:hAnsi="Book Antiqua"/>
          <w:sz w:val="23"/>
          <w:szCs w:val="23"/>
          <w:lang w:val="en-GB"/>
        </w:rPr>
        <w:t xml:space="preserve">further </w:t>
      </w:r>
      <w:r w:rsidR="00221CD2" w:rsidRPr="003E3613">
        <w:rPr>
          <w:rFonts w:ascii="Book Antiqua" w:hAnsi="Book Antiqua"/>
          <w:sz w:val="23"/>
          <w:szCs w:val="23"/>
          <w:lang w:val="en-GB"/>
        </w:rPr>
        <w:t>acknowledge</w:t>
      </w:r>
      <w:r w:rsidR="00D15E6A" w:rsidRPr="003E3613">
        <w:rPr>
          <w:rFonts w:ascii="Book Antiqua" w:hAnsi="Book Antiqua"/>
          <w:sz w:val="23"/>
          <w:szCs w:val="23"/>
          <w:lang w:val="en-GB"/>
        </w:rPr>
        <w:t>d</w:t>
      </w:r>
      <w:r w:rsidR="00221CD2" w:rsidRPr="003E3613">
        <w:rPr>
          <w:rFonts w:ascii="Book Antiqua" w:hAnsi="Book Antiqua"/>
          <w:sz w:val="23"/>
          <w:szCs w:val="23"/>
          <w:lang w:val="en-GB"/>
        </w:rPr>
        <w:t xml:space="preserve"> </w:t>
      </w:r>
      <w:r w:rsidR="00A12793" w:rsidRPr="003E3613">
        <w:rPr>
          <w:rFonts w:ascii="Book Antiqua" w:hAnsi="Book Antiqua"/>
          <w:sz w:val="23"/>
          <w:szCs w:val="23"/>
          <w:lang w:val="en-GB"/>
        </w:rPr>
        <w:t xml:space="preserve">that </w:t>
      </w:r>
      <w:r w:rsidR="00221CD2" w:rsidRPr="003E3613">
        <w:rPr>
          <w:rFonts w:ascii="Book Antiqua" w:hAnsi="Book Antiqua"/>
          <w:sz w:val="23"/>
          <w:szCs w:val="23"/>
          <w:lang w:val="en-GB"/>
        </w:rPr>
        <w:t>amendments were made to the rules of judicial recruitment and selection procedures between 2012 and 2014, through which the National Judicial Council has received a stronger supervisory function in the selection process.</w:t>
      </w:r>
    </w:p>
    <w:p w14:paraId="71D7CACB" w14:textId="77777777" w:rsidR="00AD7660" w:rsidRPr="003E3613" w:rsidRDefault="00AD7660" w:rsidP="00204696">
      <w:pPr>
        <w:spacing w:before="20" w:after="20"/>
        <w:jc w:val="both"/>
        <w:rPr>
          <w:rFonts w:ascii="Book Antiqua" w:hAnsi="Book Antiqua"/>
          <w:sz w:val="23"/>
          <w:szCs w:val="23"/>
          <w:lang w:val="en-GB"/>
        </w:rPr>
      </w:pPr>
    </w:p>
    <w:p w14:paraId="7E8BD4EA" w14:textId="77777777" w:rsidR="00221CD2" w:rsidRPr="003E3613" w:rsidRDefault="00221CD2" w:rsidP="00204696">
      <w:pPr>
        <w:spacing w:after="0"/>
        <w:jc w:val="both"/>
        <w:rPr>
          <w:rFonts w:ascii="Book Antiqua" w:hAnsi="Book Antiqua"/>
          <w:sz w:val="23"/>
          <w:szCs w:val="23"/>
          <w:lang w:val="en-GB"/>
        </w:rPr>
      </w:pPr>
      <w:r w:rsidRPr="003E3613">
        <w:rPr>
          <w:rFonts w:ascii="Book Antiqua" w:hAnsi="Book Antiqua"/>
          <w:sz w:val="23"/>
          <w:szCs w:val="23"/>
          <w:lang w:val="en-GB"/>
        </w:rPr>
        <w:t>It should be therefore noted that the NJC has a decisive mandate in the appointing/promoting procedure of judges and it is not the president of the National Office for the Judiciary who has the most important role in the process.</w:t>
      </w:r>
    </w:p>
    <w:p w14:paraId="557408EC" w14:textId="77777777" w:rsidR="00D15E6A" w:rsidRPr="003E3613" w:rsidRDefault="00AD5101"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As for the general independence of judges and lawyers as well as the independence of the judiciary, it must be pointed out that </w:t>
      </w:r>
      <w:r w:rsidR="000E01A6" w:rsidRPr="003E3613">
        <w:rPr>
          <w:rFonts w:ascii="Book Antiqua" w:hAnsi="Book Antiqua"/>
          <w:sz w:val="23"/>
          <w:szCs w:val="23"/>
          <w:lang w:val="en-GB"/>
        </w:rPr>
        <w:t xml:space="preserve">each year since 2013 </w:t>
      </w:r>
      <w:r w:rsidRPr="003E3613">
        <w:rPr>
          <w:rFonts w:ascii="Book Antiqua" w:hAnsi="Book Antiqua"/>
          <w:sz w:val="23"/>
          <w:szCs w:val="23"/>
          <w:lang w:val="en-GB"/>
        </w:rPr>
        <w:t>t</w:t>
      </w:r>
      <w:r w:rsidR="003C216E" w:rsidRPr="003E3613">
        <w:rPr>
          <w:rFonts w:ascii="Book Antiqua" w:hAnsi="Book Antiqua"/>
          <w:sz w:val="23"/>
          <w:szCs w:val="23"/>
          <w:lang w:val="en-GB"/>
        </w:rPr>
        <w:t xml:space="preserve">he European Commission adopts its communication on the EU Justice Scoreboard which provides comparable data on the independence, quality and efficiency of national justice systems focusing mainly on civil, commercial and administrative cases. </w:t>
      </w:r>
    </w:p>
    <w:p w14:paraId="5F871F92" w14:textId="77777777" w:rsidR="00470259" w:rsidRPr="003E3613" w:rsidRDefault="00470259" w:rsidP="00204696">
      <w:pPr>
        <w:spacing w:after="0"/>
        <w:jc w:val="both"/>
        <w:rPr>
          <w:rFonts w:ascii="Book Antiqua" w:hAnsi="Book Antiqua"/>
          <w:sz w:val="23"/>
          <w:szCs w:val="23"/>
          <w:lang w:val="en-GB"/>
        </w:rPr>
      </w:pPr>
    </w:p>
    <w:p w14:paraId="5DD31C13" w14:textId="77777777" w:rsidR="00AE1980" w:rsidRPr="003E3613" w:rsidRDefault="00AE1980"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As far as the infringement cases are concerned, every year, the European Commission draws up an annual report on its monitoring of the application of EU law. According to the </w:t>
      </w:r>
      <w:r w:rsidR="00D35BC8" w:rsidRPr="003E3613">
        <w:rPr>
          <w:rFonts w:ascii="Book Antiqua" w:hAnsi="Book Antiqua"/>
          <w:sz w:val="23"/>
          <w:szCs w:val="23"/>
          <w:lang w:val="en-GB"/>
        </w:rPr>
        <w:t xml:space="preserve">Commission’s </w:t>
      </w:r>
      <w:r w:rsidR="001167C3" w:rsidRPr="003E3613">
        <w:rPr>
          <w:rFonts w:ascii="Book Antiqua" w:hAnsi="Book Antiqua"/>
          <w:sz w:val="23"/>
          <w:szCs w:val="23"/>
          <w:lang w:val="en-GB"/>
        </w:rPr>
        <w:t>2018 Annual Report</w:t>
      </w:r>
      <w:r w:rsidR="006E5F39" w:rsidRPr="003E3613">
        <w:rPr>
          <w:rStyle w:val="FootnoteReference"/>
          <w:rFonts w:ascii="Book Antiqua" w:hAnsi="Book Antiqua"/>
          <w:sz w:val="23"/>
          <w:szCs w:val="23"/>
          <w:lang w:val="en-GB"/>
        </w:rPr>
        <w:footnoteReference w:id="8"/>
      </w:r>
      <w:r w:rsidRPr="003E3613">
        <w:rPr>
          <w:rFonts w:ascii="Book Antiqua" w:hAnsi="Book Antiqua"/>
          <w:sz w:val="23"/>
          <w:szCs w:val="23"/>
          <w:lang w:val="en-GB"/>
        </w:rPr>
        <w:t xml:space="preserve"> </w:t>
      </w:r>
      <w:r w:rsidR="00BB53F1" w:rsidRPr="003E3613">
        <w:rPr>
          <w:rFonts w:ascii="Book Antiqua" w:hAnsi="Book Antiqua"/>
          <w:sz w:val="23"/>
          <w:szCs w:val="23"/>
          <w:lang w:val="en-GB"/>
        </w:rPr>
        <w:t>published on 4 July 2019</w:t>
      </w:r>
      <w:r w:rsidRPr="003E3613">
        <w:rPr>
          <w:rFonts w:ascii="Book Antiqua" w:hAnsi="Book Antiqua"/>
          <w:sz w:val="23"/>
          <w:szCs w:val="23"/>
          <w:lang w:val="en-GB"/>
        </w:rPr>
        <w:t>, Hungary ha</w:t>
      </w:r>
      <w:r w:rsidR="008C24EA" w:rsidRPr="003E3613">
        <w:rPr>
          <w:rFonts w:ascii="Book Antiqua" w:hAnsi="Book Antiqua"/>
          <w:sz w:val="23"/>
          <w:szCs w:val="23"/>
          <w:lang w:val="en-GB"/>
        </w:rPr>
        <w:t>s</w:t>
      </w:r>
      <w:r w:rsidRPr="003E3613">
        <w:rPr>
          <w:rFonts w:ascii="Book Antiqua" w:hAnsi="Book Antiqua"/>
          <w:sz w:val="23"/>
          <w:szCs w:val="23"/>
          <w:lang w:val="en-GB"/>
        </w:rPr>
        <w:t xml:space="preserve"> the </w:t>
      </w:r>
      <w:r w:rsidR="00BB53F1" w:rsidRPr="003E3613">
        <w:rPr>
          <w:rFonts w:ascii="Book Antiqua" w:hAnsi="Book Antiqua"/>
          <w:sz w:val="23"/>
          <w:szCs w:val="23"/>
          <w:lang w:val="en-GB"/>
        </w:rPr>
        <w:t xml:space="preserve">eleventh </w:t>
      </w:r>
      <w:r w:rsidRPr="003E3613">
        <w:rPr>
          <w:rFonts w:ascii="Book Antiqua" w:hAnsi="Book Antiqua"/>
          <w:sz w:val="23"/>
          <w:szCs w:val="23"/>
          <w:lang w:val="en-GB"/>
        </w:rPr>
        <w:t xml:space="preserve">best </w:t>
      </w:r>
      <w:r w:rsidRPr="003E3613">
        <w:rPr>
          <w:rFonts w:ascii="Book Antiqua" w:hAnsi="Book Antiqua"/>
          <w:sz w:val="23"/>
          <w:szCs w:val="23"/>
          <w:lang w:val="en-GB"/>
        </w:rPr>
        <w:lastRenderedPageBreak/>
        <w:t xml:space="preserve">result out of </w:t>
      </w:r>
      <w:r w:rsidR="00382418" w:rsidRPr="003E3613">
        <w:rPr>
          <w:rFonts w:ascii="Book Antiqua" w:hAnsi="Book Antiqua"/>
          <w:sz w:val="23"/>
          <w:szCs w:val="23"/>
          <w:lang w:val="en-GB"/>
        </w:rPr>
        <w:t xml:space="preserve">the </w:t>
      </w:r>
      <w:r w:rsidRPr="003E3613">
        <w:rPr>
          <w:rFonts w:ascii="Book Antiqua" w:hAnsi="Book Antiqua"/>
          <w:sz w:val="23"/>
          <w:szCs w:val="23"/>
          <w:lang w:val="en-GB"/>
        </w:rPr>
        <w:t>28 Member States concerning the number of</w:t>
      </w:r>
      <w:r w:rsidR="00DD1B5C" w:rsidRPr="003E3613">
        <w:rPr>
          <w:rFonts w:ascii="Book Antiqua" w:hAnsi="Book Antiqua"/>
          <w:sz w:val="23"/>
          <w:szCs w:val="23"/>
          <w:lang w:val="en-GB"/>
        </w:rPr>
        <w:t xml:space="preserve"> open</w:t>
      </w:r>
      <w:r w:rsidRPr="003E3613">
        <w:rPr>
          <w:rFonts w:ascii="Book Antiqua" w:hAnsi="Book Antiqua"/>
          <w:sz w:val="23"/>
          <w:szCs w:val="23"/>
          <w:lang w:val="en-GB"/>
        </w:rPr>
        <w:t xml:space="preserve"> infringement cases </w:t>
      </w:r>
      <w:r w:rsidR="008C24EA" w:rsidRPr="003E3613">
        <w:rPr>
          <w:rFonts w:ascii="Book Antiqua" w:hAnsi="Book Antiqua"/>
          <w:sz w:val="23"/>
          <w:szCs w:val="23"/>
          <w:lang w:val="en-GB"/>
        </w:rPr>
        <w:t>(50)</w:t>
      </w:r>
      <w:r w:rsidRPr="003E3613">
        <w:rPr>
          <w:rFonts w:ascii="Book Antiqua" w:hAnsi="Book Antiqua"/>
          <w:sz w:val="23"/>
          <w:szCs w:val="23"/>
          <w:lang w:val="en-GB"/>
        </w:rPr>
        <w:t xml:space="preserve"> on </w:t>
      </w:r>
      <w:r w:rsidR="00BB53F1" w:rsidRPr="003E3613">
        <w:rPr>
          <w:rFonts w:ascii="Book Antiqua" w:hAnsi="Book Antiqua"/>
          <w:sz w:val="23"/>
          <w:szCs w:val="23"/>
          <w:lang w:val="en-GB"/>
        </w:rPr>
        <w:t>31 December 2018</w:t>
      </w:r>
      <w:r w:rsidRPr="003E3613">
        <w:rPr>
          <w:rFonts w:ascii="Book Antiqua" w:hAnsi="Book Antiqua"/>
          <w:sz w:val="23"/>
          <w:szCs w:val="23"/>
          <w:lang w:val="en-GB"/>
        </w:rPr>
        <w:t>.</w:t>
      </w:r>
      <w:r w:rsidR="008C0E0A" w:rsidRPr="003E3613">
        <w:rPr>
          <w:rFonts w:ascii="Book Antiqua" w:hAnsi="Book Antiqua"/>
          <w:sz w:val="23"/>
          <w:szCs w:val="23"/>
          <w:lang w:val="en-GB"/>
        </w:rPr>
        <w:t xml:space="preserve"> </w:t>
      </w:r>
    </w:p>
    <w:p w14:paraId="06E8DE4C" w14:textId="77777777" w:rsidR="00221CD2" w:rsidRPr="003E3613" w:rsidRDefault="00221CD2" w:rsidP="00204696">
      <w:pPr>
        <w:spacing w:after="0"/>
        <w:jc w:val="both"/>
        <w:rPr>
          <w:rFonts w:ascii="Book Antiqua" w:hAnsi="Book Antiqua"/>
          <w:sz w:val="23"/>
          <w:szCs w:val="23"/>
          <w:lang w:val="en-GB"/>
        </w:rPr>
      </w:pPr>
    </w:p>
    <w:p w14:paraId="2EA4B179" w14:textId="77777777" w:rsidR="00AE1980" w:rsidRPr="003E3613" w:rsidRDefault="00AE1980" w:rsidP="00204696">
      <w:pPr>
        <w:spacing w:after="0"/>
        <w:jc w:val="both"/>
        <w:rPr>
          <w:rFonts w:ascii="Book Antiqua" w:hAnsi="Book Antiqua"/>
          <w:sz w:val="23"/>
          <w:szCs w:val="23"/>
          <w:lang w:val="en-GB"/>
        </w:rPr>
      </w:pPr>
      <w:r w:rsidRPr="003E3613">
        <w:rPr>
          <w:rFonts w:ascii="Book Antiqua" w:hAnsi="Book Antiqua"/>
          <w:sz w:val="23"/>
          <w:szCs w:val="23"/>
          <w:lang w:val="en-GB"/>
        </w:rPr>
        <w:t>The following chart shows the number of open infringement cases by Member States at the end of 201</w:t>
      </w:r>
      <w:r w:rsidR="00BB53F1" w:rsidRPr="003E3613">
        <w:rPr>
          <w:rFonts w:ascii="Book Antiqua" w:hAnsi="Book Antiqua"/>
          <w:sz w:val="23"/>
          <w:szCs w:val="23"/>
          <w:lang w:val="en-GB"/>
        </w:rPr>
        <w:t>8</w:t>
      </w:r>
      <w:r w:rsidRPr="003E3613">
        <w:rPr>
          <w:rFonts w:ascii="Book Antiqua" w:hAnsi="Book Antiqua"/>
          <w:sz w:val="23"/>
          <w:szCs w:val="23"/>
          <w:lang w:val="en-GB"/>
        </w:rPr>
        <w:t>:</w:t>
      </w:r>
    </w:p>
    <w:p w14:paraId="7F393AB5" w14:textId="77777777" w:rsidR="00AE1980" w:rsidRPr="003E3613" w:rsidRDefault="00AE1980" w:rsidP="00204696">
      <w:pPr>
        <w:spacing w:after="0"/>
        <w:jc w:val="both"/>
        <w:rPr>
          <w:rFonts w:ascii="Book Antiqua" w:hAnsi="Book Antiqua"/>
          <w:sz w:val="23"/>
          <w:szCs w:val="23"/>
          <w:lang w:val="en-GB"/>
        </w:rPr>
      </w:pPr>
    </w:p>
    <w:p w14:paraId="518E2418" w14:textId="77777777" w:rsidR="00AE1980" w:rsidRPr="003E3613" w:rsidRDefault="00BB53F1" w:rsidP="00204696">
      <w:pPr>
        <w:spacing w:after="0"/>
        <w:jc w:val="both"/>
        <w:rPr>
          <w:rFonts w:ascii="Book Antiqua" w:hAnsi="Book Antiqua"/>
          <w:sz w:val="23"/>
          <w:szCs w:val="23"/>
          <w:lang w:val="en-GB"/>
        </w:rPr>
      </w:pPr>
      <w:r w:rsidRPr="003E3613">
        <w:rPr>
          <w:rFonts w:ascii="Book Antiqua" w:hAnsi="Book Antiqua"/>
          <w:noProof/>
          <w:sz w:val="23"/>
          <w:szCs w:val="23"/>
          <w:lang w:val="en-GB" w:eastAsia="en-GB"/>
        </w:rPr>
        <w:drawing>
          <wp:inline distT="0" distB="0" distL="0" distR="0" wp14:anchorId="1BACB202" wp14:editId="4B35AF5F">
            <wp:extent cx="5756910" cy="28943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2894330"/>
                    </a:xfrm>
                    <a:prstGeom prst="rect">
                      <a:avLst/>
                    </a:prstGeom>
                    <a:noFill/>
                    <a:ln>
                      <a:noFill/>
                    </a:ln>
                  </pic:spPr>
                </pic:pic>
              </a:graphicData>
            </a:graphic>
          </wp:inline>
        </w:drawing>
      </w:r>
    </w:p>
    <w:p w14:paraId="550B8DC0" w14:textId="77777777" w:rsidR="00102472" w:rsidRPr="003E3613" w:rsidRDefault="00102472" w:rsidP="00204696">
      <w:pPr>
        <w:spacing w:after="0"/>
        <w:jc w:val="both"/>
        <w:rPr>
          <w:rFonts w:ascii="Book Antiqua" w:hAnsi="Book Antiqua"/>
          <w:sz w:val="23"/>
          <w:szCs w:val="23"/>
          <w:lang w:val="en-GB"/>
        </w:rPr>
      </w:pPr>
    </w:p>
    <w:p w14:paraId="3749E135" w14:textId="77777777" w:rsidR="00221CD2" w:rsidRPr="003E3613" w:rsidRDefault="00AE1980"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It should also be noted that regarding the number of ‘late–transposition’ infringement cases, Hungary </w:t>
      </w:r>
      <w:r w:rsidR="001167C3" w:rsidRPr="003E3613">
        <w:rPr>
          <w:rFonts w:ascii="Book Antiqua" w:hAnsi="Book Antiqua"/>
          <w:sz w:val="23"/>
          <w:szCs w:val="23"/>
          <w:lang w:val="en-GB"/>
        </w:rPr>
        <w:t xml:space="preserve">had always been </w:t>
      </w:r>
      <w:r w:rsidRPr="003E3613">
        <w:rPr>
          <w:rFonts w:ascii="Book Antiqua" w:hAnsi="Book Antiqua"/>
          <w:sz w:val="23"/>
          <w:szCs w:val="23"/>
          <w:lang w:val="en-GB"/>
        </w:rPr>
        <w:t>in the top 3</w:t>
      </w:r>
      <w:r w:rsidR="00106B22" w:rsidRPr="003E3613">
        <w:rPr>
          <w:rFonts w:ascii="Book Antiqua" w:hAnsi="Book Antiqua"/>
          <w:sz w:val="23"/>
          <w:szCs w:val="23"/>
          <w:lang w:val="en-GB"/>
        </w:rPr>
        <w:t>-</w:t>
      </w:r>
      <w:r w:rsidR="001167C3" w:rsidRPr="003E3613">
        <w:rPr>
          <w:rFonts w:ascii="Book Antiqua" w:hAnsi="Book Antiqua"/>
          <w:sz w:val="23"/>
          <w:szCs w:val="23"/>
          <w:lang w:val="en-GB"/>
        </w:rPr>
        <w:t xml:space="preserve">4 </w:t>
      </w:r>
      <w:r w:rsidRPr="003E3613">
        <w:rPr>
          <w:rFonts w:ascii="Book Antiqua" w:hAnsi="Book Antiqua"/>
          <w:sz w:val="23"/>
          <w:szCs w:val="23"/>
          <w:lang w:val="en-GB"/>
        </w:rPr>
        <w:t>of the Member States with</w:t>
      </w:r>
      <w:r w:rsidR="00106B22" w:rsidRPr="003E3613">
        <w:rPr>
          <w:rFonts w:ascii="Book Antiqua" w:hAnsi="Book Antiqua"/>
          <w:sz w:val="23"/>
          <w:szCs w:val="23"/>
          <w:lang w:val="en-GB"/>
        </w:rPr>
        <w:t xml:space="preserve"> one of</w:t>
      </w:r>
      <w:r w:rsidRPr="003E3613">
        <w:rPr>
          <w:rFonts w:ascii="Book Antiqua" w:hAnsi="Book Antiqua"/>
          <w:sz w:val="23"/>
          <w:szCs w:val="23"/>
          <w:lang w:val="en-GB"/>
        </w:rPr>
        <w:t xml:space="preserve"> the lowest transposition deficit</w:t>
      </w:r>
      <w:r w:rsidR="00106B22" w:rsidRPr="003E3613">
        <w:rPr>
          <w:rFonts w:ascii="Book Antiqua" w:hAnsi="Book Antiqua"/>
          <w:sz w:val="23"/>
          <w:szCs w:val="23"/>
          <w:lang w:val="en-GB"/>
        </w:rPr>
        <w:t xml:space="preserve"> rate</w:t>
      </w:r>
      <w:r w:rsidRPr="003E3613">
        <w:rPr>
          <w:rFonts w:ascii="Book Antiqua" w:hAnsi="Book Antiqua"/>
          <w:sz w:val="23"/>
          <w:szCs w:val="23"/>
          <w:lang w:val="en-GB"/>
        </w:rPr>
        <w:t xml:space="preserve">. </w:t>
      </w:r>
    </w:p>
    <w:p w14:paraId="28517BA8" w14:textId="77777777" w:rsidR="00AE1980" w:rsidRPr="003E3613" w:rsidRDefault="00AE1980" w:rsidP="00204696">
      <w:pPr>
        <w:spacing w:after="0"/>
        <w:jc w:val="both"/>
        <w:rPr>
          <w:rFonts w:ascii="Book Antiqua" w:hAnsi="Book Antiqua"/>
          <w:sz w:val="23"/>
          <w:szCs w:val="23"/>
          <w:lang w:val="en-GB"/>
        </w:rPr>
      </w:pPr>
    </w:p>
    <w:p w14:paraId="5901A7DC" w14:textId="77777777" w:rsidR="00AE1980" w:rsidRPr="003E3613" w:rsidRDefault="00AE1980"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chart </w:t>
      </w:r>
      <w:r w:rsidR="009A2952" w:rsidRPr="003E3613">
        <w:rPr>
          <w:rFonts w:ascii="Book Antiqua" w:hAnsi="Book Antiqua"/>
          <w:sz w:val="23"/>
          <w:szCs w:val="23"/>
          <w:lang w:val="en-GB"/>
        </w:rPr>
        <w:t xml:space="preserve">below taken from the Commission’s Annual Report </w:t>
      </w:r>
      <w:r w:rsidR="00D80D33" w:rsidRPr="003E3613">
        <w:rPr>
          <w:rFonts w:ascii="Book Antiqua" w:hAnsi="Book Antiqua"/>
          <w:sz w:val="23"/>
          <w:szCs w:val="23"/>
          <w:lang w:val="en-GB"/>
        </w:rPr>
        <w:t xml:space="preserve">illustrates </w:t>
      </w:r>
      <w:r w:rsidRPr="003E3613">
        <w:rPr>
          <w:rFonts w:ascii="Book Antiqua" w:hAnsi="Book Antiqua"/>
          <w:sz w:val="23"/>
          <w:szCs w:val="23"/>
          <w:lang w:val="en-GB"/>
        </w:rPr>
        <w:t>the number of</w:t>
      </w:r>
      <w:r w:rsidR="00106B22" w:rsidRPr="003E3613">
        <w:rPr>
          <w:rFonts w:ascii="Book Antiqua" w:hAnsi="Book Antiqua"/>
          <w:sz w:val="23"/>
          <w:szCs w:val="23"/>
          <w:lang w:val="en-GB"/>
        </w:rPr>
        <w:t xml:space="preserve"> </w:t>
      </w:r>
      <w:r w:rsidRPr="003E3613">
        <w:rPr>
          <w:rFonts w:ascii="Book Antiqua" w:hAnsi="Book Antiqua"/>
          <w:sz w:val="23"/>
          <w:szCs w:val="23"/>
          <w:lang w:val="en-GB"/>
        </w:rPr>
        <w:t>late transposition infringement cases open at t</w:t>
      </w:r>
      <w:r w:rsidR="001167C3" w:rsidRPr="003E3613">
        <w:rPr>
          <w:rFonts w:ascii="Book Antiqua" w:hAnsi="Book Antiqua"/>
          <w:sz w:val="23"/>
          <w:szCs w:val="23"/>
          <w:lang w:val="en-GB"/>
        </w:rPr>
        <w:t>he end of 2018</w:t>
      </w:r>
      <w:r w:rsidRPr="003E3613">
        <w:rPr>
          <w:rFonts w:ascii="Book Antiqua" w:hAnsi="Book Antiqua"/>
          <w:sz w:val="23"/>
          <w:szCs w:val="23"/>
          <w:lang w:val="en-GB"/>
        </w:rPr>
        <w:t xml:space="preserve"> by Member States</w:t>
      </w:r>
      <w:r w:rsidR="0060536D" w:rsidRPr="003E3613">
        <w:rPr>
          <w:rFonts w:ascii="Book Antiqua" w:hAnsi="Book Antiqua"/>
          <w:sz w:val="23"/>
          <w:szCs w:val="23"/>
          <w:lang w:val="en-GB"/>
        </w:rPr>
        <w:t>.</w:t>
      </w:r>
      <w:r w:rsidR="001167C3" w:rsidRPr="003E3613">
        <w:rPr>
          <w:rStyle w:val="FootnoteReference"/>
          <w:rFonts w:ascii="Book Antiqua" w:hAnsi="Book Antiqua"/>
          <w:sz w:val="23"/>
          <w:szCs w:val="23"/>
          <w:lang w:val="en-GB"/>
        </w:rPr>
        <w:footnoteReference w:id="9"/>
      </w:r>
      <w:r w:rsidR="009A2952" w:rsidRPr="003E3613">
        <w:rPr>
          <w:rFonts w:ascii="Book Antiqua" w:hAnsi="Book Antiqua"/>
          <w:sz w:val="23"/>
          <w:szCs w:val="23"/>
          <w:lang w:val="en-GB"/>
        </w:rPr>
        <w:t xml:space="preserve"> </w:t>
      </w:r>
      <w:r w:rsidR="0060536D" w:rsidRPr="003E3613">
        <w:rPr>
          <w:rFonts w:ascii="Book Antiqua" w:hAnsi="Book Antiqua"/>
          <w:sz w:val="23"/>
          <w:szCs w:val="23"/>
          <w:lang w:val="en-GB"/>
        </w:rPr>
        <w:t xml:space="preserve">which shows Hungary’s </w:t>
      </w:r>
      <w:r w:rsidR="009A2952" w:rsidRPr="003E3613">
        <w:rPr>
          <w:rFonts w:ascii="Book Antiqua" w:hAnsi="Book Antiqua"/>
          <w:sz w:val="23"/>
          <w:szCs w:val="23"/>
          <w:lang w:val="en-GB"/>
        </w:rPr>
        <w:t>outstanding performance compared to other Member States.</w:t>
      </w:r>
    </w:p>
    <w:p w14:paraId="2F9175DE" w14:textId="77777777" w:rsidR="0099171C" w:rsidRPr="003E3613" w:rsidRDefault="0099171C" w:rsidP="00204696">
      <w:pPr>
        <w:spacing w:after="0"/>
        <w:jc w:val="both"/>
        <w:rPr>
          <w:rFonts w:ascii="Book Antiqua" w:hAnsi="Book Antiqua"/>
          <w:sz w:val="23"/>
          <w:szCs w:val="23"/>
          <w:lang w:val="en-GB"/>
        </w:rPr>
      </w:pPr>
    </w:p>
    <w:p w14:paraId="7A63A268" w14:textId="77777777" w:rsidR="00AE1980" w:rsidRPr="003E3613" w:rsidRDefault="001167C3" w:rsidP="00204696">
      <w:pPr>
        <w:spacing w:after="0"/>
        <w:jc w:val="both"/>
        <w:rPr>
          <w:rFonts w:ascii="Book Antiqua" w:hAnsi="Book Antiqua"/>
          <w:sz w:val="23"/>
          <w:szCs w:val="23"/>
          <w:lang w:val="en-GB"/>
        </w:rPr>
      </w:pPr>
      <w:r w:rsidRPr="003E3613">
        <w:rPr>
          <w:rFonts w:ascii="Book Antiqua" w:hAnsi="Book Antiqua"/>
          <w:noProof/>
          <w:sz w:val="23"/>
          <w:szCs w:val="23"/>
          <w:lang w:val="en-GB" w:eastAsia="en-GB"/>
        </w:rPr>
        <w:lastRenderedPageBreak/>
        <w:drawing>
          <wp:inline distT="0" distB="0" distL="0" distR="0" wp14:anchorId="6595B5A3" wp14:editId="3B661E29">
            <wp:extent cx="5756910" cy="2870200"/>
            <wp:effectExtent l="0" t="0" r="0" b="635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2870200"/>
                    </a:xfrm>
                    <a:prstGeom prst="rect">
                      <a:avLst/>
                    </a:prstGeom>
                    <a:noFill/>
                    <a:ln>
                      <a:noFill/>
                    </a:ln>
                  </pic:spPr>
                </pic:pic>
              </a:graphicData>
            </a:graphic>
          </wp:inline>
        </w:drawing>
      </w:r>
    </w:p>
    <w:p w14:paraId="5B5A6B09" w14:textId="77777777" w:rsidR="00AE1980" w:rsidRPr="003E3613" w:rsidRDefault="00AE1980" w:rsidP="00204696">
      <w:pPr>
        <w:spacing w:after="0"/>
        <w:jc w:val="both"/>
        <w:rPr>
          <w:rFonts w:ascii="Book Antiqua" w:hAnsi="Book Antiqua"/>
          <w:sz w:val="23"/>
          <w:szCs w:val="23"/>
          <w:lang w:val="en-GB"/>
        </w:rPr>
      </w:pPr>
    </w:p>
    <w:p w14:paraId="36C930D4" w14:textId="77777777" w:rsidR="001B063C" w:rsidRPr="003E3613" w:rsidRDefault="001B063C"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It is </w:t>
      </w:r>
      <w:r w:rsidR="001A3D63" w:rsidRPr="003E3613">
        <w:rPr>
          <w:rFonts w:ascii="Book Antiqua" w:hAnsi="Book Antiqua"/>
          <w:sz w:val="23"/>
          <w:szCs w:val="23"/>
          <w:lang w:val="en-GB"/>
        </w:rPr>
        <w:t xml:space="preserve">also </w:t>
      </w:r>
      <w:r w:rsidR="00B16F2A" w:rsidRPr="003E3613">
        <w:rPr>
          <w:rFonts w:ascii="Book Antiqua" w:hAnsi="Book Antiqua"/>
          <w:sz w:val="23"/>
          <w:szCs w:val="23"/>
          <w:lang w:val="en-GB"/>
        </w:rPr>
        <w:t>noteworthy</w:t>
      </w:r>
      <w:r w:rsidRPr="003E3613">
        <w:rPr>
          <w:rFonts w:ascii="Book Antiqua" w:hAnsi="Book Antiqua"/>
          <w:sz w:val="23"/>
          <w:szCs w:val="23"/>
          <w:lang w:val="en-GB"/>
        </w:rPr>
        <w:t xml:space="preserve">, that the Commission’s </w:t>
      </w:r>
      <w:r w:rsidR="00B16F2A" w:rsidRPr="003E3613">
        <w:rPr>
          <w:rFonts w:ascii="Book Antiqua" w:hAnsi="Book Antiqua"/>
          <w:sz w:val="23"/>
          <w:szCs w:val="23"/>
          <w:lang w:val="en-GB"/>
        </w:rPr>
        <w:t xml:space="preserve">2018 </w:t>
      </w:r>
      <w:r w:rsidRPr="003E3613">
        <w:rPr>
          <w:rFonts w:ascii="Book Antiqua" w:hAnsi="Book Antiqua"/>
          <w:sz w:val="23"/>
          <w:szCs w:val="23"/>
          <w:lang w:val="en-GB"/>
        </w:rPr>
        <w:t>Report</w:t>
      </w:r>
      <w:r w:rsidR="001A3D63" w:rsidRPr="003E3613">
        <w:rPr>
          <w:rFonts w:ascii="Book Antiqua" w:hAnsi="Book Antiqua"/>
          <w:sz w:val="23"/>
          <w:szCs w:val="23"/>
          <w:lang w:val="en-GB"/>
        </w:rPr>
        <w:t xml:space="preserve"> </w:t>
      </w:r>
      <w:r w:rsidRPr="003E3613">
        <w:rPr>
          <w:rFonts w:ascii="Book Antiqua" w:hAnsi="Book Antiqua"/>
          <w:sz w:val="23"/>
          <w:szCs w:val="23"/>
          <w:lang w:val="en-GB"/>
        </w:rPr>
        <w:t xml:space="preserve">identifies a favourable trend </w:t>
      </w:r>
      <w:r w:rsidR="008A74C3" w:rsidRPr="003E3613">
        <w:rPr>
          <w:rFonts w:ascii="Book Antiqua" w:hAnsi="Book Antiqua"/>
          <w:sz w:val="23"/>
          <w:szCs w:val="23"/>
          <w:lang w:val="en-GB"/>
        </w:rPr>
        <w:t>regarding</w:t>
      </w:r>
      <w:r w:rsidR="001A3D63" w:rsidRPr="003E3613">
        <w:rPr>
          <w:rFonts w:ascii="Book Antiqua" w:hAnsi="Book Antiqua"/>
          <w:sz w:val="23"/>
          <w:szCs w:val="23"/>
          <w:lang w:val="en-GB"/>
        </w:rPr>
        <w:t xml:space="preserve"> the number of new late transposition infringement cases against Hungary:</w:t>
      </w:r>
      <w:r w:rsidR="001A3D63" w:rsidRPr="003E3613">
        <w:rPr>
          <w:rStyle w:val="FootnoteReference"/>
          <w:rFonts w:ascii="Book Antiqua" w:hAnsi="Book Antiqua"/>
          <w:sz w:val="23"/>
          <w:szCs w:val="23"/>
          <w:lang w:val="en-GB"/>
        </w:rPr>
        <w:footnoteReference w:id="10"/>
      </w:r>
    </w:p>
    <w:p w14:paraId="5F6318D2" w14:textId="77777777" w:rsidR="001B063C" w:rsidRPr="003E3613" w:rsidRDefault="001B063C" w:rsidP="00204696">
      <w:pPr>
        <w:spacing w:after="0"/>
        <w:jc w:val="both"/>
        <w:rPr>
          <w:rFonts w:ascii="Book Antiqua" w:hAnsi="Book Antiqua"/>
          <w:sz w:val="23"/>
          <w:szCs w:val="23"/>
          <w:lang w:val="en-GB"/>
        </w:rPr>
      </w:pPr>
    </w:p>
    <w:p w14:paraId="77BC0807" w14:textId="77777777" w:rsidR="001B063C" w:rsidRPr="003E3613" w:rsidRDefault="001B063C" w:rsidP="00204696">
      <w:pPr>
        <w:spacing w:after="0"/>
        <w:jc w:val="center"/>
        <w:rPr>
          <w:rFonts w:ascii="Book Antiqua" w:hAnsi="Book Antiqua"/>
          <w:sz w:val="23"/>
          <w:szCs w:val="23"/>
          <w:lang w:val="en-GB"/>
        </w:rPr>
      </w:pPr>
      <w:r w:rsidRPr="003E3613">
        <w:rPr>
          <w:rFonts w:ascii="Book Antiqua" w:hAnsi="Book Antiqua"/>
          <w:noProof/>
          <w:sz w:val="23"/>
          <w:szCs w:val="23"/>
          <w:lang w:val="en-GB" w:eastAsia="en-GB"/>
        </w:rPr>
        <w:drawing>
          <wp:inline distT="0" distB="0" distL="0" distR="0" wp14:anchorId="579FCC9B" wp14:editId="28793B9D">
            <wp:extent cx="4261900" cy="2224970"/>
            <wp:effectExtent l="0" t="0" r="5715" b="444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2022" cy="2225034"/>
                    </a:xfrm>
                    <a:prstGeom prst="rect">
                      <a:avLst/>
                    </a:prstGeom>
                    <a:noFill/>
                    <a:ln>
                      <a:noFill/>
                    </a:ln>
                  </pic:spPr>
                </pic:pic>
              </a:graphicData>
            </a:graphic>
          </wp:inline>
        </w:drawing>
      </w:r>
    </w:p>
    <w:p w14:paraId="038CE949" w14:textId="77777777" w:rsidR="0001271B" w:rsidRPr="003E3613" w:rsidRDefault="0001271B" w:rsidP="00204696">
      <w:pPr>
        <w:spacing w:after="0"/>
        <w:jc w:val="both"/>
        <w:rPr>
          <w:rFonts w:ascii="Book Antiqua" w:hAnsi="Book Antiqua"/>
          <w:sz w:val="23"/>
          <w:szCs w:val="23"/>
          <w:lang w:val="en-GB"/>
        </w:rPr>
      </w:pPr>
    </w:p>
    <w:p w14:paraId="4FDE48FF" w14:textId="77777777" w:rsidR="00AE1980" w:rsidRPr="003E3613" w:rsidRDefault="00AE1980"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Furthermore, it should also be highlighted that according to the statistics Hungary is performing </w:t>
      </w:r>
      <w:r w:rsidR="00984B39" w:rsidRPr="003E3613">
        <w:rPr>
          <w:rFonts w:ascii="Book Antiqua" w:hAnsi="Book Antiqua"/>
          <w:sz w:val="23"/>
          <w:szCs w:val="23"/>
          <w:lang w:val="en-GB"/>
        </w:rPr>
        <w:t xml:space="preserve">better than </w:t>
      </w:r>
      <w:r w:rsidRPr="003E3613">
        <w:rPr>
          <w:rFonts w:ascii="Book Antiqua" w:hAnsi="Book Antiqua"/>
          <w:sz w:val="23"/>
          <w:szCs w:val="23"/>
          <w:lang w:val="en-GB"/>
        </w:rPr>
        <w:t>the EU average when it comes to the</w:t>
      </w:r>
      <w:r w:rsidR="00B86E16" w:rsidRPr="003E3613">
        <w:rPr>
          <w:rFonts w:ascii="Book Antiqua" w:hAnsi="Book Antiqua"/>
          <w:sz w:val="23"/>
          <w:szCs w:val="23"/>
          <w:lang w:val="en-GB"/>
        </w:rPr>
        <w:t xml:space="preserve"> average</w:t>
      </w:r>
      <w:r w:rsidRPr="003E3613">
        <w:rPr>
          <w:rFonts w:ascii="Book Antiqua" w:hAnsi="Book Antiqua"/>
          <w:sz w:val="23"/>
          <w:szCs w:val="23"/>
          <w:lang w:val="en-GB"/>
        </w:rPr>
        <w:t xml:space="preserve"> length of </w:t>
      </w:r>
      <w:r w:rsidR="00B86E16" w:rsidRPr="003E3613">
        <w:rPr>
          <w:rFonts w:ascii="Book Antiqua" w:hAnsi="Book Antiqua"/>
          <w:sz w:val="23"/>
          <w:szCs w:val="23"/>
          <w:lang w:val="en-GB"/>
        </w:rPr>
        <w:t xml:space="preserve">Single Market-related </w:t>
      </w:r>
      <w:r w:rsidRPr="003E3613">
        <w:rPr>
          <w:rFonts w:ascii="Book Antiqua" w:hAnsi="Book Antiqua"/>
          <w:sz w:val="23"/>
          <w:szCs w:val="23"/>
          <w:lang w:val="en-GB"/>
        </w:rPr>
        <w:t>infringement procedure</w:t>
      </w:r>
      <w:r w:rsidR="000430F4" w:rsidRPr="003E3613">
        <w:rPr>
          <w:rFonts w:ascii="Book Antiqua" w:hAnsi="Book Antiqua"/>
          <w:sz w:val="23"/>
          <w:szCs w:val="23"/>
          <w:lang w:val="en-GB"/>
        </w:rPr>
        <w:t>s</w:t>
      </w:r>
      <w:r w:rsidRPr="003E3613">
        <w:rPr>
          <w:rFonts w:ascii="Book Antiqua" w:hAnsi="Book Antiqua"/>
          <w:sz w:val="23"/>
          <w:szCs w:val="23"/>
          <w:lang w:val="en-GB"/>
        </w:rPr>
        <w:t xml:space="preserve"> (31.</w:t>
      </w:r>
      <w:r w:rsidR="008C50D6" w:rsidRPr="003E3613">
        <w:rPr>
          <w:rFonts w:ascii="Book Antiqua" w:hAnsi="Book Antiqua"/>
          <w:sz w:val="23"/>
          <w:szCs w:val="23"/>
          <w:lang w:val="en-GB"/>
        </w:rPr>
        <w:t>6</w:t>
      </w:r>
      <w:r w:rsidRPr="003E3613">
        <w:rPr>
          <w:rFonts w:ascii="Book Antiqua" w:hAnsi="Book Antiqua"/>
          <w:sz w:val="23"/>
          <w:szCs w:val="23"/>
          <w:lang w:val="en-GB"/>
        </w:rPr>
        <w:t xml:space="preserve"> months in HU, EU average is 3</w:t>
      </w:r>
      <w:r w:rsidR="008C50D6" w:rsidRPr="003E3613">
        <w:rPr>
          <w:rFonts w:ascii="Book Antiqua" w:hAnsi="Book Antiqua"/>
          <w:sz w:val="23"/>
          <w:szCs w:val="23"/>
          <w:lang w:val="en-GB"/>
        </w:rPr>
        <w:t>8</w:t>
      </w:r>
      <w:r w:rsidRPr="003E3613">
        <w:rPr>
          <w:rFonts w:ascii="Book Antiqua" w:hAnsi="Book Antiqua"/>
          <w:sz w:val="23"/>
          <w:szCs w:val="23"/>
          <w:lang w:val="en-GB"/>
        </w:rPr>
        <w:t>.</w:t>
      </w:r>
      <w:r w:rsidR="008C50D6" w:rsidRPr="003E3613">
        <w:rPr>
          <w:rFonts w:ascii="Book Antiqua" w:hAnsi="Book Antiqua"/>
          <w:sz w:val="23"/>
          <w:szCs w:val="23"/>
          <w:lang w:val="en-GB"/>
        </w:rPr>
        <w:t>1</w:t>
      </w:r>
      <w:r w:rsidRPr="003E3613">
        <w:rPr>
          <w:rFonts w:ascii="Book Antiqua" w:hAnsi="Book Antiqua"/>
          <w:sz w:val="23"/>
          <w:szCs w:val="23"/>
          <w:lang w:val="en-GB"/>
        </w:rPr>
        <w:t xml:space="preserve">) and </w:t>
      </w:r>
      <w:r w:rsidR="000430F4" w:rsidRPr="003E3613">
        <w:rPr>
          <w:rFonts w:ascii="Book Antiqua" w:hAnsi="Book Antiqua"/>
          <w:sz w:val="23"/>
          <w:szCs w:val="23"/>
          <w:lang w:val="en-GB"/>
        </w:rPr>
        <w:t xml:space="preserve">the </w:t>
      </w:r>
      <w:r w:rsidRPr="003E3613">
        <w:rPr>
          <w:rFonts w:ascii="Book Antiqua" w:hAnsi="Book Antiqua"/>
          <w:sz w:val="23"/>
          <w:szCs w:val="23"/>
          <w:lang w:val="en-GB"/>
        </w:rPr>
        <w:t>implementation of infringement judgement</w:t>
      </w:r>
      <w:r w:rsidR="000430F4" w:rsidRPr="003E3613">
        <w:rPr>
          <w:rFonts w:ascii="Book Antiqua" w:hAnsi="Book Antiqua"/>
          <w:sz w:val="23"/>
          <w:szCs w:val="23"/>
          <w:lang w:val="en-GB"/>
        </w:rPr>
        <w:t>s</w:t>
      </w:r>
      <w:r w:rsidRPr="003E3613">
        <w:rPr>
          <w:rFonts w:ascii="Book Antiqua" w:hAnsi="Book Antiqua"/>
          <w:sz w:val="23"/>
          <w:szCs w:val="23"/>
          <w:lang w:val="en-GB"/>
        </w:rPr>
        <w:t xml:space="preserve"> of the Court of Justice of the European Union (</w:t>
      </w:r>
      <w:r w:rsidR="008C50D6" w:rsidRPr="003E3613">
        <w:rPr>
          <w:rFonts w:ascii="Book Antiqua" w:hAnsi="Book Antiqua"/>
          <w:sz w:val="23"/>
          <w:szCs w:val="23"/>
          <w:lang w:val="en-GB"/>
        </w:rPr>
        <w:t>20.8</w:t>
      </w:r>
      <w:r w:rsidRPr="003E3613">
        <w:rPr>
          <w:rFonts w:ascii="Book Antiqua" w:hAnsi="Book Antiqua"/>
          <w:sz w:val="23"/>
          <w:szCs w:val="23"/>
          <w:lang w:val="en-GB"/>
        </w:rPr>
        <w:t xml:space="preserve"> months in Hungary, EU average is </w:t>
      </w:r>
      <w:r w:rsidR="008C50D6" w:rsidRPr="003E3613">
        <w:rPr>
          <w:rFonts w:ascii="Book Antiqua" w:hAnsi="Book Antiqua"/>
          <w:sz w:val="23"/>
          <w:szCs w:val="23"/>
          <w:lang w:val="en-GB"/>
        </w:rPr>
        <w:t>28.2</w:t>
      </w:r>
      <w:r w:rsidRPr="003E3613">
        <w:rPr>
          <w:rFonts w:ascii="Book Antiqua" w:hAnsi="Book Antiqua"/>
          <w:sz w:val="23"/>
          <w:szCs w:val="23"/>
          <w:lang w:val="en-GB"/>
        </w:rPr>
        <w:t xml:space="preserve">). </w:t>
      </w:r>
      <w:r w:rsidR="008C50D6" w:rsidRPr="003E3613">
        <w:rPr>
          <w:rStyle w:val="FootnoteReference"/>
          <w:rFonts w:ascii="Book Antiqua" w:hAnsi="Book Antiqua"/>
          <w:sz w:val="23"/>
          <w:szCs w:val="23"/>
          <w:lang w:val="en-GB"/>
        </w:rPr>
        <w:footnoteReference w:id="11"/>
      </w:r>
    </w:p>
    <w:p w14:paraId="1DA33050" w14:textId="77777777" w:rsidR="00B16F2A" w:rsidRPr="003E3613" w:rsidRDefault="00B16F2A" w:rsidP="00204696">
      <w:pPr>
        <w:spacing w:after="0"/>
        <w:jc w:val="both"/>
        <w:rPr>
          <w:rFonts w:ascii="Book Antiqua" w:hAnsi="Book Antiqua"/>
          <w:sz w:val="23"/>
          <w:szCs w:val="23"/>
          <w:lang w:val="en-GB"/>
        </w:rPr>
      </w:pPr>
    </w:p>
    <w:p w14:paraId="18812017" w14:textId="77777777" w:rsidR="00D80D33" w:rsidRPr="003E3613" w:rsidRDefault="008A74C3"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A</w:t>
      </w:r>
      <w:r w:rsidR="00B16F2A" w:rsidRPr="003E3613">
        <w:rPr>
          <w:rFonts w:ascii="Book Antiqua" w:hAnsi="Book Antiqua"/>
          <w:sz w:val="23"/>
          <w:szCs w:val="23"/>
          <w:lang w:val="en-GB"/>
        </w:rPr>
        <w:t xml:space="preserve">ccording to the Commission’s 2018 Report, </w:t>
      </w:r>
      <w:r w:rsidRPr="003E3613">
        <w:rPr>
          <w:rFonts w:ascii="Book Antiqua" w:hAnsi="Book Antiqua"/>
          <w:sz w:val="23"/>
          <w:szCs w:val="23"/>
          <w:lang w:val="en-GB"/>
        </w:rPr>
        <w:t>concerning</w:t>
      </w:r>
      <w:r w:rsidR="00B16F2A" w:rsidRPr="003E3613">
        <w:rPr>
          <w:rFonts w:ascii="Book Antiqua" w:hAnsi="Book Antiqua"/>
          <w:sz w:val="23"/>
          <w:szCs w:val="23"/>
          <w:lang w:val="en-GB"/>
        </w:rPr>
        <w:t xml:space="preserve"> </w:t>
      </w:r>
      <w:r w:rsidR="007133D9" w:rsidRPr="003E3613">
        <w:rPr>
          <w:rFonts w:ascii="Book Antiqua" w:hAnsi="Book Antiqua"/>
          <w:sz w:val="23"/>
          <w:szCs w:val="23"/>
          <w:lang w:val="en-GB"/>
        </w:rPr>
        <w:t xml:space="preserve">the </w:t>
      </w:r>
      <w:r w:rsidR="00B16F2A" w:rsidRPr="003E3613">
        <w:rPr>
          <w:rFonts w:ascii="Book Antiqua" w:hAnsi="Book Antiqua"/>
          <w:sz w:val="23"/>
          <w:szCs w:val="23"/>
          <w:lang w:val="en-GB"/>
        </w:rPr>
        <w:t>Member States’ resolution rate</w:t>
      </w:r>
      <w:r w:rsidR="007133D9" w:rsidRPr="003E3613">
        <w:rPr>
          <w:rFonts w:ascii="Book Antiqua" w:hAnsi="Book Antiqua"/>
          <w:sz w:val="23"/>
          <w:szCs w:val="23"/>
          <w:lang w:val="en-GB"/>
        </w:rPr>
        <w:t xml:space="preserve"> in EU Pilot procedures</w:t>
      </w:r>
      <w:r w:rsidR="00B16F2A" w:rsidRPr="003E3613">
        <w:rPr>
          <w:rFonts w:ascii="Book Antiqua" w:hAnsi="Book Antiqua"/>
          <w:sz w:val="23"/>
          <w:szCs w:val="23"/>
          <w:lang w:val="en-GB"/>
        </w:rPr>
        <w:t>, Hungary has for the past years managed to outperform the Member States’ average, with a 77% resolution rate by the end of 2018:</w:t>
      </w:r>
      <w:r w:rsidR="00B16F2A" w:rsidRPr="003E3613">
        <w:rPr>
          <w:rStyle w:val="FootnoteReference"/>
          <w:rFonts w:ascii="Book Antiqua" w:hAnsi="Book Antiqua"/>
          <w:sz w:val="23"/>
          <w:szCs w:val="23"/>
          <w:lang w:val="en-GB"/>
        </w:rPr>
        <w:footnoteReference w:id="12"/>
      </w:r>
    </w:p>
    <w:p w14:paraId="2CB8E095" w14:textId="77777777" w:rsidR="000C02B9" w:rsidRPr="003E3613" w:rsidRDefault="000C02B9" w:rsidP="00204696">
      <w:pPr>
        <w:spacing w:after="0"/>
        <w:jc w:val="both"/>
        <w:rPr>
          <w:rFonts w:ascii="Book Antiqua" w:hAnsi="Book Antiqua"/>
          <w:sz w:val="23"/>
          <w:szCs w:val="23"/>
          <w:lang w:val="en-GB"/>
        </w:rPr>
      </w:pPr>
    </w:p>
    <w:p w14:paraId="4B8C7FE2" w14:textId="77777777" w:rsidR="001B063C" w:rsidRPr="003E3613" w:rsidRDefault="00B16F2A" w:rsidP="00204696">
      <w:pPr>
        <w:spacing w:after="0"/>
        <w:jc w:val="both"/>
        <w:rPr>
          <w:rFonts w:ascii="Book Antiqua" w:hAnsi="Book Antiqua"/>
          <w:sz w:val="23"/>
          <w:szCs w:val="23"/>
          <w:lang w:val="en-GB"/>
        </w:rPr>
      </w:pPr>
      <w:r w:rsidRPr="003E3613">
        <w:rPr>
          <w:rFonts w:ascii="Book Antiqua" w:hAnsi="Book Antiqua"/>
          <w:noProof/>
          <w:sz w:val="23"/>
          <w:szCs w:val="23"/>
          <w:lang w:val="en-GB" w:eastAsia="en-GB"/>
        </w:rPr>
        <w:drawing>
          <wp:anchor distT="0" distB="0" distL="114300" distR="114300" simplePos="0" relativeHeight="251659264" behindDoc="1" locked="0" layoutInCell="1" allowOverlap="1" wp14:anchorId="4DF0BFB0" wp14:editId="27F6B1FC">
            <wp:simplePos x="0" y="0"/>
            <wp:positionH relativeFrom="column">
              <wp:posOffset>333375</wp:posOffset>
            </wp:positionH>
            <wp:positionV relativeFrom="paragraph">
              <wp:posOffset>57785</wp:posOffset>
            </wp:positionV>
            <wp:extent cx="4726940" cy="2572385"/>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6940" cy="2572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2CD14" w14:textId="77777777" w:rsidR="001B063C" w:rsidRPr="003E3613" w:rsidRDefault="001B063C" w:rsidP="00204696">
      <w:pPr>
        <w:spacing w:after="0"/>
        <w:jc w:val="both"/>
        <w:rPr>
          <w:rFonts w:ascii="Book Antiqua" w:hAnsi="Book Antiqua"/>
          <w:sz w:val="23"/>
          <w:szCs w:val="23"/>
          <w:lang w:val="en-GB"/>
        </w:rPr>
      </w:pPr>
    </w:p>
    <w:p w14:paraId="34525926" w14:textId="77777777" w:rsidR="001B063C" w:rsidRPr="003E3613" w:rsidRDefault="001B063C" w:rsidP="00204696">
      <w:pPr>
        <w:spacing w:after="0"/>
        <w:jc w:val="both"/>
        <w:rPr>
          <w:rFonts w:ascii="Book Antiqua" w:hAnsi="Book Antiqua"/>
          <w:sz w:val="23"/>
          <w:szCs w:val="23"/>
          <w:lang w:val="en-GB"/>
        </w:rPr>
      </w:pPr>
    </w:p>
    <w:p w14:paraId="5632DB53" w14:textId="77777777" w:rsidR="001B063C" w:rsidRPr="003E3613" w:rsidRDefault="001B063C" w:rsidP="00204696">
      <w:pPr>
        <w:spacing w:after="0"/>
        <w:jc w:val="both"/>
        <w:rPr>
          <w:rFonts w:ascii="Book Antiqua" w:hAnsi="Book Antiqua"/>
          <w:sz w:val="23"/>
          <w:szCs w:val="23"/>
          <w:lang w:val="en-GB"/>
        </w:rPr>
      </w:pPr>
    </w:p>
    <w:p w14:paraId="7814D4CB" w14:textId="77777777" w:rsidR="001B063C" w:rsidRPr="003E3613" w:rsidRDefault="001B063C" w:rsidP="00204696">
      <w:pPr>
        <w:spacing w:after="0"/>
        <w:jc w:val="both"/>
        <w:rPr>
          <w:rFonts w:ascii="Book Antiqua" w:hAnsi="Book Antiqua"/>
          <w:sz w:val="23"/>
          <w:szCs w:val="23"/>
          <w:lang w:val="en-GB"/>
        </w:rPr>
      </w:pPr>
    </w:p>
    <w:p w14:paraId="52346130" w14:textId="77777777" w:rsidR="001B063C" w:rsidRPr="003E3613" w:rsidRDefault="001B063C" w:rsidP="00204696">
      <w:pPr>
        <w:spacing w:after="0"/>
        <w:jc w:val="both"/>
        <w:rPr>
          <w:rFonts w:ascii="Book Antiqua" w:hAnsi="Book Antiqua"/>
          <w:sz w:val="23"/>
          <w:szCs w:val="23"/>
          <w:lang w:val="en-GB"/>
        </w:rPr>
      </w:pPr>
    </w:p>
    <w:p w14:paraId="3E814894" w14:textId="77777777" w:rsidR="001B063C" w:rsidRPr="003E3613" w:rsidRDefault="001B063C" w:rsidP="00204696">
      <w:pPr>
        <w:spacing w:after="0"/>
        <w:jc w:val="both"/>
        <w:rPr>
          <w:rFonts w:ascii="Book Antiqua" w:hAnsi="Book Antiqua"/>
          <w:sz w:val="23"/>
          <w:szCs w:val="23"/>
          <w:lang w:val="en-GB"/>
        </w:rPr>
      </w:pPr>
    </w:p>
    <w:p w14:paraId="00CA1CF4" w14:textId="77777777" w:rsidR="001B063C" w:rsidRPr="003E3613" w:rsidRDefault="001B063C" w:rsidP="00204696">
      <w:pPr>
        <w:spacing w:after="0"/>
        <w:jc w:val="both"/>
        <w:rPr>
          <w:rFonts w:ascii="Book Antiqua" w:hAnsi="Book Antiqua"/>
          <w:sz w:val="23"/>
          <w:szCs w:val="23"/>
          <w:lang w:val="en-GB"/>
        </w:rPr>
      </w:pPr>
    </w:p>
    <w:p w14:paraId="64C55F2E" w14:textId="77777777" w:rsidR="001B063C" w:rsidRPr="003E3613" w:rsidRDefault="001B063C" w:rsidP="00204696">
      <w:pPr>
        <w:spacing w:after="0"/>
        <w:jc w:val="both"/>
        <w:rPr>
          <w:rFonts w:ascii="Book Antiqua" w:hAnsi="Book Antiqua"/>
          <w:sz w:val="23"/>
          <w:szCs w:val="23"/>
          <w:lang w:val="en-GB"/>
        </w:rPr>
      </w:pPr>
    </w:p>
    <w:p w14:paraId="02E15DCE" w14:textId="77777777" w:rsidR="001B063C" w:rsidRPr="003E3613" w:rsidRDefault="001B063C" w:rsidP="00204696">
      <w:pPr>
        <w:spacing w:after="0"/>
        <w:jc w:val="both"/>
        <w:rPr>
          <w:rFonts w:ascii="Book Antiqua" w:hAnsi="Book Antiqua"/>
          <w:sz w:val="23"/>
          <w:szCs w:val="23"/>
          <w:lang w:val="en-GB"/>
        </w:rPr>
      </w:pPr>
    </w:p>
    <w:p w14:paraId="1AD84A9B" w14:textId="77777777" w:rsidR="000C02B9" w:rsidRPr="003E3613" w:rsidRDefault="000C02B9" w:rsidP="00204696">
      <w:pPr>
        <w:spacing w:after="0"/>
        <w:jc w:val="both"/>
        <w:rPr>
          <w:rFonts w:ascii="Book Antiqua" w:hAnsi="Book Antiqua"/>
          <w:sz w:val="23"/>
          <w:szCs w:val="23"/>
          <w:lang w:val="en-GB"/>
        </w:rPr>
      </w:pPr>
    </w:p>
    <w:p w14:paraId="76B2DA93" w14:textId="77777777" w:rsidR="00334568" w:rsidRPr="003E3613" w:rsidRDefault="00334568" w:rsidP="00204696">
      <w:pPr>
        <w:spacing w:after="0"/>
        <w:jc w:val="center"/>
        <w:rPr>
          <w:rFonts w:ascii="Book Antiqua" w:hAnsi="Book Antiqua"/>
          <w:sz w:val="23"/>
          <w:szCs w:val="23"/>
          <w:lang w:val="en-GB"/>
        </w:rPr>
      </w:pPr>
    </w:p>
    <w:p w14:paraId="46782812" w14:textId="77777777" w:rsidR="0060536D" w:rsidRPr="003E3613" w:rsidRDefault="0060536D" w:rsidP="00204696">
      <w:pPr>
        <w:spacing w:after="0"/>
        <w:rPr>
          <w:rFonts w:ascii="Book Antiqua" w:hAnsi="Book Antiqua"/>
          <w:sz w:val="23"/>
          <w:szCs w:val="23"/>
          <w:lang w:val="en-GB"/>
        </w:rPr>
      </w:pPr>
    </w:p>
    <w:p w14:paraId="0AA61F52" w14:textId="77777777" w:rsidR="00AE1980" w:rsidRPr="003E3613" w:rsidRDefault="00AE1980" w:rsidP="00204696">
      <w:pPr>
        <w:spacing w:after="0"/>
        <w:rPr>
          <w:rFonts w:ascii="Book Antiqua" w:hAnsi="Book Antiqua"/>
          <w:sz w:val="23"/>
          <w:szCs w:val="23"/>
          <w:lang w:val="en-GB"/>
        </w:rPr>
      </w:pPr>
      <w:r w:rsidRPr="003E3613">
        <w:rPr>
          <w:rFonts w:ascii="Book Antiqua" w:hAnsi="Book Antiqua"/>
          <w:sz w:val="23"/>
          <w:szCs w:val="23"/>
          <w:lang w:val="en-GB"/>
        </w:rPr>
        <w:t xml:space="preserve">In </w:t>
      </w:r>
      <w:r w:rsidR="00B16F2A" w:rsidRPr="003E3613">
        <w:rPr>
          <w:rFonts w:ascii="Book Antiqua" w:hAnsi="Book Antiqua"/>
          <w:sz w:val="23"/>
          <w:szCs w:val="23"/>
          <w:lang w:val="en-GB"/>
        </w:rPr>
        <w:t xml:space="preserve">light </w:t>
      </w:r>
      <w:r w:rsidRPr="003E3613">
        <w:rPr>
          <w:rFonts w:ascii="Book Antiqua" w:hAnsi="Book Antiqua"/>
          <w:sz w:val="23"/>
          <w:szCs w:val="23"/>
          <w:lang w:val="en-GB"/>
        </w:rPr>
        <w:t xml:space="preserve">of the above, it is highly questionable to criticize Hungary’s performance in the context of infringement cases </w:t>
      </w:r>
      <w:r w:rsidRPr="003E3613">
        <w:rPr>
          <w:rFonts w:ascii="Book Antiqua" w:hAnsi="Book Antiqua" w:cs="Times New Roman"/>
          <w:sz w:val="23"/>
          <w:szCs w:val="23"/>
          <w:lang w:val="en-GB"/>
        </w:rPr>
        <w:t>and their</w:t>
      </w:r>
      <w:r w:rsidRPr="003E3613">
        <w:rPr>
          <w:rFonts w:ascii="Book Antiqua" w:hAnsi="Book Antiqua"/>
          <w:sz w:val="23"/>
          <w:szCs w:val="23"/>
          <w:lang w:val="en-GB"/>
        </w:rPr>
        <w:t xml:space="preserve"> „effect on the overall atmosphere in the country”.</w:t>
      </w:r>
    </w:p>
    <w:p w14:paraId="220C4C08" w14:textId="77777777" w:rsidR="00470259" w:rsidRPr="003E3613" w:rsidRDefault="00470259" w:rsidP="00204696">
      <w:pPr>
        <w:spacing w:after="0"/>
        <w:jc w:val="both"/>
        <w:rPr>
          <w:rFonts w:ascii="Book Antiqua" w:hAnsi="Book Antiqua"/>
          <w:sz w:val="23"/>
          <w:szCs w:val="23"/>
          <w:lang w:val="en-GB"/>
        </w:rPr>
      </w:pPr>
    </w:p>
    <w:p w14:paraId="4CCD8E12" w14:textId="2D6EBC3E" w:rsidR="00B46565" w:rsidRPr="003E3613" w:rsidRDefault="003C216E" w:rsidP="00204696">
      <w:pPr>
        <w:autoSpaceDE w:val="0"/>
        <w:autoSpaceDN w:val="0"/>
        <w:adjustRightInd w:val="0"/>
        <w:spacing w:after="0"/>
        <w:jc w:val="both"/>
        <w:rPr>
          <w:rFonts w:ascii="Book Antiqua" w:hAnsi="Book Antiqua"/>
          <w:sz w:val="23"/>
          <w:szCs w:val="23"/>
          <w:lang w:val="en-GB"/>
        </w:rPr>
      </w:pPr>
      <w:r w:rsidRPr="003E3613">
        <w:rPr>
          <w:rFonts w:ascii="Book Antiqua" w:hAnsi="Book Antiqua"/>
          <w:sz w:val="23"/>
          <w:szCs w:val="23"/>
          <w:lang w:val="en-GB"/>
        </w:rPr>
        <w:t xml:space="preserve">The figures of the last edition of the </w:t>
      </w:r>
      <w:r w:rsidR="00221CD2" w:rsidRPr="003E3613">
        <w:rPr>
          <w:rFonts w:ascii="Book Antiqua" w:hAnsi="Book Antiqua"/>
          <w:sz w:val="23"/>
          <w:szCs w:val="23"/>
          <w:lang w:val="en-GB"/>
        </w:rPr>
        <w:t xml:space="preserve">Justice </w:t>
      </w:r>
      <w:r w:rsidRPr="003E3613">
        <w:rPr>
          <w:rFonts w:ascii="Book Antiqua" w:hAnsi="Book Antiqua"/>
          <w:sz w:val="23"/>
          <w:szCs w:val="23"/>
          <w:lang w:val="en-GB"/>
        </w:rPr>
        <w:t xml:space="preserve">Scoreboard published on </w:t>
      </w:r>
      <w:r w:rsidR="00B46565" w:rsidRPr="003E3613">
        <w:rPr>
          <w:rFonts w:ascii="Book Antiqua" w:hAnsi="Book Antiqua"/>
          <w:sz w:val="23"/>
          <w:szCs w:val="23"/>
          <w:lang w:val="en-GB"/>
        </w:rPr>
        <w:t>26 April 2019</w:t>
      </w:r>
      <w:r w:rsidR="00B46565" w:rsidRPr="003E3613">
        <w:rPr>
          <w:rStyle w:val="FootnoteReference"/>
          <w:rFonts w:ascii="Book Antiqua" w:hAnsi="Book Antiqua"/>
          <w:sz w:val="23"/>
          <w:szCs w:val="23"/>
          <w:lang w:val="en-GB"/>
        </w:rPr>
        <w:footnoteReference w:id="13"/>
      </w:r>
      <w:r w:rsidR="001F6F2B" w:rsidRPr="003E3613">
        <w:rPr>
          <w:rFonts w:ascii="Book Antiqua" w:hAnsi="Book Antiqua"/>
          <w:sz w:val="23"/>
          <w:szCs w:val="23"/>
          <w:lang w:val="en-GB"/>
        </w:rPr>
        <w:t xml:space="preserve"> </w:t>
      </w:r>
      <w:r w:rsidRPr="003E3613">
        <w:rPr>
          <w:rFonts w:ascii="Book Antiqua" w:hAnsi="Book Antiqua"/>
          <w:sz w:val="23"/>
          <w:szCs w:val="23"/>
          <w:lang w:val="en-GB"/>
        </w:rPr>
        <w:t xml:space="preserve">show that the Hungarian justice system performs above or well above the EU average, just like in previous years. </w:t>
      </w:r>
      <w:r w:rsidR="00B46565" w:rsidRPr="003E3613">
        <w:rPr>
          <w:rFonts w:ascii="Book Antiqua" w:hAnsi="Book Antiqua"/>
          <w:sz w:val="23"/>
          <w:szCs w:val="23"/>
          <w:lang w:val="en-GB"/>
        </w:rPr>
        <w:t>Regarding the length of proceedings, Hungarian courts are permanently at the top of the EU in many types of cases. According to this year’s scoreboard, which reflects the 2017 state, the number of pending first instance administrative cases p</w:t>
      </w:r>
      <w:r w:rsidR="009A2952" w:rsidRPr="003E3613">
        <w:rPr>
          <w:rFonts w:ascii="Book Antiqua" w:hAnsi="Book Antiqua"/>
          <w:sz w:val="23"/>
          <w:szCs w:val="23"/>
          <w:lang w:val="en-GB"/>
        </w:rPr>
        <w:t>er</w:t>
      </w:r>
      <w:r w:rsidR="00B46565" w:rsidRPr="003E3613">
        <w:rPr>
          <w:rFonts w:ascii="Book Antiqua" w:hAnsi="Book Antiqua"/>
          <w:sz w:val="23"/>
          <w:szCs w:val="23"/>
          <w:lang w:val="en-GB"/>
        </w:rPr>
        <w:t xml:space="preserve"> 100 citizens is the second lowest among the 28 </w:t>
      </w:r>
      <w:r w:rsidR="00824BD8" w:rsidRPr="003E3613">
        <w:rPr>
          <w:rFonts w:ascii="Book Antiqua" w:hAnsi="Book Antiqua"/>
          <w:sz w:val="23"/>
          <w:szCs w:val="23"/>
          <w:lang w:val="en-GB"/>
        </w:rPr>
        <w:t>M</w:t>
      </w:r>
      <w:r w:rsidR="00B46565" w:rsidRPr="003E3613">
        <w:rPr>
          <w:rFonts w:ascii="Book Antiqua" w:hAnsi="Book Antiqua"/>
          <w:sz w:val="23"/>
          <w:szCs w:val="23"/>
          <w:lang w:val="en-GB"/>
        </w:rPr>
        <w:t xml:space="preserve">ember </w:t>
      </w:r>
      <w:r w:rsidR="00824BD8" w:rsidRPr="003E3613">
        <w:rPr>
          <w:rFonts w:ascii="Book Antiqua" w:hAnsi="Book Antiqua"/>
          <w:sz w:val="23"/>
          <w:szCs w:val="23"/>
          <w:lang w:val="en-GB"/>
        </w:rPr>
        <w:t>S</w:t>
      </w:r>
      <w:r w:rsidR="00B46565" w:rsidRPr="003E3613">
        <w:rPr>
          <w:rFonts w:ascii="Book Antiqua" w:hAnsi="Book Antiqua"/>
          <w:sz w:val="23"/>
          <w:szCs w:val="23"/>
          <w:lang w:val="en-GB"/>
        </w:rPr>
        <w:t xml:space="preserve">tates, </w:t>
      </w:r>
      <w:r w:rsidR="00CA7A4D" w:rsidRPr="003E3613">
        <w:rPr>
          <w:rFonts w:ascii="Book Antiqua" w:hAnsi="Book Antiqua"/>
          <w:sz w:val="23"/>
          <w:szCs w:val="23"/>
          <w:lang w:val="en-GB"/>
        </w:rPr>
        <w:t>just</w:t>
      </w:r>
      <w:r w:rsidR="00B46565" w:rsidRPr="003E3613">
        <w:rPr>
          <w:rFonts w:ascii="Book Antiqua" w:hAnsi="Book Antiqua"/>
          <w:sz w:val="23"/>
          <w:szCs w:val="23"/>
          <w:lang w:val="en-GB"/>
        </w:rPr>
        <w:t xml:space="preserve"> as the</w:t>
      </w:r>
      <w:r w:rsidR="00CA7A4D" w:rsidRPr="003E3613">
        <w:rPr>
          <w:rFonts w:ascii="Book Antiqua" w:hAnsi="Book Antiqua"/>
          <w:sz w:val="23"/>
          <w:szCs w:val="23"/>
          <w:lang w:val="en-GB"/>
        </w:rPr>
        <w:t xml:space="preserve"> average</w:t>
      </w:r>
      <w:r w:rsidR="00B46565" w:rsidRPr="003E3613">
        <w:rPr>
          <w:rFonts w:ascii="Book Antiqua" w:hAnsi="Book Antiqua"/>
          <w:sz w:val="23"/>
          <w:szCs w:val="23"/>
          <w:lang w:val="en-GB"/>
        </w:rPr>
        <w:t xml:space="preserve"> length of EU trademark</w:t>
      </w:r>
      <w:r w:rsidR="00C742C8" w:rsidRPr="003E3613">
        <w:rPr>
          <w:rFonts w:ascii="Book Antiqua" w:hAnsi="Book Antiqua"/>
          <w:sz w:val="23"/>
          <w:szCs w:val="23"/>
          <w:lang w:val="en-GB"/>
        </w:rPr>
        <w:t xml:space="preserve"> infringement</w:t>
      </w:r>
      <w:r w:rsidR="00B46565" w:rsidRPr="003E3613">
        <w:rPr>
          <w:rFonts w:ascii="Book Antiqua" w:hAnsi="Book Antiqua"/>
          <w:sz w:val="23"/>
          <w:szCs w:val="23"/>
          <w:lang w:val="en-GB"/>
        </w:rPr>
        <w:t xml:space="preserve"> cases. We earned an excellent place regarding the length of first instance civil and administrative proceedings in general (5th place</w:t>
      </w:r>
      <w:r w:rsidR="00A04D12" w:rsidRPr="003E3613">
        <w:rPr>
          <w:rFonts w:ascii="Book Antiqua" w:hAnsi="Book Antiqua"/>
          <w:sz w:val="23"/>
          <w:szCs w:val="23"/>
          <w:lang w:val="en-GB"/>
        </w:rPr>
        <w:t>)</w:t>
      </w:r>
      <w:r w:rsidR="00B46565" w:rsidRPr="003E3613">
        <w:rPr>
          <w:rFonts w:ascii="Book Antiqua" w:hAnsi="Book Antiqua"/>
          <w:sz w:val="23"/>
          <w:szCs w:val="23"/>
          <w:lang w:val="en-GB"/>
        </w:rPr>
        <w:t>.</w:t>
      </w:r>
      <w:r w:rsidR="00984B39" w:rsidRPr="003E3613">
        <w:rPr>
          <w:rFonts w:ascii="Book Antiqua" w:hAnsi="Book Antiqua"/>
          <w:sz w:val="23"/>
          <w:szCs w:val="23"/>
          <w:lang w:val="en-GB"/>
        </w:rPr>
        <w:t xml:space="preserve"> This demonstrates the effectiveness of the </w:t>
      </w:r>
      <w:r w:rsidR="0057248A" w:rsidRPr="003E3613">
        <w:rPr>
          <w:rFonts w:ascii="Book Antiqua" w:hAnsi="Book Antiqua"/>
          <w:sz w:val="23"/>
          <w:szCs w:val="23"/>
          <w:lang w:val="en-GB"/>
        </w:rPr>
        <w:t>judicial reform and the new structure.</w:t>
      </w:r>
    </w:p>
    <w:p w14:paraId="04D0271A" w14:textId="77777777" w:rsidR="00A04D12" w:rsidRPr="003E3613" w:rsidRDefault="00A04D12" w:rsidP="00204696">
      <w:pPr>
        <w:spacing w:after="0"/>
        <w:jc w:val="both"/>
        <w:rPr>
          <w:rFonts w:ascii="Book Antiqua" w:hAnsi="Book Antiqua"/>
          <w:sz w:val="23"/>
          <w:szCs w:val="23"/>
          <w:lang w:val="en-GB"/>
        </w:rPr>
      </w:pPr>
    </w:p>
    <w:p w14:paraId="4078CCC3" w14:textId="77777777" w:rsidR="0057248A" w:rsidRPr="003E3613" w:rsidRDefault="003C216E" w:rsidP="00204696">
      <w:pPr>
        <w:spacing w:after="0"/>
        <w:jc w:val="both"/>
        <w:rPr>
          <w:rFonts w:ascii="Book Antiqua" w:hAnsi="Book Antiqua"/>
          <w:sz w:val="23"/>
          <w:szCs w:val="23"/>
          <w:lang w:val="en-GB"/>
        </w:rPr>
      </w:pPr>
      <w:r w:rsidRPr="003E3613">
        <w:rPr>
          <w:rFonts w:ascii="Book Antiqua" w:hAnsi="Book Antiqua"/>
          <w:sz w:val="23"/>
          <w:szCs w:val="23"/>
          <w:lang w:val="en-GB"/>
        </w:rPr>
        <w:t>As far as the independence of the justice system is concerned, the</w:t>
      </w:r>
      <w:r w:rsidR="0057248A" w:rsidRPr="003E3613">
        <w:rPr>
          <w:rFonts w:ascii="Book Antiqua" w:hAnsi="Book Antiqua"/>
          <w:sz w:val="23"/>
          <w:szCs w:val="23"/>
          <w:lang w:val="en-GB"/>
        </w:rPr>
        <w:t xml:space="preserve"> figures based on objective data </w:t>
      </w:r>
      <w:r w:rsidRPr="003E3613">
        <w:rPr>
          <w:rFonts w:ascii="Book Antiqua" w:hAnsi="Book Antiqua"/>
          <w:sz w:val="23"/>
          <w:szCs w:val="23"/>
          <w:lang w:val="en-GB"/>
        </w:rPr>
        <w:t>do not illustrate discrepancies in the Hungarian system</w:t>
      </w:r>
      <w:r w:rsidR="0057248A" w:rsidRPr="003E3613">
        <w:rPr>
          <w:rFonts w:ascii="Book Antiqua" w:hAnsi="Book Antiqua"/>
          <w:sz w:val="23"/>
          <w:szCs w:val="23"/>
          <w:lang w:val="en-GB"/>
        </w:rPr>
        <w:t xml:space="preserve">, </w:t>
      </w:r>
      <w:r w:rsidRPr="003E3613">
        <w:rPr>
          <w:rFonts w:ascii="Book Antiqua" w:hAnsi="Book Antiqua"/>
          <w:sz w:val="23"/>
          <w:szCs w:val="23"/>
          <w:lang w:val="en-GB"/>
        </w:rPr>
        <w:t>especially regarding</w:t>
      </w:r>
      <w:r w:rsidR="0057248A" w:rsidRPr="003E3613">
        <w:rPr>
          <w:rFonts w:ascii="Book Antiqua" w:hAnsi="Book Antiqua"/>
          <w:sz w:val="23"/>
          <w:szCs w:val="23"/>
          <w:lang w:val="en-GB"/>
        </w:rPr>
        <w:t xml:space="preserve"> </w:t>
      </w:r>
      <w:r w:rsidRPr="003E3613">
        <w:rPr>
          <w:rFonts w:ascii="Book Antiqua" w:hAnsi="Book Antiqua"/>
          <w:sz w:val="23"/>
          <w:szCs w:val="23"/>
          <w:lang w:val="en-GB"/>
        </w:rPr>
        <w:t xml:space="preserve">the guarantees of structural independence </w:t>
      </w:r>
      <w:r w:rsidR="0057248A" w:rsidRPr="003E3613">
        <w:rPr>
          <w:rFonts w:ascii="Book Antiqua" w:hAnsi="Book Antiqua"/>
          <w:sz w:val="23"/>
          <w:szCs w:val="23"/>
          <w:lang w:val="en-GB"/>
        </w:rPr>
        <w:t xml:space="preserve">and the separation of the national prosecution service from other powers, </w:t>
      </w:r>
      <w:r w:rsidRPr="003E3613">
        <w:rPr>
          <w:rFonts w:ascii="Book Antiqua" w:hAnsi="Book Antiqua"/>
          <w:sz w:val="23"/>
          <w:szCs w:val="23"/>
          <w:lang w:val="en-GB"/>
        </w:rPr>
        <w:t xml:space="preserve">which are well-established </w:t>
      </w:r>
      <w:r w:rsidR="00747D1E" w:rsidRPr="003E3613">
        <w:rPr>
          <w:rFonts w:ascii="Book Antiqua" w:hAnsi="Book Antiqua"/>
          <w:sz w:val="23"/>
          <w:szCs w:val="23"/>
          <w:lang w:val="en-GB"/>
        </w:rPr>
        <w:t>under</w:t>
      </w:r>
      <w:r w:rsidRPr="003E3613">
        <w:rPr>
          <w:rFonts w:ascii="Book Antiqua" w:hAnsi="Book Antiqua"/>
          <w:sz w:val="23"/>
          <w:szCs w:val="23"/>
          <w:lang w:val="en-GB"/>
        </w:rPr>
        <w:t xml:space="preserve"> Hungarian law.</w:t>
      </w:r>
    </w:p>
    <w:p w14:paraId="75543725" w14:textId="77777777" w:rsidR="002F2E9B" w:rsidRPr="003E3613" w:rsidRDefault="002F2E9B" w:rsidP="00204696">
      <w:pPr>
        <w:spacing w:after="0"/>
        <w:jc w:val="both"/>
        <w:rPr>
          <w:rFonts w:ascii="Book Antiqua" w:hAnsi="Book Antiqua"/>
          <w:sz w:val="23"/>
          <w:szCs w:val="23"/>
          <w:lang w:val="en-GB"/>
        </w:rPr>
      </w:pPr>
    </w:p>
    <w:p w14:paraId="3AD46C45" w14:textId="77777777" w:rsidR="006C7F76" w:rsidRPr="003E3613" w:rsidRDefault="006C7F76"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As regards the perceived independence of judiciary in Member States, the ranking method the Commission has chosen raises serious concerns. For the purpose of the ranking, all those respondents who have not stated that the independence of courts and judges is very good or fairly good, including those who simply did not take any position on the matter, are </w:t>
      </w:r>
      <w:r w:rsidRPr="003E3613">
        <w:rPr>
          <w:rFonts w:ascii="Book Antiqua" w:hAnsi="Book Antiqua"/>
          <w:sz w:val="23"/>
          <w:szCs w:val="23"/>
          <w:lang w:val="en-GB"/>
        </w:rPr>
        <w:lastRenderedPageBreak/>
        <w:t xml:space="preserve">practically regarded as having a fairly or very bad perception of the independence of the judiciary. Consenquently the ranking obviously does not reflect reality, not even that of the perceived independence, which is already a highly subjective issue. This method of ranking results in a completely misleading interpretation of the data in some cases. </w:t>
      </w:r>
    </w:p>
    <w:p w14:paraId="024A6737" w14:textId="77777777" w:rsidR="002F2E9B" w:rsidRPr="003E3613" w:rsidRDefault="002F2E9B" w:rsidP="00204696">
      <w:pPr>
        <w:spacing w:after="0"/>
        <w:jc w:val="both"/>
        <w:rPr>
          <w:rFonts w:ascii="Book Antiqua" w:hAnsi="Book Antiqua"/>
          <w:sz w:val="23"/>
          <w:szCs w:val="23"/>
          <w:lang w:val="en-GB"/>
        </w:rPr>
      </w:pPr>
    </w:p>
    <w:p w14:paraId="7B665BC7" w14:textId="6BE53556" w:rsidR="006C7F76" w:rsidRPr="003E3613" w:rsidRDefault="006C7F76" w:rsidP="00204696">
      <w:pPr>
        <w:spacing w:after="0"/>
        <w:jc w:val="both"/>
        <w:rPr>
          <w:rFonts w:ascii="Book Antiqua" w:hAnsi="Book Antiqua"/>
          <w:sz w:val="23"/>
          <w:szCs w:val="23"/>
          <w:lang w:val="en-GB"/>
        </w:rPr>
      </w:pPr>
      <w:r w:rsidRPr="003E3613">
        <w:rPr>
          <w:rFonts w:ascii="Book Antiqua" w:hAnsi="Book Antiqua"/>
          <w:sz w:val="23"/>
          <w:szCs w:val="23"/>
          <w:lang w:val="en-GB"/>
        </w:rPr>
        <w:t>We would also like to note that the data on Hungary presented in this way and the tendency suggested by those figures show a significantly different situation of companies’ perception than what can be concluded from other credible sources</w:t>
      </w:r>
      <w:r w:rsidR="0057248A" w:rsidRPr="003E3613">
        <w:rPr>
          <w:rFonts w:ascii="Book Antiqua" w:hAnsi="Book Antiqua"/>
          <w:sz w:val="23"/>
          <w:szCs w:val="23"/>
          <w:lang w:val="en-GB"/>
        </w:rPr>
        <w:t>,</w:t>
      </w:r>
      <w:r w:rsidRPr="003E3613">
        <w:rPr>
          <w:rFonts w:ascii="Book Antiqua" w:hAnsi="Book Antiqua"/>
          <w:sz w:val="23"/>
          <w:szCs w:val="23"/>
          <w:lang w:val="en-GB"/>
        </w:rPr>
        <w:t xml:space="preserve"> such as the German</w:t>
      </w:r>
      <w:r w:rsidR="00054E22" w:rsidRPr="003E3613">
        <w:rPr>
          <w:rFonts w:ascii="Book Antiqua" w:hAnsi="Book Antiqua"/>
          <w:sz w:val="23"/>
          <w:szCs w:val="23"/>
          <w:lang w:val="en-GB"/>
        </w:rPr>
        <w:t>-</w:t>
      </w:r>
      <w:r w:rsidRPr="003E3613">
        <w:rPr>
          <w:rFonts w:ascii="Book Antiqua" w:hAnsi="Book Antiqua"/>
          <w:sz w:val="23"/>
          <w:szCs w:val="23"/>
          <w:lang w:val="en-GB"/>
        </w:rPr>
        <w:t>Hungarian Chamber of Industry and Commerce which ha</w:t>
      </w:r>
      <w:r w:rsidR="0057248A" w:rsidRPr="003E3613">
        <w:rPr>
          <w:rFonts w:ascii="Book Antiqua" w:hAnsi="Book Antiqua"/>
          <w:sz w:val="23"/>
          <w:szCs w:val="23"/>
          <w:lang w:val="en-GB"/>
        </w:rPr>
        <w:t>s</w:t>
      </w:r>
      <w:r w:rsidRPr="003E3613">
        <w:rPr>
          <w:rFonts w:ascii="Book Antiqua" w:hAnsi="Book Antiqua"/>
          <w:sz w:val="23"/>
          <w:szCs w:val="23"/>
          <w:lang w:val="en-GB"/>
        </w:rPr>
        <w:t xml:space="preserve"> been conducting satisfaction surveys among investors in Hungary for 25 years. Its latest economic report published in April 2019 and based on surveys conducted in February/March 2019, demonstrates a continuous improvement in the assessment of economic policy conditions including legal certainty.</w:t>
      </w:r>
      <w:r w:rsidR="001F6F2B" w:rsidRPr="003E3613">
        <w:rPr>
          <w:rFonts w:ascii="Book Antiqua" w:hAnsi="Book Antiqua"/>
          <w:sz w:val="23"/>
          <w:szCs w:val="23"/>
          <w:lang w:val="en-GB"/>
        </w:rPr>
        <w:t xml:space="preserve"> </w:t>
      </w:r>
    </w:p>
    <w:p w14:paraId="20DBE758" w14:textId="77777777" w:rsidR="006C7F76" w:rsidRPr="003E3613" w:rsidRDefault="006C7F76" w:rsidP="00204696">
      <w:pPr>
        <w:spacing w:after="0"/>
        <w:jc w:val="both"/>
        <w:rPr>
          <w:rFonts w:ascii="Times New Roman" w:hAnsi="Times New Roman"/>
          <w:sz w:val="24"/>
          <w:szCs w:val="24"/>
          <w:lang w:val="en-GB"/>
        </w:rPr>
      </w:pPr>
    </w:p>
    <w:p w14:paraId="2F46E3BA" w14:textId="77777777" w:rsidR="002F2E9B" w:rsidRPr="003E3613" w:rsidRDefault="002F2E9B" w:rsidP="00204696">
      <w:pPr>
        <w:spacing w:after="0"/>
        <w:jc w:val="both"/>
        <w:rPr>
          <w:rFonts w:ascii="Book Antiqua" w:hAnsi="Book Antiqua"/>
          <w:sz w:val="23"/>
          <w:szCs w:val="23"/>
          <w:lang w:val="en-GB"/>
        </w:rPr>
      </w:pPr>
      <w:r w:rsidRPr="003E3613">
        <w:rPr>
          <w:rFonts w:ascii="Book Antiqua" w:hAnsi="Book Antiqua"/>
          <w:sz w:val="23"/>
          <w:szCs w:val="23"/>
          <w:lang w:val="en-GB"/>
        </w:rPr>
        <w:t>It should also be noted that according to the latest Eurobarometer survey on Rule of Law published in July 2019 the perceived need of improvement of the situation concerning the independence of judges in Hungary does not differ significantly from the EU average. Moreover, in 15 Member States the proportion who thinks that the independence of judges definitely needs improvement in their country is higher than in Hungary.</w:t>
      </w:r>
      <w:r w:rsidRPr="003E3613">
        <w:rPr>
          <w:rStyle w:val="FootnoteReference"/>
          <w:rFonts w:ascii="Book Antiqua" w:hAnsi="Book Antiqua"/>
          <w:sz w:val="23"/>
          <w:szCs w:val="23"/>
          <w:lang w:val="en-GB"/>
        </w:rPr>
        <w:footnoteReference w:id="14"/>
      </w:r>
    </w:p>
    <w:p w14:paraId="4D9B185B" w14:textId="77777777" w:rsidR="002F2E9B" w:rsidRPr="003E3613" w:rsidRDefault="002F2E9B" w:rsidP="00204696">
      <w:pPr>
        <w:spacing w:after="0"/>
        <w:jc w:val="both"/>
        <w:rPr>
          <w:rFonts w:ascii="Times New Roman" w:hAnsi="Times New Roman"/>
          <w:sz w:val="24"/>
          <w:szCs w:val="24"/>
          <w:lang w:val="en-GB"/>
        </w:rPr>
      </w:pPr>
    </w:p>
    <w:p w14:paraId="52024754" w14:textId="77777777" w:rsidR="006C7F76" w:rsidRPr="003E3613" w:rsidRDefault="006C7F76" w:rsidP="00204696">
      <w:pPr>
        <w:jc w:val="both"/>
        <w:rPr>
          <w:rFonts w:ascii="Book Antiqua" w:hAnsi="Book Antiqua"/>
          <w:sz w:val="23"/>
          <w:szCs w:val="23"/>
          <w:lang w:val="en-GB"/>
        </w:rPr>
      </w:pPr>
      <w:r w:rsidRPr="003E3613">
        <w:rPr>
          <w:rFonts w:ascii="Book Antiqua" w:hAnsi="Book Antiqua"/>
          <w:sz w:val="23"/>
          <w:szCs w:val="23"/>
          <w:lang w:val="en-GB"/>
        </w:rPr>
        <w:t xml:space="preserve">The independence of the Hungarian judiciary is also </w:t>
      </w:r>
      <w:r w:rsidR="0057248A" w:rsidRPr="003E3613">
        <w:rPr>
          <w:rFonts w:ascii="Book Antiqua" w:hAnsi="Book Antiqua"/>
          <w:sz w:val="23"/>
          <w:szCs w:val="23"/>
          <w:lang w:val="en-GB"/>
        </w:rPr>
        <w:t xml:space="preserve">supported </w:t>
      </w:r>
      <w:r w:rsidRPr="003E3613">
        <w:rPr>
          <w:rFonts w:ascii="Book Antiqua" w:hAnsi="Book Antiqua"/>
          <w:sz w:val="23"/>
          <w:szCs w:val="23"/>
          <w:lang w:val="en-GB"/>
        </w:rPr>
        <w:t xml:space="preserve">by the fact that Hungarian judges are willing to challenge legislation proposed or adopted by the Government by means of initiating preliminary ruling procedures before the Court of Justice of the European Union pursuant to Article 267 TFEU. With a yearly average of 20 requests for a preliminary ruling in the past 5 years Hungarian judges are arguably the most active in seeking guidance from the Court of Justice, if compared on the basis </w:t>
      </w:r>
      <w:r w:rsidR="00DE5E64" w:rsidRPr="003E3613">
        <w:rPr>
          <w:rFonts w:ascii="Book Antiqua" w:hAnsi="Book Antiqua"/>
          <w:sz w:val="23"/>
          <w:szCs w:val="23"/>
          <w:lang w:val="en-GB"/>
        </w:rPr>
        <w:t xml:space="preserve">of </w:t>
      </w:r>
      <w:r w:rsidRPr="003E3613">
        <w:rPr>
          <w:rFonts w:ascii="Book Antiqua" w:hAnsi="Book Antiqua"/>
          <w:sz w:val="23"/>
          <w:szCs w:val="23"/>
          <w:lang w:val="en-GB"/>
        </w:rPr>
        <w:t xml:space="preserve">the population and the number of courts </w:t>
      </w:r>
      <w:r w:rsidR="00DE5E64" w:rsidRPr="003E3613">
        <w:rPr>
          <w:rFonts w:ascii="Book Antiqua" w:hAnsi="Book Antiqua"/>
          <w:sz w:val="23"/>
          <w:szCs w:val="23"/>
          <w:lang w:val="en-GB"/>
        </w:rPr>
        <w:t>in</w:t>
      </w:r>
      <w:r w:rsidRPr="003E3613">
        <w:rPr>
          <w:rFonts w:ascii="Book Antiqua" w:hAnsi="Book Antiqua"/>
          <w:sz w:val="23"/>
          <w:szCs w:val="23"/>
          <w:lang w:val="en-GB"/>
        </w:rPr>
        <w:t xml:space="preserve"> the Member states.</w:t>
      </w:r>
    </w:p>
    <w:p w14:paraId="3C774D6A" w14:textId="77777777" w:rsidR="00B46565" w:rsidRPr="003E3613" w:rsidRDefault="00B46565"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Hungarian judges decide cases assigned to them not only quickly and effectively, but also at a high-standard which is partly due to their permanent (self)-training. In this regard it is worth mentioning that according to the European </w:t>
      </w:r>
      <w:r w:rsidR="00CD5296" w:rsidRPr="003E3613">
        <w:rPr>
          <w:rFonts w:ascii="Book Antiqua" w:hAnsi="Book Antiqua"/>
          <w:sz w:val="23"/>
          <w:szCs w:val="23"/>
          <w:lang w:val="en-GB"/>
        </w:rPr>
        <w:t>J</w:t>
      </w:r>
      <w:r w:rsidRPr="003E3613">
        <w:rPr>
          <w:rFonts w:ascii="Book Antiqua" w:hAnsi="Book Antiqua"/>
          <w:sz w:val="23"/>
          <w:szCs w:val="23"/>
          <w:lang w:val="en-GB"/>
        </w:rPr>
        <w:t xml:space="preserve">ustice </w:t>
      </w:r>
      <w:r w:rsidR="00CD5296" w:rsidRPr="003E3613">
        <w:rPr>
          <w:rFonts w:ascii="Book Antiqua" w:hAnsi="Book Antiqua"/>
          <w:sz w:val="23"/>
          <w:szCs w:val="23"/>
          <w:lang w:val="en-GB"/>
        </w:rPr>
        <w:t>S</w:t>
      </w:r>
      <w:r w:rsidRPr="003E3613">
        <w:rPr>
          <w:rFonts w:ascii="Book Antiqua" w:hAnsi="Book Antiqua"/>
          <w:sz w:val="23"/>
          <w:szCs w:val="23"/>
          <w:lang w:val="en-GB"/>
        </w:rPr>
        <w:t xml:space="preserve">coreboard Hungary is the second most active in participation at EU law trainings. The scoreboard also assessed customer satisfaction and citizens’ trust in Hungarian courts. </w:t>
      </w:r>
      <w:r w:rsidR="0098325E" w:rsidRPr="003E3613">
        <w:rPr>
          <w:rFonts w:ascii="Book Antiqua" w:hAnsi="Book Antiqua"/>
          <w:sz w:val="23"/>
          <w:szCs w:val="23"/>
          <w:lang w:val="en-GB"/>
        </w:rPr>
        <w:t>As regards the general public, the</w:t>
      </w:r>
      <w:r w:rsidRPr="003E3613">
        <w:rPr>
          <w:rFonts w:ascii="Book Antiqua" w:hAnsi="Book Antiqua"/>
          <w:sz w:val="23"/>
          <w:szCs w:val="23"/>
          <w:lang w:val="en-GB"/>
        </w:rPr>
        <w:t xml:space="preserve"> majority of the respondents think – contrary to opposing rumours – that Hungarian courts perform their work independently and free of influence.</w:t>
      </w:r>
    </w:p>
    <w:p w14:paraId="367305F9" w14:textId="77777777" w:rsidR="00CF06DF" w:rsidRPr="003E3613" w:rsidRDefault="00CF06DF" w:rsidP="00204696">
      <w:pPr>
        <w:pStyle w:val="Heading2"/>
        <w:keepNext w:val="0"/>
        <w:keepLines w:val="0"/>
        <w:spacing w:before="0"/>
        <w:rPr>
          <w:rFonts w:ascii="Book Antiqua" w:hAnsi="Book Antiqua"/>
          <w:color w:val="auto"/>
          <w:sz w:val="23"/>
          <w:szCs w:val="23"/>
          <w:lang w:val="en-GB"/>
        </w:rPr>
      </w:pPr>
      <w:bookmarkStart w:id="10" w:name="_Toc19120771"/>
      <w:r w:rsidRPr="003E3613">
        <w:rPr>
          <w:rFonts w:ascii="Book Antiqua" w:hAnsi="Book Antiqua"/>
          <w:color w:val="auto"/>
          <w:sz w:val="23"/>
          <w:szCs w:val="23"/>
          <w:lang w:val="en-GB"/>
        </w:rPr>
        <w:t>Competences of the president of the National Judicial Office</w:t>
      </w:r>
      <w:bookmarkEnd w:id="10"/>
    </w:p>
    <w:p w14:paraId="75B8FD3E" w14:textId="77777777" w:rsidR="00CF06DF" w:rsidRPr="003E3613" w:rsidRDefault="00CF06DF" w:rsidP="00204696">
      <w:pPr>
        <w:spacing w:after="0"/>
        <w:jc w:val="both"/>
        <w:rPr>
          <w:rFonts w:ascii="Book Antiqua" w:hAnsi="Book Antiqua"/>
          <w:i/>
          <w:sz w:val="23"/>
          <w:szCs w:val="23"/>
          <w:lang w:val="en-GB"/>
        </w:rPr>
      </w:pPr>
    </w:p>
    <w:p w14:paraId="54D820EB" w14:textId="77777777" w:rsidR="00507F12" w:rsidRPr="003E3613" w:rsidRDefault="00507F12"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C63027" w:rsidRPr="003E3613">
        <w:rPr>
          <w:rFonts w:ascii="Book Antiqua" w:hAnsi="Book Antiqua"/>
          <w:i/>
          <w:sz w:val="23"/>
          <w:szCs w:val="23"/>
          <w:lang w:val="en-GB"/>
        </w:rPr>
        <w:t>13</w:t>
      </w:r>
      <w:r w:rsidRPr="003E3613">
        <w:rPr>
          <w:rFonts w:ascii="Book Antiqua" w:hAnsi="Book Antiqua"/>
          <w:i/>
          <w:sz w:val="23"/>
          <w:szCs w:val="23"/>
          <w:lang w:val="en-GB"/>
        </w:rPr>
        <w:t>) Since 2012, Hungary has taken positive steps to transfer certain functions from the president of the NJO</w:t>
      </w:r>
      <w:r w:rsidR="00F60EC8" w:rsidRPr="003E3613">
        <w:rPr>
          <w:rFonts w:ascii="Book Antiqua" w:hAnsi="Book Antiqua"/>
          <w:i/>
          <w:sz w:val="23"/>
          <w:szCs w:val="23"/>
          <w:lang w:val="en-GB"/>
        </w:rPr>
        <w:t xml:space="preserve"> </w:t>
      </w:r>
      <w:r w:rsidRPr="003E3613">
        <w:rPr>
          <w:rFonts w:ascii="Book Antiqua" w:hAnsi="Book Antiqua"/>
          <w:i/>
          <w:sz w:val="23"/>
          <w:szCs w:val="23"/>
          <w:lang w:val="en-GB"/>
        </w:rPr>
        <w:t xml:space="preserve">to the NJC in order to create a better balance between these two organs. However, further progress is still required. GRECO, in its report adopted on 27 March 2015, called for minimising the potential risks of discretionary decisions by the president of the NJO. The president of the NJO is, inter alia, able </w:t>
      </w:r>
      <w:r w:rsidRPr="003E3613">
        <w:rPr>
          <w:rFonts w:ascii="Book Antiqua" w:hAnsi="Book Antiqua"/>
          <w:i/>
          <w:sz w:val="23"/>
          <w:szCs w:val="23"/>
          <w:lang w:val="en-GB"/>
        </w:rPr>
        <w:lastRenderedPageBreak/>
        <w:t>to transfer and assign judges, and has a role in judicial discipline. The president of the NJO also makes a recommendation to the President of Hungary to appoint and remove heads of courts, including presidents and vice-presidents of the Courts of Appeal. GRECO welcomed the recently adopted Code of Ethics for Judges, but considered that it could be made more explicit and accompanied by in-service training.</w:t>
      </w:r>
      <w:r w:rsidR="00C63027" w:rsidRPr="003E3613">
        <w:rPr>
          <w:rFonts w:ascii="Book Antiqua" w:eastAsia="Calibri" w:hAnsi="Book Antiqua"/>
          <w:sz w:val="23"/>
          <w:szCs w:val="23"/>
          <w:lang w:val="en-GB" w:eastAsia="en-US"/>
        </w:rPr>
        <w:t xml:space="preserve"> </w:t>
      </w:r>
      <w:r w:rsidR="00C63027" w:rsidRPr="003E3613">
        <w:rPr>
          <w:rFonts w:ascii="Book Antiqua" w:hAnsi="Book Antiqua"/>
          <w:i/>
          <w:sz w:val="23"/>
          <w:szCs w:val="23"/>
          <w:lang w:val="en-GB"/>
        </w:rPr>
        <w:t>GRECO also acknowledged the amendments that were made to the rules on judicial recruitment and selection procedures between 2012 and 2014 in Hungary, through which the NJC received a stronger supervisory function in the selection process. On 2 May 2018, the NJC held a session where it unanimously adopted decisions concerning the practice of the president of the NJO with regard to declaring calls for applications to judicial positions and senior positions unsuccessful. The decisions found the president’s practice unlawful.</w:t>
      </w:r>
    </w:p>
    <w:p w14:paraId="0273B8B5" w14:textId="77777777" w:rsidR="00ED44E1" w:rsidRPr="003E3613" w:rsidRDefault="00ED44E1" w:rsidP="00204696">
      <w:pPr>
        <w:spacing w:after="0"/>
        <w:jc w:val="both"/>
        <w:rPr>
          <w:rFonts w:ascii="Book Antiqua" w:hAnsi="Book Antiqua"/>
          <w:i/>
          <w:sz w:val="23"/>
          <w:szCs w:val="23"/>
          <w:lang w:val="en-GB"/>
        </w:rPr>
      </w:pPr>
    </w:p>
    <w:p w14:paraId="2C81A95C" w14:textId="77777777" w:rsidR="00ED44E1" w:rsidRPr="003E3613" w:rsidRDefault="00AD5101" w:rsidP="00204696">
      <w:pPr>
        <w:spacing w:after="0"/>
        <w:jc w:val="both"/>
        <w:rPr>
          <w:rFonts w:ascii="Book Antiqua" w:hAnsi="Book Antiqua"/>
          <w:sz w:val="23"/>
          <w:szCs w:val="23"/>
          <w:lang w:val="en-GB"/>
        </w:rPr>
      </w:pPr>
      <w:r w:rsidRPr="003E3613">
        <w:rPr>
          <w:rFonts w:ascii="Book Antiqua" w:hAnsi="Book Antiqua"/>
          <w:sz w:val="23"/>
          <w:szCs w:val="23"/>
          <w:lang w:val="en-GB"/>
        </w:rPr>
        <w:t>As recognized by th</w:t>
      </w:r>
      <w:r w:rsidR="00B038AB" w:rsidRPr="003E3613">
        <w:rPr>
          <w:rFonts w:ascii="Book Antiqua" w:hAnsi="Book Antiqua"/>
          <w:sz w:val="23"/>
          <w:szCs w:val="23"/>
          <w:lang w:val="en-GB"/>
        </w:rPr>
        <w:t xml:space="preserve">e GRECO </w:t>
      </w:r>
      <w:r w:rsidRPr="003E3613">
        <w:rPr>
          <w:rFonts w:ascii="Book Antiqua" w:hAnsi="Book Antiqua"/>
          <w:sz w:val="23"/>
          <w:szCs w:val="23"/>
          <w:lang w:val="en-GB"/>
        </w:rPr>
        <w:t>report</w:t>
      </w:r>
      <w:r w:rsidR="007556EC" w:rsidRPr="003E3613">
        <w:rPr>
          <w:rFonts w:ascii="Book Antiqua" w:hAnsi="Book Antiqua"/>
          <w:sz w:val="23"/>
          <w:szCs w:val="23"/>
          <w:lang w:val="en-GB"/>
        </w:rPr>
        <w:t xml:space="preserve"> and the Venice Commision in March 2019</w:t>
      </w:r>
      <w:r w:rsidRPr="003E3613">
        <w:rPr>
          <w:rFonts w:ascii="Book Antiqua" w:hAnsi="Book Antiqua"/>
          <w:sz w:val="23"/>
          <w:szCs w:val="23"/>
          <w:lang w:val="en-GB"/>
        </w:rPr>
        <w:t xml:space="preserve">, several steps have been taken by the Hungarian Government to balance the competences of the National Judicial Council and the president of the </w:t>
      </w:r>
      <w:r w:rsidR="007556EC" w:rsidRPr="003E3613">
        <w:rPr>
          <w:rFonts w:ascii="Book Antiqua" w:hAnsi="Book Antiqua"/>
          <w:sz w:val="23"/>
          <w:szCs w:val="23"/>
          <w:lang w:val="en-GB"/>
        </w:rPr>
        <w:t>National Office for the Judiciary</w:t>
      </w:r>
      <w:r w:rsidRPr="003E3613">
        <w:rPr>
          <w:rFonts w:ascii="Book Antiqua" w:hAnsi="Book Antiqua"/>
          <w:sz w:val="23"/>
          <w:szCs w:val="23"/>
          <w:lang w:val="en-GB"/>
        </w:rPr>
        <w:t>. I</w:t>
      </w:r>
      <w:r w:rsidR="00ED44E1" w:rsidRPr="003E3613">
        <w:rPr>
          <w:rFonts w:ascii="Book Antiqua" w:hAnsi="Book Antiqua"/>
          <w:sz w:val="23"/>
          <w:szCs w:val="23"/>
          <w:lang w:val="en-GB"/>
        </w:rPr>
        <w:t xml:space="preserve">t must </w:t>
      </w:r>
      <w:r w:rsidR="00EB5B45" w:rsidRPr="003E3613">
        <w:rPr>
          <w:rFonts w:ascii="Book Antiqua" w:hAnsi="Book Antiqua"/>
          <w:sz w:val="23"/>
          <w:szCs w:val="23"/>
          <w:lang w:val="en-GB"/>
        </w:rPr>
        <w:t xml:space="preserve">be </w:t>
      </w:r>
      <w:r w:rsidRPr="003E3613">
        <w:rPr>
          <w:rFonts w:ascii="Book Antiqua" w:hAnsi="Book Antiqua"/>
          <w:sz w:val="23"/>
          <w:szCs w:val="23"/>
          <w:lang w:val="en-GB"/>
        </w:rPr>
        <w:t xml:space="preserve">further </w:t>
      </w:r>
      <w:r w:rsidR="00ED44E1" w:rsidRPr="003E3613">
        <w:rPr>
          <w:rFonts w:ascii="Book Antiqua" w:hAnsi="Book Antiqua"/>
          <w:sz w:val="23"/>
          <w:szCs w:val="23"/>
          <w:lang w:val="en-GB"/>
        </w:rPr>
        <w:t xml:space="preserve">highlighted that the </w:t>
      </w:r>
      <w:r w:rsidRPr="003E3613">
        <w:rPr>
          <w:rFonts w:ascii="Book Antiqua" w:hAnsi="Book Antiqua"/>
          <w:sz w:val="23"/>
          <w:szCs w:val="23"/>
          <w:lang w:val="en-GB"/>
        </w:rPr>
        <w:t xml:space="preserve">referred </w:t>
      </w:r>
      <w:r w:rsidR="00ED44E1" w:rsidRPr="003E3613">
        <w:rPr>
          <w:rFonts w:ascii="Book Antiqua" w:hAnsi="Book Antiqua"/>
          <w:sz w:val="23"/>
          <w:szCs w:val="23"/>
          <w:lang w:val="en-GB"/>
        </w:rPr>
        <w:t xml:space="preserve">GRECO report </w:t>
      </w:r>
      <w:r w:rsidR="000E01A6" w:rsidRPr="003E3613">
        <w:rPr>
          <w:rFonts w:ascii="Book Antiqua" w:hAnsi="Book Antiqua"/>
          <w:sz w:val="23"/>
          <w:szCs w:val="23"/>
          <w:lang w:val="en-GB"/>
        </w:rPr>
        <w:t>particularly</w:t>
      </w:r>
      <w:r w:rsidRPr="003E3613">
        <w:rPr>
          <w:rFonts w:ascii="Book Antiqua" w:hAnsi="Book Antiqua"/>
          <w:sz w:val="23"/>
          <w:szCs w:val="23"/>
          <w:lang w:val="en-GB"/>
        </w:rPr>
        <w:t xml:space="preserve"> </w:t>
      </w:r>
      <w:r w:rsidR="00F739E0" w:rsidRPr="003E3613">
        <w:rPr>
          <w:rFonts w:ascii="Book Antiqua" w:hAnsi="Book Antiqua"/>
          <w:sz w:val="23"/>
          <w:szCs w:val="23"/>
          <w:lang w:val="en-GB"/>
        </w:rPr>
        <w:t xml:space="preserve">acknowledges </w:t>
      </w:r>
      <w:r w:rsidR="00ED44E1" w:rsidRPr="003E3613">
        <w:rPr>
          <w:rFonts w:ascii="Book Antiqua" w:hAnsi="Book Antiqua"/>
          <w:sz w:val="23"/>
          <w:szCs w:val="23"/>
          <w:lang w:val="en-GB"/>
        </w:rPr>
        <w:t xml:space="preserve">the amendments that were made concerning the rules of judicial recruitment and selection procedures between 2012 and 2014 in Hungary, through which the National Judicial Council has received a stronger supervisory function in the selection process. It should </w:t>
      </w:r>
      <w:r w:rsidR="00C90804" w:rsidRPr="003E3613">
        <w:rPr>
          <w:rFonts w:ascii="Book Antiqua" w:hAnsi="Book Antiqua"/>
          <w:sz w:val="23"/>
          <w:szCs w:val="23"/>
          <w:lang w:val="en-GB"/>
        </w:rPr>
        <w:t xml:space="preserve">therefore </w:t>
      </w:r>
      <w:r w:rsidR="00ED44E1" w:rsidRPr="003E3613">
        <w:rPr>
          <w:rFonts w:ascii="Book Antiqua" w:hAnsi="Book Antiqua"/>
          <w:sz w:val="23"/>
          <w:szCs w:val="23"/>
          <w:lang w:val="en-GB"/>
        </w:rPr>
        <w:t xml:space="preserve">be noted that the </w:t>
      </w:r>
      <w:r w:rsidRPr="003E3613">
        <w:rPr>
          <w:rFonts w:ascii="Book Antiqua" w:hAnsi="Book Antiqua"/>
          <w:sz w:val="23"/>
          <w:szCs w:val="23"/>
          <w:lang w:val="en-GB"/>
        </w:rPr>
        <w:t>National Judicial Council</w:t>
      </w:r>
      <w:r w:rsidR="00ED44E1" w:rsidRPr="003E3613">
        <w:rPr>
          <w:rFonts w:ascii="Book Antiqua" w:hAnsi="Book Antiqua"/>
          <w:sz w:val="23"/>
          <w:szCs w:val="23"/>
          <w:lang w:val="en-GB"/>
        </w:rPr>
        <w:t xml:space="preserve"> already has a decisive mandate in the appoint</w:t>
      </w:r>
      <w:r w:rsidR="00F739E0" w:rsidRPr="003E3613">
        <w:rPr>
          <w:rFonts w:ascii="Book Antiqua" w:hAnsi="Book Antiqua"/>
          <w:sz w:val="23"/>
          <w:szCs w:val="23"/>
          <w:lang w:val="en-GB"/>
        </w:rPr>
        <w:t>ment</w:t>
      </w:r>
      <w:r w:rsidR="00ED44E1" w:rsidRPr="003E3613">
        <w:rPr>
          <w:rFonts w:ascii="Book Antiqua" w:hAnsi="Book Antiqua"/>
          <w:sz w:val="23"/>
          <w:szCs w:val="23"/>
          <w:lang w:val="en-GB"/>
        </w:rPr>
        <w:t xml:space="preserve"> and promoti</w:t>
      </w:r>
      <w:r w:rsidR="00F739E0" w:rsidRPr="003E3613">
        <w:rPr>
          <w:rFonts w:ascii="Book Antiqua" w:hAnsi="Book Antiqua"/>
          <w:sz w:val="23"/>
          <w:szCs w:val="23"/>
          <w:lang w:val="en-GB"/>
        </w:rPr>
        <w:t>on</w:t>
      </w:r>
      <w:r w:rsidR="00ED44E1" w:rsidRPr="003E3613">
        <w:rPr>
          <w:rFonts w:ascii="Book Antiqua" w:hAnsi="Book Antiqua"/>
          <w:sz w:val="23"/>
          <w:szCs w:val="23"/>
          <w:lang w:val="en-GB"/>
        </w:rPr>
        <w:t xml:space="preserve"> procedure of judges and it is not the president of the National </w:t>
      </w:r>
      <w:r w:rsidR="007556EC" w:rsidRPr="003E3613">
        <w:rPr>
          <w:rFonts w:ascii="Book Antiqua" w:hAnsi="Book Antiqua"/>
          <w:sz w:val="23"/>
          <w:szCs w:val="23"/>
          <w:lang w:val="en-GB"/>
        </w:rPr>
        <w:t xml:space="preserve">Office for the Judiciary </w:t>
      </w:r>
      <w:r w:rsidR="00ED44E1" w:rsidRPr="003E3613">
        <w:rPr>
          <w:rFonts w:ascii="Book Antiqua" w:hAnsi="Book Antiqua"/>
          <w:sz w:val="23"/>
          <w:szCs w:val="23"/>
          <w:lang w:val="en-GB"/>
        </w:rPr>
        <w:t>who has the most important role in the process.</w:t>
      </w:r>
    </w:p>
    <w:p w14:paraId="054AEB58" w14:textId="77777777" w:rsidR="00C90804" w:rsidRPr="003E3613" w:rsidRDefault="00C90804" w:rsidP="00204696">
      <w:pPr>
        <w:spacing w:after="0"/>
        <w:jc w:val="both"/>
        <w:rPr>
          <w:rFonts w:ascii="Book Antiqua" w:hAnsi="Book Antiqua"/>
          <w:sz w:val="23"/>
          <w:szCs w:val="23"/>
          <w:lang w:val="en-GB"/>
        </w:rPr>
      </w:pPr>
    </w:p>
    <w:p w14:paraId="26334CF0" w14:textId="77777777" w:rsidR="00E75CF6" w:rsidRPr="003E3613" w:rsidRDefault="00ED44E1"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assessment of applications to a judicial position is a complex procedure with many stakeholders. The rules of the process guarantee that whenever a candidate is appointed or promoted, elected bodies of judges have a decisive role. It is either a local judicial council determining the ranking of applicants or the National Judicial Council giving prior consent </w:t>
      </w:r>
      <w:r w:rsidR="00F739E0" w:rsidRPr="003E3613">
        <w:rPr>
          <w:rFonts w:ascii="Book Antiqua" w:hAnsi="Book Antiqua"/>
          <w:sz w:val="23"/>
          <w:szCs w:val="23"/>
          <w:lang w:val="en-GB"/>
        </w:rPr>
        <w:t xml:space="preserve">to </w:t>
      </w:r>
      <w:r w:rsidRPr="003E3613">
        <w:rPr>
          <w:rFonts w:ascii="Book Antiqua" w:hAnsi="Book Antiqua"/>
          <w:sz w:val="23"/>
          <w:szCs w:val="23"/>
          <w:lang w:val="en-GB"/>
        </w:rPr>
        <w:t xml:space="preserve">the appointment of the second or third ranked candidate. </w:t>
      </w:r>
      <w:r w:rsidR="00E75CF6" w:rsidRPr="003E3613">
        <w:rPr>
          <w:rFonts w:ascii="Book Antiqua" w:hAnsi="Book Antiqua"/>
          <w:sz w:val="23"/>
          <w:szCs w:val="23"/>
          <w:lang w:val="en-GB"/>
        </w:rPr>
        <w:t xml:space="preserve">In most Member States, such judicial self-governing bodies, consisting of local judges, are unknown. </w:t>
      </w:r>
      <w:r w:rsidR="001E5BDC" w:rsidRPr="003E3613">
        <w:rPr>
          <w:rFonts w:ascii="Book Antiqua" w:hAnsi="Book Antiqua"/>
          <w:sz w:val="23"/>
          <w:szCs w:val="23"/>
          <w:lang w:val="en-GB"/>
        </w:rPr>
        <w:t>T</w:t>
      </w:r>
      <w:r w:rsidRPr="003E3613">
        <w:rPr>
          <w:rFonts w:ascii="Book Antiqua" w:hAnsi="Book Antiqua"/>
          <w:sz w:val="23"/>
          <w:szCs w:val="23"/>
          <w:lang w:val="en-GB"/>
        </w:rPr>
        <w:t xml:space="preserve">he National Judicial Council regularly uses its ‘right to veto’ in practice. Therefore, the rules provide that the best suitable candidate wins the vacant position, as a result of the selection procedure. </w:t>
      </w:r>
    </w:p>
    <w:p w14:paraId="191B4EFC" w14:textId="77777777" w:rsidR="00E75CF6" w:rsidRPr="003E3613" w:rsidRDefault="00E75CF6" w:rsidP="00204696">
      <w:pPr>
        <w:spacing w:after="0"/>
        <w:jc w:val="both"/>
        <w:rPr>
          <w:rFonts w:ascii="Book Antiqua" w:hAnsi="Book Antiqua"/>
          <w:sz w:val="23"/>
          <w:szCs w:val="23"/>
          <w:lang w:val="en-GB"/>
        </w:rPr>
      </w:pPr>
    </w:p>
    <w:p w14:paraId="47B1CB13" w14:textId="77777777" w:rsidR="00F739E0" w:rsidRPr="003E3613" w:rsidRDefault="00E75CF6" w:rsidP="00204696">
      <w:pPr>
        <w:spacing w:after="0"/>
        <w:jc w:val="both"/>
        <w:rPr>
          <w:rFonts w:ascii="Book Antiqua" w:hAnsi="Book Antiqua"/>
          <w:sz w:val="23"/>
          <w:szCs w:val="23"/>
          <w:lang w:val="en-GB"/>
        </w:rPr>
      </w:pPr>
      <w:r w:rsidRPr="003E3613">
        <w:rPr>
          <w:rFonts w:ascii="Book Antiqua" w:hAnsi="Book Antiqua"/>
          <w:sz w:val="23"/>
          <w:szCs w:val="23"/>
          <w:lang w:val="en-GB"/>
        </w:rPr>
        <w:t>The statement concerning the</w:t>
      </w:r>
      <w:r w:rsidR="00531B97" w:rsidRPr="003E3613">
        <w:rPr>
          <w:rFonts w:ascii="Book Antiqua" w:hAnsi="Book Antiqua"/>
          <w:sz w:val="23"/>
          <w:szCs w:val="23"/>
          <w:lang w:val="en-GB"/>
        </w:rPr>
        <w:t xml:space="preserve"> </w:t>
      </w:r>
      <w:r w:rsidRPr="003E3613">
        <w:rPr>
          <w:rFonts w:ascii="Book Antiqua" w:hAnsi="Book Antiqua"/>
          <w:sz w:val="23"/>
          <w:szCs w:val="23"/>
          <w:lang w:val="en-GB"/>
        </w:rPr>
        <w:t xml:space="preserve">”unsuccessful” applications without judicial review is false. </w:t>
      </w:r>
      <w:r w:rsidR="00AF302D" w:rsidRPr="003E3613">
        <w:rPr>
          <w:rFonts w:ascii="Book Antiqua" w:hAnsi="Book Antiqua"/>
          <w:sz w:val="23"/>
          <w:szCs w:val="23"/>
          <w:lang w:val="en-GB"/>
        </w:rPr>
        <w:t>I</w:t>
      </w:r>
      <w:r w:rsidR="00F739E0" w:rsidRPr="003E3613">
        <w:rPr>
          <w:rFonts w:ascii="Book Antiqua" w:hAnsi="Book Antiqua"/>
          <w:sz w:val="23"/>
          <w:szCs w:val="23"/>
          <w:lang w:val="en-GB"/>
        </w:rPr>
        <w:t xml:space="preserve">t is </w:t>
      </w:r>
      <w:r w:rsidR="00AF302D" w:rsidRPr="003E3613">
        <w:rPr>
          <w:rFonts w:ascii="Book Antiqua" w:hAnsi="Book Antiqua"/>
          <w:sz w:val="23"/>
          <w:szCs w:val="23"/>
          <w:lang w:val="en-GB"/>
        </w:rPr>
        <w:t xml:space="preserve">also </w:t>
      </w:r>
      <w:r w:rsidR="00F739E0" w:rsidRPr="003E3613">
        <w:rPr>
          <w:rFonts w:ascii="Book Antiqua" w:hAnsi="Book Antiqua"/>
          <w:sz w:val="23"/>
          <w:szCs w:val="23"/>
          <w:lang w:val="en-GB"/>
        </w:rPr>
        <w:t xml:space="preserve">worth mentioning, that an unsuccessful applicant can </w:t>
      </w:r>
      <w:r w:rsidR="003963DD" w:rsidRPr="003E3613">
        <w:rPr>
          <w:rFonts w:ascii="Book Antiqua" w:hAnsi="Book Antiqua"/>
          <w:sz w:val="23"/>
          <w:szCs w:val="23"/>
          <w:lang w:val="en-GB"/>
        </w:rPr>
        <w:t xml:space="preserve">challenge </w:t>
      </w:r>
      <w:r w:rsidR="00F739E0" w:rsidRPr="003E3613">
        <w:rPr>
          <w:rFonts w:ascii="Book Antiqua" w:hAnsi="Book Antiqua"/>
          <w:sz w:val="23"/>
          <w:szCs w:val="23"/>
          <w:lang w:val="en-GB"/>
        </w:rPr>
        <w:t xml:space="preserve">the outcome of the selection process within a preclusive period of </w:t>
      </w:r>
      <w:r w:rsidR="00AF302D" w:rsidRPr="003E3613">
        <w:rPr>
          <w:rFonts w:ascii="Book Antiqua" w:hAnsi="Book Antiqua"/>
          <w:sz w:val="23"/>
          <w:szCs w:val="23"/>
          <w:lang w:val="en-GB"/>
        </w:rPr>
        <w:t xml:space="preserve">15 </w:t>
      </w:r>
      <w:r w:rsidR="00F739E0" w:rsidRPr="003E3613">
        <w:rPr>
          <w:rFonts w:ascii="Book Antiqua" w:hAnsi="Book Antiqua"/>
          <w:sz w:val="23"/>
          <w:szCs w:val="23"/>
          <w:lang w:val="en-GB"/>
        </w:rPr>
        <w:t xml:space="preserve">days from the time of publication in the Magyar Közlöny </w:t>
      </w:r>
      <w:r w:rsidR="00AF302D" w:rsidRPr="003E3613">
        <w:rPr>
          <w:rFonts w:ascii="Book Antiqua" w:hAnsi="Book Antiqua"/>
          <w:sz w:val="23"/>
          <w:szCs w:val="23"/>
          <w:lang w:val="en-GB"/>
        </w:rPr>
        <w:t xml:space="preserve">(Hungarian Official Journal) </w:t>
      </w:r>
      <w:r w:rsidR="00F739E0" w:rsidRPr="003E3613">
        <w:rPr>
          <w:rFonts w:ascii="Book Antiqua" w:hAnsi="Book Antiqua"/>
          <w:sz w:val="23"/>
          <w:szCs w:val="23"/>
          <w:lang w:val="en-GB"/>
        </w:rPr>
        <w:t>of the decision</w:t>
      </w:r>
      <w:r w:rsidR="003963DD" w:rsidRPr="003E3613">
        <w:rPr>
          <w:rFonts w:ascii="Book Antiqua" w:hAnsi="Book Antiqua"/>
          <w:sz w:val="23"/>
          <w:szCs w:val="23"/>
          <w:lang w:val="en-GB"/>
        </w:rPr>
        <w:t xml:space="preserve"> on the appointment of the successful applicant</w:t>
      </w:r>
      <w:r w:rsidR="00F739E0" w:rsidRPr="003E3613">
        <w:rPr>
          <w:rFonts w:ascii="Book Antiqua" w:hAnsi="Book Antiqua"/>
          <w:sz w:val="23"/>
          <w:szCs w:val="23"/>
          <w:lang w:val="en-GB"/>
        </w:rPr>
        <w:t xml:space="preserve">. The complaint shall be submitted in writing to the president of the court affected, and the president shall forward it to the President of </w:t>
      </w:r>
      <w:r w:rsidR="00AF302D" w:rsidRPr="003E3613">
        <w:rPr>
          <w:rFonts w:ascii="Book Antiqua" w:hAnsi="Book Antiqua"/>
          <w:sz w:val="23"/>
          <w:szCs w:val="23"/>
          <w:lang w:val="en-GB"/>
        </w:rPr>
        <w:t xml:space="preserve">the </w:t>
      </w:r>
      <w:r w:rsidR="00A12793" w:rsidRPr="003E3613">
        <w:rPr>
          <w:rFonts w:ascii="Book Antiqua" w:hAnsi="Book Antiqua"/>
          <w:sz w:val="23"/>
          <w:szCs w:val="23"/>
          <w:lang w:val="en-GB"/>
        </w:rPr>
        <w:t>NOJ</w:t>
      </w:r>
      <w:r w:rsidR="00F739E0" w:rsidRPr="003E3613">
        <w:rPr>
          <w:rFonts w:ascii="Book Antiqua" w:hAnsi="Book Antiqua"/>
          <w:sz w:val="23"/>
          <w:szCs w:val="23"/>
          <w:lang w:val="en-GB"/>
        </w:rPr>
        <w:t xml:space="preserve"> within five working days, </w:t>
      </w:r>
      <w:r w:rsidR="00AF302D" w:rsidRPr="003E3613">
        <w:rPr>
          <w:rFonts w:ascii="Book Antiqua" w:hAnsi="Book Antiqua"/>
          <w:sz w:val="23"/>
          <w:szCs w:val="23"/>
          <w:lang w:val="en-GB"/>
        </w:rPr>
        <w:t xml:space="preserve">unless </w:t>
      </w:r>
      <w:r w:rsidR="00F739E0" w:rsidRPr="003E3613">
        <w:rPr>
          <w:rFonts w:ascii="Book Antiqua" w:hAnsi="Book Antiqua"/>
          <w:sz w:val="23"/>
          <w:szCs w:val="23"/>
          <w:lang w:val="en-GB"/>
        </w:rPr>
        <w:t xml:space="preserve">the notice of vacancy was published for a post at the Kúria. The President of </w:t>
      </w:r>
      <w:r w:rsidR="00AF302D" w:rsidRPr="003E3613">
        <w:rPr>
          <w:rFonts w:ascii="Book Antiqua" w:hAnsi="Book Antiqua"/>
          <w:sz w:val="23"/>
          <w:szCs w:val="23"/>
          <w:lang w:val="en-GB"/>
        </w:rPr>
        <w:t xml:space="preserve">the </w:t>
      </w:r>
      <w:r w:rsidR="00A12793" w:rsidRPr="003E3613">
        <w:rPr>
          <w:rFonts w:ascii="Book Antiqua" w:hAnsi="Book Antiqua"/>
          <w:sz w:val="23"/>
          <w:szCs w:val="23"/>
          <w:lang w:val="en-GB"/>
        </w:rPr>
        <w:t>NOJ</w:t>
      </w:r>
      <w:r w:rsidR="00F739E0" w:rsidRPr="003E3613">
        <w:rPr>
          <w:rFonts w:ascii="Book Antiqua" w:hAnsi="Book Antiqua"/>
          <w:sz w:val="23"/>
          <w:szCs w:val="23"/>
          <w:lang w:val="en-GB"/>
        </w:rPr>
        <w:t xml:space="preserve">, or the President of the Kúria where applicable, shall be indicated as the requested party. The President of </w:t>
      </w:r>
      <w:r w:rsidR="00AF302D" w:rsidRPr="003E3613">
        <w:rPr>
          <w:rFonts w:ascii="Book Antiqua" w:hAnsi="Book Antiqua"/>
          <w:sz w:val="23"/>
          <w:szCs w:val="23"/>
          <w:lang w:val="en-GB"/>
        </w:rPr>
        <w:t xml:space="preserve">the </w:t>
      </w:r>
      <w:r w:rsidR="00A12793" w:rsidRPr="003E3613">
        <w:rPr>
          <w:rFonts w:ascii="Book Antiqua" w:hAnsi="Book Antiqua"/>
          <w:sz w:val="23"/>
          <w:szCs w:val="23"/>
          <w:lang w:val="en-GB"/>
        </w:rPr>
        <w:t>NOJ</w:t>
      </w:r>
      <w:r w:rsidR="00F739E0" w:rsidRPr="003E3613">
        <w:rPr>
          <w:rFonts w:ascii="Book Antiqua" w:hAnsi="Book Antiqua"/>
          <w:sz w:val="23"/>
          <w:szCs w:val="23"/>
          <w:lang w:val="en-GB"/>
        </w:rPr>
        <w:t xml:space="preserve">, or the President of the Kúria shall forward the complaint within five working days to the </w:t>
      </w:r>
      <w:r w:rsidR="00AF302D" w:rsidRPr="003E3613">
        <w:rPr>
          <w:rFonts w:ascii="Book Antiqua" w:hAnsi="Book Antiqua"/>
          <w:sz w:val="23"/>
          <w:szCs w:val="23"/>
          <w:lang w:val="en-GB"/>
        </w:rPr>
        <w:t xml:space="preserve">competent </w:t>
      </w:r>
      <w:r w:rsidR="00F739E0" w:rsidRPr="003E3613">
        <w:rPr>
          <w:rFonts w:ascii="Book Antiqua" w:hAnsi="Book Antiqua"/>
          <w:sz w:val="23"/>
          <w:szCs w:val="23"/>
          <w:lang w:val="en-GB"/>
        </w:rPr>
        <w:t xml:space="preserve">Fővárosi Törvényszék (Budapest Metropolitan Court). </w:t>
      </w:r>
      <w:r w:rsidR="00AF302D" w:rsidRPr="003E3613">
        <w:rPr>
          <w:rFonts w:ascii="Book Antiqua" w:hAnsi="Book Antiqua"/>
          <w:sz w:val="23"/>
          <w:szCs w:val="23"/>
          <w:lang w:val="en-GB"/>
        </w:rPr>
        <w:t>T</w:t>
      </w:r>
      <w:r w:rsidR="00F739E0" w:rsidRPr="003E3613">
        <w:rPr>
          <w:rFonts w:ascii="Book Antiqua" w:hAnsi="Book Antiqua"/>
          <w:sz w:val="23"/>
          <w:szCs w:val="23"/>
          <w:lang w:val="en-GB"/>
        </w:rPr>
        <w:t>he remedy against the decision is being de</w:t>
      </w:r>
      <w:r w:rsidR="006C6F5D" w:rsidRPr="003E3613">
        <w:rPr>
          <w:rFonts w:ascii="Book Antiqua" w:hAnsi="Book Antiqua"/>
          <w:sz w:val="23"/>
          <w:szCs w:val="23"/>
          <w:lang w:val="en-GB"/>
        </w:rPr>
        <w:t>a</w:t>
      </w:r>
      <w:r w:rsidR="00F739E0" w:rsidRPr="003E3613">
        <w:rPr>
          <w:rFonts w:ascii="Book Antiqua" w:hAnsi="Book Antiqua"/>
          <w:sz w:val="23"/>
          <w:szCs w:val="23"/>
          <w:lang w:val="en-GB"/>
        </w:rPr>
        <w:t xml:space="preserve">lt </w:t>
      </w:r>
      <w:r w:rsidR="006C6F5D" w:rsidRPr="003E3613">
        <w:rPr>
          <w:rFonts w:ascii="Book Antiqua" w:hAnsi="Book Antiqua"/>
          <w:sz w:val="23"/>
          <w:szCs w:val="23"/>
          <w:lang w:val="en-GB"/>
        </w:rPr>
        <w:t>with</w:t>
      </w:r>
      <w:r w:rsidR="00F739E0" w:rsidRPr="003E3613">
        <w:rPr>
          <w:rFonts w:ascii="Book Antiqua" w:hAnsi="Book Antiqua"/>
          <w:sz w:val="23"/>
          <w:szCs w:val="23"/>
          <w:lang w:val="en-GB"/>
        </w:rPr>
        <w:t xml:space="preserve"> in a specific </w:t>
      </w:r>
      <w:r w:rsidR="00522CE5" w:rsidRPr="003E3613">
        <w:rPr>
          <w:rFonts w:ascii="Book Antiqua" w:hAnsi="Book Antiqua"/>
          <w:sz w:val="23"/>
          <w:szCs w:val="23"/>
          <w:lang w:val="en-GB"/>
        </w:rPr>
        <w:t>procedure</w:t>
      </w:r>
      <w:r w:rsidR="00F739E0" w:rsidRPr="003E3613">
        <w:rPr>
          <w:rFonts w:ascii="Book Antiqua" w:hAnsi="Book Antiqua"/>
          <w:sz w:val="23"/>
          <w:szCs w:val="23"/>
          <w:lang w:val="en-GB"/>
        </w:rPr>
        <w:t xml:space="preserve"> within the judicial system and can therefore be deemed independent from any other authority. </w:t>
      </w:r>
      <w:r w:rsidR="00ED44E1" w:rsidRPr="003E3613">
        <w:rPr>
          <w:rFonts w:ascii="Book Antiqua" w:hAnsi="Book Antiqua"/>
          <w:sz w:val="23"/>
          <w:szCs w:val="23"/>
          <w:lang w:val="en-GB"/>
        </w:rPr>
        <w:t xml:space="preserve">It should also be </w:t>
      </w:r>
      <w:r w:rsidR="00ED44E1" w:rsidRPr="003E3613">
        <w:rPr>
          <w:rFonts w:ascii="Book Antiqua" w:hAnsi="Book Antiqua"/>
          <w:sz w:val="23"/>
          <w:szCs w:val="23"/>
          <w:lang w:val="en-GB"/>
        </w:rPr>
        <w:lastRenderedPageBreak/>
        <w:t>noted that</w:t>
      </w:r>
      <w:r w:rsidR="00C90804" w:rsidRPr="003E3613">
        <w:rPr>
          <w:rFonts w:ascii="Book Antiqua" w:hAnsi="Book Antiqua"/>
          <w:sz w:val="23"/>
          <w:szCs w:val="23"/>
          <w:lang w:val="en-GB"/>
        </w:rPr>
        <w:t>,</w:t>
      </w:r>
      <w:r w:rsidR="00ED44E1" w:rsidRPr="003E3613">
        <w:rPr>
          <w:rFonts w:ascii="Book Antiqua" w:hAnsi="Book Antiqua"/>
          <w:sz w:val="23"/>
          <w:szCs w:val="23"/>
          <w:lang w:val="en-GB"/>
        </w:rPr>
        <w:t xml:space="preserve"> according to the Act CLXII of 2011 on the Legal Status and Remuneration of Judges, the selection procedure may be considered unsuccessful only on the basis of the objective criteria precisely set out in th</w:t>
      </w:r>
      <w:r w:rsidR="00065234" w:rsidRPr="003E3613">
        <w:rPr>
          <w:rFonts w:ascii="Book Antiqua" w:hAnsi="Book Antiqua"/>
          <w:sz w:val="23"/>
          <w:szCs w:val="23"/>
          <w:lang w:val="en-GB"/>
        </w:rPr>
        <w:t>at</w:t>
      </w:r>
      <w:r w:rsidR="00ED44E1" w:rsidRPr="003E3613">
        <w:rPr>
          <w:rFonts w:ascii="Book Antiqua" w:hAnsi="Book Antiqua"/>
          <w:sz w:val="23"/>
          <w:szCs w:val="23"/>
          <w:lang w:val="en-GB"/>
        </w:rPr>
        <w:t xml:space="preserve"> </w:t>
      </w:r>
      <w:r w:rsidR="00065234" w:rsidRPr="003E3613">
        <w:rPr>
          <w:rFonts w:ascii="Book Antiqua" w:hAnsi="Book Antiqua"/>
          <w:sz w:val="23"/>
          <w:szCs w:val="23"/>
          <w:lang w:val="en-GB"/>
        </w:rPr>
        <w:t>a</w:t>
      </w:r>
      <w:r w:rsidR="00ED44E1" w:rsidRPr="003E3613">
        <w:rPr>
          <w:rFonts w:ascii="Book Antiqua" w:hAnsi="Book Antiqua"/>
          <w:sz w:val="23"/>
          <w:szCs w:val="23"/>
          <w:lang w:val="en-GB"/>
        </w:rPr>
        <w:t>ct which do not depend on any discretionary decision.</w:t>
      </w:r>
      <w:r w:rsidR="00F739E0" w:rsidRPr="003E3613">
        <w:rPr>
          <w:rFonts w:ascii="Book Antiqua" w:hAnsi="Book Antiqua"/>
          <w:sz w:val="23"/>
          <w:szCs w:val="23"/>
          <w:lang w:val="en-GB"/>
        </w:rPr>
        <w:t xml:space="preserve"> For example if no application is received or the president judge refused all applications because they </w:t>
      </w:r>
      <w:r w:rsidR="006C6F5D" w:rsidRPr="003E3613">
        <w:rPr>
          <w:rFonts w:ascii="Book Antiqua" w:hAnsi="Book Antiqua"/>
          <w:sz w:val="23"/>
          <w:szCs w:val="23"/>
          <w:lang w:val="en-GB"/>
        </w:rPr>
        <w:t>we</w:t>
      </w:r>
      <w:r w:rsidR="00F739E0" w:rsidRPr="003E3613">
        <w:rPr>
          <w:rFonts w:ascii="Book Antiqua" w:hAnsi="Book Antiqua"/>
          <w:sz w:val="23"/>
          <w:szCs w:val="23"/>
          <w:lang w:val="en-GB"/>
        </w:rPr>
        <w:t>re submitted la</w:t>
      </w:r>
      <w:r w:rsidR="006C6F5D" w:rsidRPr="003E3613">
        <w:rPr>
          <w:rFonts w:ascii="Book Antiqua" w:hAnsi="Book Antiqua"/>
          <w:sz w:val="23"/>
          <w:szCs w:val="23"/>
          <w:lang w:val="en-GB"/>
        </w:rPr>
        <w:t>te</w:t>
      </w:r>
      <w:r w:rsidR="00F739E0" w:rsidRPr="003E3613">
        <w:rPr>
          <w:rFonts w:ascii="Book Antiqua" w:hAnsi="Book Antiqua"/>
          <w:sz w:val="23"/>
          <w:szCs w:val="23"/>
          <w:lang w:val="en-GB"/>
        </w:rPr>
        <w:t>, or the applicant did not remed</w:t>
      </w:r>
      <w:r w:rsidR="006C6F5D" w:rsidRPr="003E3613">
        <w:rPr>
          <w:rFonts w:ascii="Book Antiqua" w:hAnsi="Book Antiqua"/>
          <w:sz w:val="23"/>
          <w:szCs w:val="23"/>
          <w:lang w:val="en-GB"/>
        </w:rPr>
        <w:t>y</w:t>
      </w:r>
      <w:r w:rsidR="00F739E0" w:rsidRPr="003E3613">
        <w:rPr>
          <w:rFonts w:ascii="Book Antiqua" w:hAnsi="Book Antiqua"/>
          <w:sz w:val="23"/>
          <w:szCs w:val="23"/>
          <w:lang w:val="en-GB"/>
        </w:rPr>
        <w:t xml:space="preserve"> the discrepancies indicated within the given short time limit. Both of the instruments cited above ensure the impartial </w:t>
      </w:r>
      <w:r w:rsidR="00522CE5" w:rsidRPr="003E3613">
        <w:rPr>
          <w:rFonts w:ascii="Book Antiqua" w:hAnsi="Book Antiqua"/>
          <w:sz w:val="23"/>
          <w:szCs w:val="23"/>
          <w:lang w:val="en-GB"/>
        </w:rPr>
        <w:t>assessment</w:t>
      </w:r>
      <w:r w:rsidR="00F739E0" w:rsidRPr="003E3613">
        <w:rPr>
          <w:rFonts w:ascii="Book Antiqua" w:hAnsi="Book Antiqua"/>
          <w:sz w:val="23"/>
          <w:szCs w:val="23"/>
          <w:lang w:val="en-GB"/>
        </w:rPr>
        <w:t xml:space="preserve"> of </w:t>
      </w:r>
      <w:r w:rsidR="00711E9D" w:rsidRPr="003E3613">
        <w:rPr>
          <w:rFonts w:ascii="Book Antiqua" w:hAnsi="Book Antiqua"/>
          <w:sz w:val="23"/>
          <w:szCs w:val="23"/>
          <w:lang w:val="en-GB"/>
        </w:rPr>
        <w:t xml:space="preserve">the </w:t>
      </w:r>
      <w:r w:rsidR="00F739E0" w:rsidRPr="003E3613">
        <w:rPr>
          <w:rFonts w:ascii="Book Antiqua" w:hAnsi="Book Antiqua"/>
          <w:sz w:val="23"/>
          <w:szCs w:val="23"/>
          <w:lang w:val="en-GB"/>
        </w:rPr>
        <w:t xml:space="preserve">candidates and </w:t>
      </w:r>
      <w:r w:rsidR="00711E9D" w:rsidRPr="003E3613">
        <w:rPr>
          <w:rFonts w:ascii="Book Antiqua" w:hAnsi="Book Antiqua"/>
          <w:sz w:val="23"/>
          <w:szCs w:val="23"/>
          <w:lang w:val="en-GB"/>
        </w:rPr>
        <w:t xml:space="preserve">guarantee </w:t>
      </w:r>
      <w:r w:rsidR="00F739E0" w:rsidRPr="003E3613">
        <w:rPr>
          <w:rFonts w:ascii="Book Antiqua" w:hAnsi="Book Antiqua"/>
          <w:sz w:val="23"/>
          <w:szCs w:val="23"/>
          <w:lang w:val="en-GB"/>
        </w:rPr>
        <w:t xml:space="preserve">that the rules of the application process fulfil the </w:t>
      </w:r>
      <w:r w:rsidR="00522CE5" w:rsidRPr="003E3613">
        <w:rPr>
          <w:rFonts w:ascii="Book Antiqua" w:hAnsi="Book Antiqua"/>
          <w:sz w:val="23"/>
          <w:szCs w:val="23"/>
          <w:lang w:val="en-GB"/>
        </w:rPr>
        <w:t>recommendations</w:t>
      </w:r>
      <w:r w:rsidR="00F739E0" w:rsidRPr="003E3613">
        <w:rPr>
          <w:rFonts w:ascii="Book Antiqua" w:hAnsi="Book Antiqua"/>
          <w:sz w:val="23"/>
          <w:szCs w:val="23"/>
          <w:lang w:val="en-GB"/>
        </w:rPr>
        <w:t xml:space="preserve"> set in the </w:t>
      </w:r>
      <w:r w:rsidR="00522CE5" w:rsidRPr="003E3613">
        <w:rPr>
          <w:rFonts w:ascii="Book Antiqua" w:hAnsi="Book Antiqua"/>
          <w:sz w:val="23"/>
          <w:szCs w:val="23"/>
          <w:lang w:val="en-GB"/>
        </w:rPr>
        <w:t>Decision</w:t>
      </w:r>
      <w:r w:rsidR="00F739E0" w:rsidRPr="003E3613">
        <w:rPr>
          <w:rFonts w:ascii="Book Antiqua" w:hAnsi="Book Antiqua"/>
          <w:sz w:val="23"/>
          <w:szCs w:val="23"/>
          <w:lang w:val="en-GB"/>
        </w:rPr>
        <w:t xml:space="preserve"> </w:t>
      </w:r>
      <w:r w:rsidR="008B4AEF" w:rsidRPr="003E3613">
        <w:rPr>
          <w:rFonts w:ascii="Book Antiqua" w:hAnsi="Book Antiqua"/>
          <w:sz w:val="23"/>
          <w:szCs w:val="23"/>
          <w:lang w:val="en-GB"/>
        </w:rPr>
        <w:t xml:space="preserve">No. </w:t>
      </w:r>
      <w:r w:rsidR="00F739E0" w:rsidRPr="003E3613">
        <w:rPr>
          <w:rFonts w:ascii="Book Antiqua" w:hAnsi="Book Antiqua"/>
          <w:sz w:val="23"/>
          <w:szCs w:val="23"/>
          <w:lang w:val="en-GB"/>
        </w:rPr>
        <w:t>13/2013 (VI. 17.) of the Constitutional Court and by the Venice Commission.</w:t>
      </w:r>
      <w:r w:rsidR="00554D9C" w:rsidRPr="003E3613">
        <w:rPr>
          <w:rFonts w:ascii="Book Antiqua" w:hAnsi="Book Antiqua"/>
          <w:sz w:val="23"/>
          <w:szCs w:val="23"/>
          <w:lang w:val="en-GB"/>
        </w:rPr>
        <w:t xml:space="preserve"> </w:t>
      </w:r>
    </w:p>
    <w:p w14:paraId="0AC87438" w14:textId="77777777" w:rsidR="00DB46B8" w:rsidRPr="003E3613" w:rsidRDefault="00DB46B8" w:rsidP="00204696">
      <w:pPr>
        <w:spacing w:after="0"/>
        <w:jc w:val="both"/>
        <w:rPr>
          <w:rFonts w:ascii="Book Antiqua" w:hAnsi="Book Antiqua"/>
          <w:sz w:val="23"/>
          <w:szCs w:val="23"/>
          <w:lang w:val="en-GB"/>
        </w:rPr>
      </w:pPr>
    </w:p>
    <w:p w14:paraId="471F336D" w14:textId="77777777" w:rsidR="00DB46B8" w:rsidRPr="003E3613" w:rsidRDefault="00DB46B8" w:rsidP="00204696">
      <w:pPr>
        <w:pStyle w:val="Heading2"/>
        <w:keepNext w:val="0"/>
        <w:keepLines w:val="0"/>
        <w:spacing w:before="0"/>
        <w:rPr>
          <w:rFonts w:ascii="Book Antiqua" w:hAnsi="Book Antiqua"/>
          <w:sz w:val="23"/>
          <w:szCs w:val="23"/>
          <w:lang w:val="en-GB"/>
        </w:rPr>
      </w:pPr>
      <w:bookmarkStart w:id="11" w:name="_Toc19120772"/>
      <w:r w:rsidRPr="003E3613">
        <w:rPr>
          <w:rFonts w:ascii="Book Antiqua" w:hAnsi="Book Antiqua"/>
          <w:color w:val="auto"/>
          <w:sz w:val="23"/>
          <w:szCs w:val="23"/>
          <w:lang w:val="en-GB"/>
        </w:rPr>
        <w:t>New system of administrative courts</w:t>
      </w:r>
      <w:bookmarkEnd w:id="11"/>
    </w:p>
    <w:p w14:paraId="1304C773" w14:textId="77777777" w:rsidR="00C63027" w:rsidRPr="003E3613" w:rsidRDefault="00C63027" w:rsidP="00204696">
      <w:pPr>
        <w:spacing w:after="0"/>
        <w:jc w:val="both"/>
        <w:rPr>
          <w:rFonts w:ascii="Book Antiqua" w:hAnsi="Book Antiqua"/>
          <w:sz w:val="23"/>
          <w:szCs w:val="23"/>
          <w:lang w:val="en-GB"/>
        </w:rPr>
      </w:pPr>
    </w:p>
    <w:p w14:paraId="39643B01" w14:textId="77777777" w:rsidR="00C63027" w:rsidRPr="003E3613" w:rsidRDefault="00C63027" w:rsidP="00204696">
      <w:pPr>
        <w:spacing w:after="0"/>
        <w:jc w:val="both"/>
        <w:rPr>
          <w:rFonts w:ascii="Book Antiqua" w:hAnsi="Book Antiqua"/>
          <w:i/>
          <w:sz w:val="23"/>
          <w:szCs w:val="23"/>
          <w:lang w:val="en-GB"/>
        </w:rPr>
      </w:pPr>
      <w:r w:rsidRPr="003E3613">
        <w:rPr>
          <w:rFonts w:ascii="Book Antiqua" w:hAnsi="Book Antiqua"/>
          <w:i/>
          <w:sz w:val="23"/>
          <w:szCs w:val="23"/>
          <w:lang w:val="en-GB"/>
        </w:rPr>
        <w:t>(14) On 29 May 2018, the Hungarian Government presented a draft Seventh Amendment to the Fundamental Law (T/332), which was adopted on 20 June 2018. It introduced a new system of administrative courts.</w:t>
      </w:r>
    </w:p>
    <w:p w14:paraId="55385FFE" w14:textId="77777777" w:rsidR="007A1D58" w:rsidRPr="003E3613" w:rsidRDefault="007A1D58" w:rsidP="00204696">
      <w:pPr>
        <w:spacing w:after="0"/>
        <w:jc w:val="both"/>
        <w:rPr>
          <w:rFonts w:ascii="Book Antiqua" w:hAnsi="Book Antiqua"/>
          <w:i/>
          <w:sz w:val="23"/>
          <w:szCs w:val="23"/>
          <w:lang w:val="en-GB"/>
        </w:rPr>
      </w:pPr>
    </w:p>
    <w:p w14:paraId="6EC769D0" w14:textId="77777777" w:rsidR="00DB46B8" w:rsidRPr="003E3613" w:rsidRDefault="00F739E0" w:rsidP="00204696">
      <w:pPr>
        <w:spacing w:after="0"/>
        <w:jc w:val="both"/>
        <w:rPr>
          <w:rFonts w:ascii="Book Antiqua" w:eastAsiaTheme="minorHAnsi" w:hAnsi="Book Antiqua" w:cs="Times New Roman"/>
          <w:sz w:val="23"/>
          <w:szCs w:val="23"/>
          <w:lang w:val="en-GB" w:eastAsia="en-US"/>
        </w:rPr>
      </w:pPr>
      <w:r w:rsidRPr="003E3613">
        <w:rPr>
          <w:rFonts w:ascii="Book Antiqua" w:eastAsiaTheme="minorHAnsi" w:hAnsi="Book Antiqua" w:cs="Times New Roman"/>
          <w:sz w:val="23"/>
          <w:szCs w:val="23"/>
          <w:lang w:val="en-GB" w:eastAsia="en-US"/>
        </w:rPr>
        <w:t>The a</w:t>
      </w:r>
      <w:r w:rsidR="00AE2F53" w:rsidRPr="003E3613">
        <w:rPr>
          <w:rFonts w:ascii="Book Antiqua" w:eastAsiaTheme="minorHAnsi" w:hAnsi="Book Antiqua" w:cs="Times New Roman"/>
          <w:sz w:val="23"/>
          <w:szCs w:val="23"/>
          <w:lang w:val="en-GB" w:eastAsia="en-US"/>
        </w:rPr>
        <w:t xml:space="preserve">dministrative court system has a longstanding historical </w:t>
      </w:r>
      <w:r w:rsidR="006F025D" w:rsidRPr="003E3613">
        <w:rPr>
          <w:rFonts w:ascii="Book Antiqua" w:eastAsiaTheme="minorHAnsi" w:hAnsi="Book Antiqua" w:cs="Times New Roman"/>
          <w:sz w:val="23"/>
          <w:szCs w:val="23"/>
          <w:lang w:val="en-GB" w:eastAsia="en-US"/>
        </w:rPr>
        <w:t>precedent in the Hungarian system. Administrative court</w:t>
      </w:r>
      <w:r w:rsidR="00A619B1" w:rsidRPr="003E3613">
        <w:rPr>
          <w:rFonts w:ascii="Book Antiqua" w:eastAsiaTheme="minorHAnsi" w:hAnsi="Book Antiqua" w:cs="Times New Roman"/>
          <w:sz w:val="23"/>
          <w:szCs w:val="23"/>
          <w:lang w:val="en-GB" w:eastAsia="en-US"/>
        </w:rPr>
        <w:t>s</w:t>
      </w:r>
      <w:r w:rsidR="006F025D" w:rsidRPr="003E3613">
        <w:rPr>
          <w:rFonts w:ascii="Book Antiqua" w:eastAsiaTheme="minorHAnsi" w:hAnsi="Book Antiqua" w:cs="Times New Roman"/>
          <w:sz w:val="23"/>
          <w:szCs w:val="23"/>
          <w:lang w:val="en-GB" w:eastAsia="en-US"/>
        </w:rPr>
        <w:t xml:space="preserve"> </w:t>
      </w:r>
      <w:r w:rsidR="007B6A2D" w:rsidRPr="003E3613">
        <w:rPr>
          <w:rFonts w:ascii="Book Antiqua" w:eastAsiaTheme="minorHAnsi" w:hAnsi="Book Antiqua" w:cs="Times New Roman"/>
          <w:sz w:val="23"/>
          <w:szCs w:val="23"/>
          <w:lang w:val="en-GB" w:eastAsia="en-US"/>
        </w:rPr>
        <w:t xml:space="preserve">were established in Act No. 26 of 1896 and originally referred to as the Hungarian Royal Administrative Court. The court was disbanded by Hungarian communists in 1949 as part of their effort to undermine the rule of law. After the regime change in 1990, Act No. 26 of 1991 attempted to revive the courts by extending legal regulations on the judiciary, administrative procedures and civil procedures “towards the full establishment of </w:t>
      </w:r>
      <w:r w:rsidR="006B4BCD" w:rsidRPr="003E3613">
        <w:rPr>
          <w:rFonts w:ascii="Book Antiqua" w:eastAsiaTheme="minorHAnsi" w:hAnsi="Book Antiqua" w:cs="Times New Roman"/>
          <w:sz w:val="23"/>
          <w:szCs w:val="23"/>
          <w:lang w:val="en-GB" w:eastAsia="en-US"/>
        </w:rPr>
        <w:t>administrative justice</w:t>
      </w:r>
      <w:r w:rsidR="007B6A2D" w:rsidRPr="003E3613">
        <w:rPr>
          <w:rFonts w:ascii="Book Antiqua" w:eastAsiaTheme="minorHAnsi" w:hAnsi="Book Antiqua" w:cs="Times New Roman"/>
          <w:sz w:val="23"/>
          <w:szCs w:val="23"/>
          <w:lang w:val="en-GB" w:eastAsia="en-US"/>
        </w:rPr>
        <w:t xml:space="preserve">.” It was withdrawn by a previous </w:t>
      </w:r>
      <w:r w:rsidR="00711E9D" w:rsidRPr="003E3613">
        <w:rPr>
          <w:rFonts w:ascii="Book Antiqua" w:eastAsiaTheme="minorHAnsi" w:hAnsi="Book Antiqua" w:cs="Times New Roman"/>
          <w:sz w:val="23"/>
          <w:szCs w:val="23"/>
          <w:lang w:val="en-GB" w:eastAsia="en-US"/>
        </w:rPr>
        <w:t>s</w:t>
      </w:r>
      <w:r w:rsidR="007B6A2D" w:rsidRPr="003E3613">
        <w:rPr>
          <w:rFonts w:ascii="Book Antiqua" w:eastAsiaTheme="minorHAnsi" w:hAnsi="Book Antiqua" w:cs="Times New Roman"/>
          <w:sz w:val="23"/>
          <w:szCs w:val="23"/>
          <w:lang w:val="en-GB" w:eastAsia="en-US"/>
        </w:rPr>
        <w:t>ocialist government without justification.</w:t>
      </w:r>
    </w:p>
    <w:p w14:paraId="4AC4B4F3" w14:textId="77777777" w:rsidR="00F400FE" w:rsidRDefault="00564CAC" w:rsidP="00204696">
      <w:pPr>
        <w:spacing w:after="0"/>
        <w:jc w:val="both"/>
        <w:rPr>
          <w:rFonts w:ascii="Book Antiqua" w:eastAsiaTheme="minorHAnsi" w:hAnsi="Book Antiqua" w:cs="Times New Roman"/>
          <w:sz w:val="23"/>
          <w:szCs w:val="23"/>
          <w:lang w:val="en-GB" w:eastAsia="en-US"/>
        </w:rPr>
      </w:pPr>
      <w:r w:rsidRPr="003E3613">
        <w:rPr>
          <w:rFonts w:ascii="Book Antiqua" w:eastAsiaTheme="minorHAnsi" w:hAnsi="Book Antiqua" w:cs="Times New Roman"/>
          <w:sz w:val="23"/>
          <w:szCs w:val="23"/>
          <w:lang w:val="en-GB" w:eastAsia="en-US"/>
        </w:rPr>
        <w:t xml:space="preserve">It is important to emphasise that legal scholarship, national historical traditions and also international examples justify the existence of the independently functioning administrative judiciary. </w:t>
      </w:r>
      <w:r w:rsidR="005C1ABB" w:rsidRPr="003E3613">
        <w:rPr>
          <w:rFonts w:ascii="Book Antiqua" w:eastAsiaTheme="minorHAnsi" w:hAnsi="Book Antiqua" w:cs="Times New Roman"/>
          <w:sz w:val="23"/>
          <w:szCs w:val="23"/>
          <w:lang w:val="en-GB" w:eastAsia="en-US"/>
        </w:rPr>
        <w:t>B</w:t>
      </w:r>
      <w:r w:rsidRPr="003E3613">
        <w:rPr>
          <w:rFonts w:ascii="Book Antiqua" w:eastAsiaTheme="minorHAnsi" w:hAnsi="Book Antiqua" w:cs="Times New Roman"/>
          <w:sz w:val="23"/>
          <w:szCs w:val="23"/>
          <w:lang w:val="en-GB" w:eastAsia="en-US"/>
        </w:rPr>
        <w:t xml:space="preserve">ased on </w:t>
      </w:r>
      <w:r w:rsidR="0050676E" w:rsidRPr="003E3613">
        <w:rPr>
          <w:rFonts w:ascii="Book Antiqua" w:eastAsiaTheme="minorHAnsi" w:hAnsi="Book Antiqua" w:cs="Times New Roman"/>
          <w:sz w:val="23"/>
          <w:szCs w:val="23"/>
          <w:lang w:val="en-GB" w:eastAsia="en-US"/>
        </w:rPr>
        <w:t xml:space="preserve">extensive academic research, </w:t>
      </w:r>
      <w:r w:rsidRPr="003E3613">
        <w:rPr>
          <w:rFonts w:ascii="Book Antiqua" w:eastAsiaTheme="minorHAnsi" w:hAnsi="Book Antiqua" w:cs="Times New Roman"/>
          <w:sz w:val="23"/>
          <w:szCs w:val="23"/>
          <w:lang w:val="en-GB" w:eastAsia="en-US"/>
        </w:rPr>
        <w:t xml:space="preserve">the institutional structure, discontinued in 1949 by communist dictatorship, </w:t>
      </w:r>
      <w:r w:rsidR="006C7BB6" w:rsidRPr="003E3613">
        <w:rPr>
          <w:rFonts w:ascii="Book Antiqua" w:eastAsiaTheme="minorHAnsi" w:hAnsi="Book Antiqua" w:cs="Times New Roman"/>
          <w:sz w:val="23"/>
          <w:szCs w:val="23"/>
          <w:lang w:val="en-GB" w:eastAsia="en-US"/>
        </w:rPr>
        <w:t xml:space="preserve">could </w:t>
      </w:r>
      <w:r w:rsidRPr="003E3613">
        <w:rPr>
          <w:rFonts w:ascii="Book Antiqua" w:eastAsiaTheme="minorHAnsi" w:hAnsi="Book Antiqua" w:cs="Times New Roman"/>
          <w:sz w:val="23"/>
          <w:szCs w:val="23"/>
          <w:lang w:val="en-GB" w:eastAsia="en-US"/>
        </w:rPr>
        <w:t>be rebuilt in a professional manner, fit for the requirements of the 21</w:t>
      </w:r>
      <w:r w:rsidRPr="003E3613">
        <w:rPr>
          <w:rFonts w:ascii="Book Antiqua" w:eastAsiaTheme="minorHAnsi" w:hAnsi="Book Antiqua" w:cs="Times New Roman"/>
          <w:sz w:val="23"/>
          <w:szCs w:val="23"/>
          <w:vertAlign w:val="superscript"/>
          <w:lang w:val="en-GB" w:eastAsia="en-US"/>
        </w:rPr>
        <w:t>st</w:t>
      </w:r>
      <w:r w:rsidRPr="003E3613">
        <w:rPr>
          <w:rFonts w:ascii="Book Antiqua" w:eastAsiaTheme="minorHAnsi" w:hAnsi="Book Antiqua" w:cs="Times New Roman"/>
          <w:sz w:val="23"/>
          <w:szCs w:val="23"/>
          <w:lang w:val="en-GB" w:eastAsia="en-US"/>
        </w:rPr>
        <w:t xml:space="preserve"> century. </w:t>
      </w:r>
      <w:r w:rsidR="00A619B1" w:rsidRPr="003E3613">
        <w:rPr>
          <w:rFonts w:ascii="Book Antiqua" w:eastAsiaTheme="minorHAnsi" w:hAnsi="Book Antiqua" w:cs="Times New Roman"/>
          <w:sz w:val="23"/>
          <w:szCs w:val="23"/>
          <w:lang w:val="en-GB" w:eastAsia="en-US"/>
        </w:rPr>
        <w:t>A m</w:t>
      </w:r>
      <w:r w:rsidRPr="003E3613">
        <w:rPr>
          <w:rFonts w:ascii="Book Antiqua" w:eastAsiaTheme="minorHAnsi" w:hAnsi="Book Antiqua" w:cs="Times New Roman"/>
          <w:sz w:val="23"/>
          <w:szCs w:val="23"/>
          <w:lang w:val="en-GB" w:eastAsia="en-US"/>
        </w:rPr>
        <w:t>ultilevel administrative judiciary</w:t>
      </w:r>
      <w:r w:rsidR="00A619B1" w:rsidRPr="003E3613">
        <w:rPr>
          <w:rFonts w:ascii="Book Antiqua" w:eastAsiaTheme="minorHAnsi" w:hAnsi="Book Antiqua" w:cs="Times New Roman"/>
          <w:sz w:val="23"/>
          <w:szCs w:val="23"/>
          <w:lang w:val="en-GB" w:eastAsia="en-US"/>
        </w:rPr>
        <w:t>,</w:t>
      </w:r>
      <w:r w:rsidRPr="003E3613">
        <w:rPr>
          <w:rFonts w:ascii="Book Antiqua" w:eastAsiaTheme="minorHAnsi" w:hAnsi="Book Antiqua" w:cs="Times New Roman"/>
          <w:sz w:val="23"/>
          <w:szCs w:val="23"/>
          <w:lang w:val="en-GB" w:eastAsia="en-US"/>
        </w:rPr>
        <w:t xml:space="preserve"> institutionally independent from ordinary courts and from the jurisdiction of the Supreme Court</w:t>
      </w:r>
      <w:r w:rsidR="00A619B1" w:rsidRPr="003E3613">
        <w:rPr>
          <w:rFonts w:ascii="Book Antiqua" w:eastAsiaTheme="minorHAnsi" w:hAnsi="Book Antiqua" w:cs="Times New Roman"/>
          <w:sz w:val="23"/>
          <w:szCs w:val="23"/>
          <w:lang w:val="en-GB" w:eastAsia="en-US"/>
        </w:rPr>
        <w:t>,</w:t>
      </w:r>
      <w:r w:rsidRPr="003E3613">
        <w:rPr>
          <w:rFonts w:ascii="Book Antiqua" w:eastAsiaTheme="minorHAnsi" w:hAnsi="Book Antiqua" w:cs="Times New Roman"/>
          <w:sz w:val="23"/>
          <w:szCs w:val="23"/>
          <w:lang w:val="en-GB" w:eastAsia="en-US"/>
        </w:rPr>
        <w:t xml:space="preserve"> operates in Austria, Bulgaria, Finland, Germany, Greece, Lithuania, Luxembourg, Poland, Portugal and Sweden. In the Czech Republic, </w:t>
      </w:r>
    </w:p>
    <w:p w14:paraId="06DCFEA3" w14:textId="77777777" w:rsidR="00F400FE" w:rsidRDefault="00F400FE">
      <w:pPr>
        <w:rPr>
          <w:rFonts w:ascii="Book Antiqua" w:eastAsiaTheme="minorHAnsi" w:hAnsi="Book Antiqua" w:cs="Times New Roman"/>
          <w:sz w:val="23"/>
          <w:szCs w:val="23"/>
          <w:lang w:val="en-GB" w:eastAsia="en-US"/>
        </w:rPr>
      </w:pPr>
      <w:r>
        <w:rPr>
          <w:rFonts w:ascii="Book Antiqua" w:eastAsiaTheme="minorHAnsi" w:hAnsi="Book Antiqua" w:cs="Times New Roman"/>
          <w:sz w:val="23"/>
          <w:szCs w:val="23"/>
          <w:lang w:val="en-GB" w:eastAsia="en-US"/>
        </w:rPr>
        <w:br w:type="page"/>
      </w:r>
    </w:p>
    <w:p w14:paraId="733348E5" w14:textId="775EB1EE" w:rsidR="00DE5E64" w:rsidRPr="003E3613" w:rsidRDefault="00564CAC" w:rsidP="00204696">
      <w:pPr>
        <w:spacing w:after="0"/>
        <w:jc w:val="both"/>
        <w:rPr>
          <w:rFonts w:ascii="Book Antiqua" w:eastAsiaTheme="minorHAnsi" w:hAnsi="Book Antiqua" w:cs="Times New Roman"/>
          <w:sz w:val="23"/>
          <w:szCs w:val="23"/>
          <w:lang w:val="en-GB" w:eastAsia="en-US"/>
        </w:rPr>
      </w:pPr>
      <w:r w:rsidRPr="003E3613">
        <w:rPr>
          <w:rFonts w:ascii="Book Antiqua" w:eastAsiaTheme="minorHAnsi" w:hAnsi="Book Antiqua" w:cs="Times New Roman"/>
          <w:sz w:val="23"/>
          <w:szCs w:val="23"/>
          <w:lang w:val="en-GB" w:eastAsia="en-US"/>
        </w:rPr>
        <w:lastRenderedPageBreak/>
        <w:t xml:space="preserve">regional courts with general jurisdiction adjudicate at first instance, and only the Supreme Administrative Court is a specialized administrative court. In France, Belgium and Italy, it is the Council of State, an organ functionally independent from ordinary courts that carries out the tasks of administrative judiciary. </w:t>
      </w:r>
    </w:p>
    <w:p w14:paraId="11806E9B" w14:textId="77777777" w:rsidR="00DE5E64" w:rsidRPr="003E3613" w:rsidRDefault="00DE5E64" w:rsidP="00204696">
      <w:pPr>
        <w:spacing w:after="0"/>
        <w:jc w:val="both"/>
        <w:rPr>
          <w:rFonts w:ascii="Book Antiqua" w:eastAsiaTheme="minorHAnsi" w:hAnsi="Book Antiqua" w:cs="Times New Roman"/>
          <w:sz w:val="23"/>
          <w:szCs w:val="23"/>
          <w:lang w:val="en-GB" w:eastAsia="en-US"/>
        </w:rPr>
      </w:pPr>
    </w:p>
    <w:p w14:paraId="071FFC11" w14:textId="7C59EA08" w:rsidR="00564CAC" w:rsidRPr="003E3613" w:rsidRDefault="00564CAC" w:rsidP="00204696">
      <w:pPr>
        <w:spacing w:after="0"/>
        <w:jc w:val="both"/>
        <w:rPr>
          <w:rFonts w:ascii="Book Antiqua" w:eastAsiaTheme="minorHAnsi" w:hAnsi="Book Antiqua" w:cs="Times New Roman"/>
          <w:sz w:val="23"/>
          <w:szCs w:val="23"/>
          <w:lang w:val="en-GB" w:eastAsia="en-US"/>
        </w:rPr>
      </w:pPr>
      <w:r w:rsidRPr="003E3613">
        <w:rPr>
          <w:rFonts w:ascii="Book Antiqua" w:eastAsiaTheme="minorHAnsi" w:hAnsi="Book Antiqua" w:cs="Times New Roman"/>
          <w:sz w:val="23"/>
          <w:szCs w:val="23"/>
          <w:lang w:val="en-GB" w:eastAsia="en-US"/>
        </w:rPr>
        <w:t xml:space="preserve">International examples, especially the well-functioning systems in neighbouring countries prove us that independent administrative judiciary ensures better the self-restraint of executive power and provides more efficient control over actions of the administration. </w:t>
      </w:r>
    </w:p>
    <w:p w14:paraId="7115BDCA" w14:textId="77777777" w:rsidR="00543E82" w:rsidRPr="003E3613" w:rsidRDefault="00543E82" w:rsidP="00204696">
      <w:pPr>
        <w:spacing w:after="0"/>
        <w:jc w:val="both"/>
        <w:rPr>
          <w:rFonts w:ascii="Book Antiqua" w:eastAsiaTheme="minorHAnsi" w:hAnsi="Book Antiqua" w:cs="Times New Roman"/>
          <w:sz w:val="23"/>
          <w:szCs w:val="23"/>
          <w:lang w:val="en-GB" w:eastAsia="en-US"/>
        </w:rPr>
      </w:pPr>
    </w:p>
    <w:p w14:paraId="6A1ECF43" w14:textId="6F4DC318" w:rsidR="00543E82" w:rsidRPr="003E3613" w:rsidRDefault="00543E82" w:rsidP="00204696">
      <w:pPr>
        <w:spacing w:after="0"/>
        <w:jc w:val="both"/>
        <w:rPr>
          <w:rFonts w:ascii="Book Antiqua" w:eastAsiaTheme="minorHAnsi" w:hAnsi="Book Antiqua" w:cs="Times New Roman"/>
          <w:sz w:val="23"/>
          <w:szCs w:val="23"/>
          <w:lang w:val="en-GB" w:eastAsia="en-US"/>
        </w:rPr>
      </w:pPr>
      <w:r w:rsidRPr="003E3613">
        <w:rPr>
          <w:rFonts w:ascii="Book Antiqua" w:eastAsiaTheme="minorHAnsi" w:hAnsi="Book Antiqua" w:cs="Times New Roman"/>
          <w:sz w:val="23"/>
          <w:szCs w:val="23"/>
          <w:lang w:val="en-GB" w:eastAsia="en-US"/>
        </w:rPr>
        <w:t>On 9 November 2018, the Hungarian Government</w:t>
      </w:r>
      <w:r w:rsidR="0050676E" w:rsidRPr="003E3613">
        <w:rPr>
          <w:rFonts w:ascii="Book Antiqua" w:eastAsiaTheme="minorHAnsi" w:hAnsi="Book Antiqua" w:cs="Times New Roman"/>
          <w:sz w:val="23"/>
          <w:szCs w:val="23"/>
          <w:lang w:val="en-GB" w:eastAsia="en-US"/>
        </w:rPr>
        <w:t xml:space="preserve"> </w:t>
      </w:r>
      <w:r w:rsidRPr="003E3613">
        <w:rPr>
          <w:rFonts w:ascii="Book Antiqua" w:eastAsiaTheme="minorHAnsi" w:hAnsi="Book Antiqua" w:cs="Times New Roman"/>
          <w:sz w:val="23"/>
          <w:szCs w:val="23"/>
          <w:lang w:val="en-GB" w:eastAsia="en-US"/>
        </w:rPr>
        <w:t>requested the opinion of the Venice Commission regarding the laws on the establishment of the public administration justice system and courts in Hungary. On 4 March 2019, the Venice Commission presented its draft opinion, containing several observations and recommendations. In the spirit of constructive dialogue and in light of the recommendations of the Venice Commission, on 12 March 2019 a draft bill containing amendments supported by the Minister of Justice was put before the Hungarian National Assembly.</w:t>
      </w:r>
    </w:p>
    <w:p w14:paraId="3B02384C" w14:textId="77777777" w:rsidR="00543E82" w:rsidRPr="003E3613" w:rsidRDefault="00543E82" w:rsidP="00204696">
      <w:pPr>
        <w:spacing w:after="0"/>
        <w:jc w:val="both"/>
        <w:rPr>
          <w:rFonts w:ascii="Book Antiqua" w:eastAsiaTheme="minorHAnsi" w:hAnsi="Book Antiqua" w:cs="Times New Roman"/>
          <w:sz w:val="23"/>
          <w:szCs w:val="23"/>
          <w:lang w:val="en-GB" w:eastAsia="en-US"/>
        </w:rPr>
      </w:pPr>
    </w:p>
    <w:p w14:paraId="5F369838" w14:textId="77777777" w:rsidR="00E75CF6" w:rsidRPr="003E3613" w:rsidRDefault="00E75CF6" w:rsidP="00204696">
      <w:pPr>
        <w:spacing w:after="0"/>
        <w:jc w:val="both"/>
        <w:rPr>
          <w:rFonts w:ascii="Book Antiqua" w:eastAsiaTheme="minorHAnsi" w:hAnsi="Book Antiqua" w:cs="Times New Roman"/>
          <w:sz w:val="23"/>
          <w:szCs w:val="23"/>
          <w:lang w:val="en-GB" w:eastAsia="en-US"/>
        </w:rPr>
      </w:pPr>
      <w:r w:rsidRPr="003E3613">
        <w:rPr>
          <w:rFonts w:ascii="Book Antiqua" w:eastAsiaTheme="minorHAnsi" w:hAnsi="Book Antiqua" w:cs="Times New Roman"/>
          <w:sz w:val="23"/>
          <w:szCs w:val="23"/>
          <w:lang w:val="en-GB" w:eastAsia="en-US"/>
        </w:rPr>
        <w:t>Although the Hungarian Government believes</w:t>
      </w:r>
      <w:r w:rsidR="00B85B08" w:rsidRPr="003E3613">
        <w:rPr>
          <w:rFonts w:ascii="Book Antiqua" w:eastAsiaTheme="minorHAnsi" w:hAnsi="Book Antiqua" w:cs="Times New Roman"/>
          <w:sz w:val="23"/>
          <w:szCs w:val="23"/>
          <w:lang w:val="en-GB" w:eastAsia="en-US"/>
        </w:rPr>
        <w:t xml:space="preserve"> </w:t>
      </w:r>
      <w:r w:rsidRPr="003E3613">
        <w:rPr>
          <w:rFonts w:ascii="Book Antiqua" w:eastAsiaTheme="minorHAnsi" w:hAnsi="Book Antiqua" w:cs="Times New Roman"/>
          <w:sz w:val="23"/>
          <w:szCs w:val="23"/>
          <w:lang w:val="en-GB" w:eastAsia="en-US"/>
        </w:rPr>
        <w:t>that i</w:t>
      </w:r>
      <w:r w:rsidR="00B85B08" w:rsidRPr="003E3613">
        <w:rPr>
          <w:rFonts w:ascii="Book Antiqua" w:eastAsiaTheme="minorHAnsi" w:hAnsi="Book Antiqua" w:cs="Times New Roman"/>
          <w:sz w:val="23"/>
          <w:szCs w:val="23"/>
          <w:lang w:val="en-GB" w:eastAsia="en-US"/>
        </w:rPr>
        <w:t>t</w:t>
      </w:r>
      <w:r w:rsidRPr="003E3613">
        <w:rPr>
          <w:rFonts w:ascii="Book Antiqua" w:eastAsiaTheme="minorHAnsi" w:hAnsi="Book Antiqua" w:cs="Times New Roman"/>
          <w:sz w:val="23"/>
          <w:szCs w:val="23"/>
          <w:lang w:val="en-GB" w:eastAsia="en-US"/>
        </w:rPr>
        <w:t xml:space="preserve"> has every right to follow the examples other Member States, </w:t>
      </w:r>
      <w:r w:rsidR="00B85B08" w:rsidRPr="003E3613">
        <w:rPr>
          <w:rFonts w:ascii="Book Antiqua" w:eastAsiaTheme="minorHAnsi" w:hAnsi="Book Antiqua" w:cs="Times New Roman"/>
          <w:sz w:val="23"/>
          <w:szCs w:val="23"/>
          <w:lang w:val="en-GB" w:eastAsia="en-US"/>
        </w:rPr>
        <w:t xml:space="preserve">in order not to burden the unfounded international criticism, on 30 May 2019 the Hungarian Government submitted to the National Assembly a legislative proposal to indefinitely postpone the entry into force of the Act on administrative courts. Consequently, </w:t>
      </w:r>
      <w:r w:rsidR="007D5B71" w:rsidRPr="003E3613">
        <w:rPr>
          <w:rFonts w:ascii="Book Antiqua" w:eastAsiaTheme="minorHAnsi" w:hAnsi="Book Antiqua" w:cs="Times New Roman"/>
          <w:sz w:val="23"/>
          <w:szCs w:val="23"/>
          <w:lang w:val="en-GB" w:eastAsia="en-US"/>
        </w:rPr>
        <w:t xml:space="preserve">by the adoption of Act LXI of 2019, </w:t>
      </w:r>
      <w:r w:rsidR="00B85B08" w:rsidRPr="003E3613">
        <w:rPr>
          <w:rFonts w:ascii="Book Antiqua" w:eastAsiaTheme="minorHAnsi" w:hAnsi="Book Antiqua" w:cs="Times New Roman"/>
          <w:sz w:val="23"/>
          <w:szCs w:val="23"/>
          <w:lang w:val="en-GB" w:eastAsia="en-US"/>
        </w:rPr>
        <w:t>the entry into force of the act on Administrative Courts has been indefinetely postponed.</w:t>
      </w:r>
    </w:p>
    <w:p w14:paraId="4C7A89AA" w14:textId="77777777" w:rsidR="00934850" w:rsidRPr="003E3613" w:rsidRDefault="00934850" w:rsidP="00204696">
      <w:pPr>
        <w:spacing w:after="0"/>
        <w:jc w:val="both"/>
        <w:rPr>
          <w:rFonts w:ascii="Book Antiqua" w:hAnsi="Book Antiqua"/>
          <w:i/>
          <w:sz w:val="23"/>
          <w:szCs w:val="23"/>
          <w:lang w:val="en-GB"/>
        </w:rPr>
      </w:pPr>
    </w:p>
    <w:p w14:paraId="14001920" w14:textId="77777777" w:rsidR="00507F12" w:rsidRPr="003E3613" w:rsidRDefault="00507F12" w:rsidP="00204696">
      <w:pPr>
        <w:pStyle w:val="Heading2"/>
        <w:keepNext w:val="0"/>
        <w:keepLines w:val="0"/>
        <w:spacing w:before="0"/>
        <w:rPr>
          <w:rFonts w:ascii="Book Antiqua" w:hAnsi="Book Antiqua"/>
          <w:color w:val="auto"/>
          <w:sz w:val="23"/>
          <w:szCs w:val="23"/>
          <w:lang w:val="en-GB"/>
        </w:rPr>
      </w:pPr>
      <w:bookmarkStart w:id="12" w:name="_Toc19120773"/>
      <w:r w:rsidRPr="003E3613">
        <w:rPr>
          <w:rFonts w:ascii="Book Antiqua" w:hAnsi="Book Antiqua"/>
          <w:color w:val="auto"/>
          <w:sz w:val="23"/>
          <w:szCs w:val="23"/>
          <w:lang w:val="en-GB"/>
        </w:rPr>
        <w:t>Compulsory retirement of judges, prosecutors and notaries</w:t>
      </w:r>
      <w:bookmarkEnd w:id="12"/>
    </w:p>
    <w:p w14:paraId="62D09659" w14:textId="77777777" w:rsidR="00507F12" w:rsidRPr="003E3613" w:rsidRDefault="00507F12" w:rsidP="00204696">
      <w:pPr>
        <w:spacing w:after="0"/>
        <w:jc w:val="both"/>
        <w:rPr>
          <w:rFonts w:ascii="Book Antiqua" w:hAnsi="Book Antiqua"/>
          <w:b/>
          <w:sz w:val="23"/>
          <w:szCs w:val="23"/>
          <w:lang w:val="en-GB"/>
        </w:rPr>
      </w:pPr>
    </w:p>
    <w:p w14:paraId="7724B73C" w14:textId="77777777" w:rsidR="00507F12" w:rsidRPr="003E3613" w:rsidRDefault="00507F12"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C63027" w:rsidRPr="003E3613">
        <w:rPr>
          <w:rFonts w:ascii="Book Antiqua" w:hAnsi="Book Antiqua"/>
          <w:i/>
          <w:sz w:val="23"/>
          <w:szCs w:val="23"/>
          <w:lang w:val="en-GB"/>
        </w:rPr>
        <w:t>15</w:t>
      </w:r>
      <w:r w:rsidRPr="003E3613">
        <w:rPr>
          <w:rFonts w:ascii="Book Antiqua" w:hAnsi="Book Antiqua"/>
          <w:i/>
          <w:sz w:val="23"/>
          <w:szCs w:val="23"/>
          <w:lang w:val="en-GB"/>
        </w:rPr>
        <w:t>) Following the judgment of the Court of Justice of the European Union (the “Court of Justice”) of 6 November 2012 in Case C-286/12, Commission v. Hungary, which held that by adopting a national scheme requiring the compulsory retirement of judges, prosecutors and notaries when they reach the age of 62, Hungary failed to fulfil its obligations under Union law, the Hungarian Parliament adopted Act XX of 2013 which provided that the judicial retirement age is to be gradually reduced to 65 years of age over a ten year period and set out the criteria for reinstatement or compensation.</w:t>
      </w:r>
      <w:r w:rsidR="00C63027" w:rsidRPr="003E3613">
        <w:rPr>
          <w:rFonts w:ascii="Book Antiqua" w:hAnsi="Book Antiqua"/>
          <w:i/>
          <w:sz w:val="23"/>
          <w:szCs w:val="23"/>
          <w:lang w:val="en-GB"/>
        </w:rPr>
        <w:t xml:space="preserve"> According to the Act, there was a possibility for retired judges to return to their former posts at the same court under the same conditions as prior to the regulations on retirement, or if they were unwilling to return, they received a 12-month lump sum compensation for their lost remuneration and could file for further compensation before the court, but reinstatement to leading administrative positions was not guaranteed. Nevertheless, the Commission acknowledged the measures of Hungary to make its retirement law compatible with Union law.</w:t>
      </w:r>
      <w:r w:rsidRPr="003E3613">
        <w:rPr>
          <w:rFonts w:ascii="Book Antiqua" w:hAnsi="Book Antiqua"/>
          <w:i/>
          <w:sz w:val="23"/>
          <w:szCs w:val="23"/>
          <w:lang w:val="en-GB"/>
        </w:rPr>
        <w:t xml:space="preserve"> In its report of October 2015, the International Bar Association’s Human Rights Institute stated that a majority of the removed judges did not return to their original positions</w:t>
      </w:r>
      <w:r w:rsidR="00C63027" w:rsidRPr="003E3613">
        <w:rPr>
          <w:rFonts w:ascii="Book Antiqua" w:hAnsi="Book Antiqua"/>
          <w:i/>
          <w:sz w:val="23"/>
          <w:szCs w:val="23"/>
          <w:lang w:val="en-GB"/>
        </w:rPr>
        <w:t>, partly because their previous positions had already been occupied. It also mentioned that the independence and impartiality of the Hungarian judiciary cannot be guaranteed and the rule of law remains weakened.</w:t>
      </w:r>
    </w:p>
    <w:p w14:paraId="56967002" w14:textId="77777777" w:rsidR="000B2345" w:rsidRPr="003E3613" w:rsidRDefault="000B2345" w:rsidP="00204696">
      <w:pPr>
        <w:spacing w:after="0"/>
        <w:jc w:val="both"/>
        <w:rPr>
          <w:rFonts w:ascii="Book Antiqua" w:hAnsi="Book Antiqua"/>
          <w:sz w:val="23"/>
          <w:szCs w:val="23"/>
          <w:lang w:val="en-GB"/>
        </w:rPr>
      </w:pPr>
    </w:p>
    <w:p w14:paraId="6453D644" w14:textId="77777777" w:rsidR="00E75CF6" w:rsidRPr="003E3613" w:rsidRDefault="00E75CF6"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This is already a closed case, Hungary has fully complied with the relevant court decisions</w:t>
      </w:r>
      <w:r w:rsidR="00974BAC" w:rsidRPr="003E3613">
        <w:rPr>
          <w:rFonts w:ascii="Book Antiqua" w:hAnsi="Book Antiqua"/>
          <w:sz w:val="23"/>
          <w:szCs w:val="23"/>
          <w:lang w:val="en-GB"/>
        </w:rPr>
        <w:t xml:space="preserve"> </w:t>
      </w:r>
      <w:r w:rsidRPr="003E3613">
        <w:rPr>
          <w:rFonts w:ascii="Book Antiqua" w:hAnsi="Book Antiqua"/>
          <w:sz w:val="23"/>
          <w:szCs w:val="23"/>
          <w:lang w:val="en-GB"/>
        </w:rPr>
        <w:t>or recommendations. Concerning the 2012 judicial reform Hungary has satisfactorily closed the administrative and infringement procedures with the European Commission – the reopening of these issues is against the</w:t>
      </w:r>
      <w:r w:rsidR="00774464" w:rsidRPr="003E3613">
        <w:rPr>
          <w:rFonts w:ascii="Book Antiqua" w:hAnsi="Book Antiqua"/>
          <w:sz w:val="23"/>
          <w:szCs w:val="23"/>
          <w:lang w:val="en-GB"/>
        </w:rPr>
        <w:t xml:space="preserve"> principle of</w:t>
      </w:r>
      <w:r w:rsidRPr="003E3613">
        <w:rPr>
          <w:rFonts w:ascii="Book Antiqua" w:hAnsi="Book Antiqua"/>
          <w:sz w:val="23"/>
          <w:szCs w:val="23"/>
          <w:lang w:val="en-GB"/>
        </w:rPr>
        <w:t xml:space="preserve"> rule of law (legal certainty, </w:t>
      </w:r>
      <w:r w:rsidRPr="003E3613">
        <w:rPr>
          <w:rFonts w:ascii="Book Antiqua" w:hAnsi="Book Antiqua"/>
          <w:i/>
          <w:sz w:val="23"/>
          <w:szCs w:val="23"/>
          <w:lang w:val="en-GB"/>
        </w:rPr>
        <w:t>pacta sunt servanda, ne bis in idem</w:t>
      </w:r>
      <w:r w:rsidRPr="003E3613">
        <w:rPr>
          <w:rFonts w:ascii="Book Antiqua" w:hAnsi="Book Antiqua"/>
          <w:sz w:val="23"/>
          <w:szCs w:val="23"/>
          <w:lang w:val="en-GB"/>
        </w:rPr>
        <w:t xml:space="preserve">). There is no reason to re-open </w:t>
      </w:r>
      <w:r w:rsidR="00774464" w:rsidRPr="003E3613">
        <w:rPr>
          <w:rFonts w:ascii="Book Antiqua" w:hAnsi="Book Antiqua"/>
          <w:sz w:val="23"/>
          <w:szCs w:val="23"/>
          <w:lang w:val="en-GB"/>
        </w:rPr>
        <w:t>6-</w:t>
      </w:r>
      <w:r w:rsidRPr="003E3613">
        <w:rPr>
          <w:rFonts w:ascii="Book Antiqua" w:hAnsi="Book Antiqua"/>
          <w:sz w:val="23"/>
          <w:szCs w:val="23"/>
          <w:lang w:val="en-GB"/>
        </w:rPr>
        <w:t>year old compromises.</w:t>
      </w:r>
    </w:p>
    <w:p w14:paraId="7F4FCADD" w14:textId="77777777" w:rsidR="00E75CF6" w:rsidRPr="003E3613" w:rsidRDefault="00E75CF6" w:rsidP="00204696">
      <w:pPr>
        <w:spacing w:after="0"/>
        <w:jc w:val="both"/>
        <w:rPr>
          <w:rFonts w:ascii="Book Antiqua" w:hAnsi="Book Antiqua"/>
          <w:sz w:val="23"/>
          <w:szCs w:val="23"/>
          <w:lang w:val="en-GB"/>
        </w:rPr>
      </w:pPr>
    </w:p>
    <w:p w14:paraId="33266A29" w14:textId="77777777" w:rsidR="0073777A" w:rsidRPr="003E3613" w:rsidRDefault="004C79B5"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w:t>
      </w:r>
      <w:r w:rsidR="00E66013" w:rsidRPr="003E3613">
        <w:rPr>
          <w:rFonts w:ascii="Book Antiqua" w:hAnsi="Book Antiqua"/>
          <w:sz w:val="23"/>
          <w:szCs w:val="23"/>
          <w:lang w:val="en-GB"/>
        </w:rPr>
        <w:t xml:space="preserve">Act </w:t>
      </w:r>
      <w:r w:rsidR="00523358" w:rsidRPr="003E3613">
        <w:rPr>
          <w:rFonts w:ascii="Book Antiqua" w:hAnsi="Book Antiqua"/>
          <w:sz w:val="23"/>
          <w:szCs w:val="23"/>
          <w:lang w:val="en-GB"/>
        </w:rPr>
        <w:t>CLXII</w:t>
      </w:r>
      <w:r w:rsidR="00523358" w:rsidRPr="003E3613" w:rsidDel="00523358">
        <w:rPr>
          <w:rFonts w:ascii="Book Antiqua" w:hAnsi="Book Antiqua"/>
          <w:sz w:val="23"/>
          <w:szCs w:val="23"/>
          <w:lang w:val="en-GB"/>
        </w:rPr>
        <w:t xml:space="preserve"> </w:t>
      </w:r>
      <w:r w:rsidR="00E66013" w:rsidRPr="003E3613">
        <w:rPr>
          <w:rFonts w:ascii="Book Antiqua" w:hAnsi="Book Antiqua"/>
          <w:sz w:val="23"/>
          <w:szCs w:val="23"/>
          <w:lang w:val="en-GB"/>
        </w:rPr>
        <w:t xml:space="preserve">of </w:t>
      </w:r>
      <w:r w:rsidR="00523358" w:rsidRPr="003E3613">
        <w:rPr>
          <w:rFonts w:ascii="Book Antiqua" w:hAnsi="Book Antiqua"/>
          <w:sz w:val="23"/>
          <w:szCs w:val="23"/>
          <w:lang w:val="en-GB"/>
        </w:rPr>
        <w:t>2011</w:t>
      </w:r>
      <w:r w:rsidR="00523358" w:rsidRPr="003E3613" w:rsidDel="00523358">
        <w:rPr>
          <w:rFonts w:ascii="Book Antiqua" w:hAnsi="Book Antiqua"/>
          <w:sz w:val="23"/>
          <w:szCs w:val="23"/>
          <w:lang w:val="en-GB"/>
        </w:rPr>
        <w:t xml:space="preserve"> </w:t>
      </w:r>
      <w:r w:rsidR="00C90804" w:rsidRPr="003E3613">
        <w:rPr>
          <w:rFonts w:ascii="Book Antiqua" w:hAnsi="Book Antiqua"/>
          <w:sz w:val="23"/>
          <w:szCs w:val="23"/>
          <w:lang w:val="en-GB"/>
        </w:rPr>
        <w:t xml:space="preserve">on </w:t>
      </w:r>
      <w:r w:rsidRPr="003E3613">
        <w:rPr>
          <w:rFonts w:ascii="Book Antiqua" w:hAnsi="Book Antiqua"/>
          <w:sz w:val="23"/>
          <w:szCs w:val="23"/>
          <w:lang w:val="en-GB"/>
        </w:rPr>
        <w:t>the Legal Status and Remunaration of Judges</w:t>
      </w:r>
      <w:r w:rsidRPr="003E3613">
        <w:rPr>
          <w:rFonts w:ascii="Times New Roman" w:hAnsi="Times New Roman" w:cs="Times New Roman"/>
          <w:sz w:val="24"/>
          <w:szCs w:val="24"/>
          <w:lang w:val="en-GB"/>
        </w:rPr>
        <w:t xml:space="preserve"> </w:t>
      </w:r>
      <w:r w:rsidR="002E0B34" w:rsidRPr="003E3613">
        <w:rPr>
          <w:rFonts w:ascii="Book Antiqua" w:hAnsi="Book Antiqua"/>
          <w:sz w:val="23"/>
          <w:szCs w:val="23"/>
          <w:lang w:val="en-GB"/>
        </w:rPr>
        <w:t xml:space="preserve">entered into force in </w:t>
      </w:r>
      <w:r w:rsidRPr="003E3613">
        <w:rPr>
          <w:rFonts w:ascii="Book Antiqua" w:hAnsi="Book Antiqua"/>
          <w:sz w:val="23"/>
          <w:szCs w:val="23"/>
          <w:lang w:val="en-GB"/>
        </w:rPr>
        <w:t>2012</w:t>
      </w:r>
      <w:r w:rsidR="004E3813" w:rsidRPr="003E3613">
        <w:rPr>
          <w:rFonts w:ascii="Book Antiqua" w:hAnsi="Book Antiqua"/>
          <w:sz w:val="23"/>
          <w:szCs w:val="23"/>
          <w:lang w:val="en-GB"/>
        </w:rPr>
        <w:t>,</w:t>
      </w:r>
      <w:r w:rsidR="002E0B34" w:rsidRPr="003E3613">
        <w:rPr>
          <w:rFonts w:ascii="Book Antiqua" w:hAnsi="Book Antiqua"/>
          <w:sz w:val="23"/>
          <w:szCs w:val="23"/>
          <w:lang w:val="en-GB"/>
        </w:rPr>
        <w:t xml:space="preserve"> which reduced the age limit for compulsory </w:t>
      </w:r>
      <w:r w:rsidR="00AD5101" w:rsidRPr="003E3613">
        <w:rPr>
          <w:rFonts w:ascii="Book Antiqua" w:hAnsi="Book Antiqua"/>
          <w:sz w:val="23"/>
          <w:szCs w:val="23"/>
          <w:lang w:val="en-GB"/>
        </w:rPr>
        <w:t>retirement from 70 to 62 years with the aim of creating a unified, just and solidary pension system</w:t>
      </w:r>
      <w:r w:rsidR="00C90804" w:rsidRPr="003E3613">
        <w:rPr>
          <w:rFonts w:ascii="Book Antiqua" w:hAnsi="Book Antiqua"/>
          <w:sz w:val="23"/>
          <w:szCs w:val="23"/>
          <w:lang w:val="en-GB"/>
        </w:rPr>
        <w:t>,</w:t>
      </w:r>
      <w:r w:rsidR="00AD5101" w:rsidRPr="003E3613">
        <w:rPr>
          <w:rFonts w:ascii="Book Antiqua" w:hAnsi="Book Antiqua"/>
          <w:sz w:val="23"/>
          <w:szCs w:val="23"/>
          <w:lang w:val="en-GB"/>
        </w:rPr>
        <w:t xml:space="preserve"> instead of conserving individual privileges and additional rights towards certain professions. </w:t>
      </w:r>
      <w:r w:rsidR="002E0B34" w:rsidRPr="003E3613">
        <w:rPr>
          <w:rFonts w:ascii="Book Antiqua" w:hAnsi="Book Antiqua"/>
          <w:sz w:val="23"/>
          <w:szCs w:val="23"/>
          <w:lang w:val="en-GB"/>
        </w:rPr>
        <w:t>Later on</w:t>
      </w:r>
      <w:r w:rsidR="00C90804" w:rsidRPr="003E3613">
        <w:rPr>
          <w:rFonts w:ascii="Book Antiqua" w:hAnsi="Book Antiqua"/>
          <w:sz w:val="23"/>
          <w:szCs w:val="23"/>
          <w:lang w:val="en-GB"/>
        </w:rPr>
        <w:t>,</w:t>
      </w:r>
      <w:r w:rsidR="002E0B34" w:rsidRPr="003E3613">
        <w:rPr>
          <w:rFonts w:ascii="Book Antiqua" w:hAnsi="Book Antiqua"/>
          <w:sz w:val="23"/>
          <w:szCs w:val="23"/>
          <w:lang w:val="en-GB"/>
        </w:rPr>
        <w:t xml:space="preserve"> the Court of Justice of the European Union established that this law in</w:t>
      </w:r>
      <w:r w:rsidR="00BA0592" w:rsidRPr="003E3613">
        <w:rPr>
          <w:rFonts w:ascii="Book Antiqua" w:hAnsi="Book Antiqua"/>
          <w:sz w:val="23"/>
          <w:szCs w:val="23"/>
          <w:lang w:val="en-GB"/>
        </w:rPr>
        <w:t>fringed the EU principle of non-</w:t>
      </w:r>
      <w:r w:rsidR="002E0B34" w:rsidRPr="003E3613">
        <w:rPr>
          <w:rFonts w:ascii="Book Antiqua" w:hAnsi="Book Antiqua"/>
          <w:sz w:val="23"/>
          <w:szCs w:val="23"/>
          <w:lang w:val="en-GB"/>
        </w:rPr>
        <w:t xml:space="preserve">discrimination. Hungary acknowledged the ruling of the </w:t>
      </w:r>
      <w:r w:rsidR="00AC7E71" w:rsidRPr="003E3613">
        <w:rPr>
          <w:rFonts w:ascii="Book Antiqua" w:hAnsi="Book Antiqua"/>
          <w:sz w:val="23"/>
          <w:szCs w:val="23"/>
          <w:lang w:val="en-GB"/>
        </w:rPr>
        <w:t xml:space="preserve">Court of Justice </w:t>
      </w:r>
      <w:r w:rsidR="002E0B34" w:rsidRPr="003E3613">
        <w:rPr>
          <w:rFonts w:ascii="Book Antiqua" w:hAnsi="Book Antiqua"/>
          <w:sz w:val="23"/>
          <w:szCs w:val="23"/>
          <w:lang w:val="en-GB"/>
        </w:rPr>
        <w:t xml:space="preserve">and </w:t>
      </w:r>
      <w:r w:rsidR="00BA0592" w:rsidRPr="003E3613">
        <w:rPr>
          <w:rFonts w:ascii="Book Antiqua" w:hAnsi="Book Antiqua"/>
          <w:sz w:val="23"/>
          <w:szCs w:val="23"/>
          <w:lang w:val="en-GB"/>
        </w:rPr>
        <w:t xml:space="preserve">– also </w:t>
      </w:r>
      <w:r w:rsidR="002E0B34" w:rsidRPr="003E3613">
        <w:rPr>
          <w:rFonts w:ascii="Book Antiqua" w:hAnsi="Book Antiqua"/>
          <w:sz w:val="23"/>
          <w:szCs w:val="23"/>
          <w:lang w:val="en-GB"/>
        </w:rPr>
        <w:t xml:space="preserve">in line with the </w:t>
      </w:r>
      <w:r w:rsidR="00A619B1" w:rsidRPr="003E3613">
        <w:rPr>
          <w:rFonts w:ascii="Book Antiqua" w:hAnsi="Book Antiqua"/>
          <w:sz w:val="23"/>
          <w:szCs w:val="23"/>
          <w:lang w:val="en-GB"/>
        </w:rPr>
        <w:t xml:space="preserve">Decision </w:t>
      </w:r>
      <w:r w:rsidR="008B4AEF" w:rsidRPr="003E3613">
        <w:rPr>
          <w:rFonts w:ascii="Book Antiqua" w:hAnsi="Book Antiqua"/>
          <w:sz w:val="23"/>
          <w:szCs w:val="23"/>
          <w:lang w:val="en-GB"/>
        </w:rPr>
        <w:t xml:space="preserve">No. </w:t>
      </w:r>
      <w:r w:rsidR="00CD7729" w:rsidRPr="003E3613">
        <w:rPr>
          <w:rFonts w:ascii="Book Antiqua" w:hAnsi="Book Antiqua"/>
          <w:sz w:val="23"/>
          <w:szCs w:val="23"/>
          <w:lang w:val="en-GB"/>
        </w:rPr>
        <w:t>33/2012. (VII. 17.)</w:t>
      </w:r>
      <w:r w:rsidR="00A619B1" w:rsidRPr="003E3613">
        <w:rPr>
          <w:rFonts w:ascii="Book Antiqua" w:hAnsi="Book Antiqua"/>
          <w:sz w:val="23"/>
          <w:szCs w:val="23"/>
          <w:lang w:val="en-GB"/>
        </w:rPr>
        <w:t xml:space="preserve"> </w:t>
      </w:r>
      <w:r w:rsidR="002E0B34" w:rsidRPr="003E3613">
        <w:rPr>
          <w:rFonts w:ascii="Book Antiqua" w:hAnsi="Book Antiqua"/>
          <w:sz w:val="23"/>
          <w:szCs w:val="23"/>
          <w:lang w:val="en-GB"/>
        </w:rPr>
        <w:t xml:space="preserve">of the Hungarian Constitutional Court </w:t>
      </w:r>
      <w:r w:rsidR="00BA0592" w:rsidRPr="003E3613">
        <w:rPr>
          <w:rFonts w:ascii="Book Antiqua" w:hAnsi="Book Antiqua"/>
          <w:sz w:val="23"/>
          <w:szCs w:val="23"/>
          <w:lang w:val="en-GB"/>
        </w:rPr>
        <w:t>– amended</w:t>
      </w:r>
      <w:r w:rsidR="002E0B34" w:rsidRPr="003E3613">
        <w:rPr>
          <w:rFonts w:ascii="Book Antiqua" w:hAnsi="Book Antiqua"/>
          <w:sz w:val="23"/>
          <w:szCs w:val="23"/>
          <w:lang w:val="en-GB"/>
        </w:rPr>
        <w:t xml:space="preserve"> the law</w:t>
      </w:r>
      <w:r w:rsidR="00523358" w:rsidRPr="003E3613">
        <w:rPr>
          <w:rFonts w:ascii="Book Antiqua" w:hAnsi="Book Antiqua"/>
          <w:sz w:val="23"/>
          <w:szCs w:val="23"/>
          <w:lang w:val="en-GB"/>
        </w:rPr>
        <w:t xml:space="preserve"> (Act XX of 2013)</w:t>
      </w:r>
      <w:r w:rsidR="002E0B34" w:rsidRPr="003E3613">
        <w:rPr>
          <w:rFonts w:ascii="Book Antiqua" w:hAnsi="Book Antiqua"/>
          <w:sz w:val="23"/>
          <w:szCs w:val="23"/>
          <w:lang w:val="en-GB"/>
        </w:rPr>
        <w:t xml:space="preserve"> which in case of judges, prosecutors and public notaries set a new age limit (65 years) for compulsory retirement by </w:t>
      </w:r>
      <w:r w:rsidR="00BA0592" w:rsidRPr="003E3613">
        <w:rPr>
          <w:rFonts w:ascii="Book Antiqua" w:hAnsi="Book Antiqua"/>
          <w:sz w:val="23"/>
          <w:szCs w:val="23"/>
          <w:lang w:val="en-GB"/>
        </w:rPr>
        <w:t xml:space="preserve">1 </w:t>
      </w:r>
      <w:r w:rsidR="002E0B34" w:rsidRPr="003E3613">
        <w:rPr>
          <w:rFonts w:ascii="Book Antiqua" w:hAnsi="Book Antiqua"/>
          <w:sz w:val="23"/>
          <w:szCs w:val="23"/>
          <w:lang w:val="en-GB"/>
        </w:rPr>
        <w:t>January 20</w:t>
      </w:r>
      <w:r w:rsidR="00B174ED" w:rsidRPr="003E3613">
        <w:rPr>
          <w:rFonts w:ascii="Book Antiqua" w:hAnsi="Book Antiqua"/>
          <w:sz w:val="23"/>
          <w:szCs w:val="23"/>
          <w:lang w:val="en-GB"/>
        </w:rPr>
        <w:t>2</w:t>
      </w:r>
      <w:r w:rsidR="002E0B34" w:rsidRPr="003E3613">
        <w:rPr>
          <w:rFonts w:ascii="Book Antiqua" w:hAnsi="Book Antiqua"/>
          <w:sz w:val="23"/>
          <w:szCs w:val="23"/>
          <w:lang w:val="en-GB"/>
        </w:rPr>
        <w:t>3. The Commission closed the infringement procedure a</w:t>
      </w:r>
      <w:r w:rsidR="00BA0592" w:rsidRPr="003E3613">
        <w:rPr>
          <w:rFonts w:ascii="Book Antiqua" w:hAnsi="Book Antiqua"/>
          <w:sz w:val="23"/>
          <w:szCs w:val="23"/>
          <w:lang w:val="en-GB"/>
        </w:rPr>
        <w:t xml:space="preserve">gainst Hungary at </w:t>
      </w:r>
      <w:r w:rsidR="00EB5B45" w:rsidRPr="003E3613">
        <w:rPr>
          <w:rFonts w:ascii="Book Antiqua" w:hAnsi="Book Antiqua"/>
          <w:sz w:val="23"/>
          <w:szCs w:val="23"/>
          <w:lang w:val="en-GB"/>
        </w:rPr>
        <w:t xml:space="preserve">the </w:t>
      </w:r>
      <w:r w:rsidR="00BA0592" w:rsidRPr="003E3613">
        <w:rPr>
          <w:rFonts w:ascii="Book Antiqua" w:hAnsi="Book Antiqua"/>
          <w:sz w:val="23"/>
          <w:szCs w:val="23"/>
          <w:lang w:val="en-GB"/>
        </w:rPr>
        <w:t xml:space="preserve">end of 2013. </w:t>
      </w:r>
      <w:r w:rsidR="002E0B34" w:rsidRPr="003E3613">
        <w:rPr>
          <w:rFonts w:ascii="Book Antiqua" w:hAnsi="Book Antiqua"/>
          <w:sz w:val="23"/>
          <w:szCs w:val="23"/>
          <w:lang w:val="en-GB"/>
        </w:rPr>
        <w:t xml:space="preserve">Following the ruling of the </w:t>
      </w:r>
      <w:r w:rsidR="00DE74B5" w:rsidRPr="003E3613">
        <w:rPr>
          <w:rFonts w:ascii="Book Antiqua" w:hAnsi="Book Antiqua"/>
          <w:sz w:val="23"/>
          <w:szCs w:val="23"/>
          <w:lang w:val="en-GB"/>
        </w:rPr>
        <w:t>Court of Justice</w:t>
      </w:r>
      <w:r w:rsidR="002E0B34" w:rsidRPr="003E3613">
        <w:rPr>
          <w:rFonts w:ascii="Book Antiqua" w:hAnsi="Book Antiqua"/>
          <w:sz w:val="23"/>
          <w:szCs w:val="23"/>
          <w:lang w:val="en-GB"/>
        </w:rPr>
        <w:t xml:space="preserve">, the Commission continuously monitored the implementation of the new Hungarian law on retirement and on </w:t>
      </w:r>
      <w:r w:rsidR="00BA0592" w:rsidRPr="003E3613">
        <w:rPr>
          <w:rFonts w:ascii="Book Antiqua" w:hAnsi="Book Antiqua"/>
          <w:sz w:val="23"/>
          <w:szCs w:val="23"/>
          <w:lang w:val="en-GB"/>
        </w:rPr>
        <w:t xml:space="preserve">20 </w:t>
      </w:r>
      <w:r w:rsidR="002E0B34" w:rsidRPr="003E3613">
        <w:rPr>
          <w:rFonts w:ascii="Book Antiqua" w:hAnsi="Book Antiqua"/>
          <w:sz w:val="23"/>
          <w:szCs w:val="23"/>
          <w:lang w:val="en-GB"/>
        </w:rPr>
        <w:t>November 2013 voiced its satisfaction with the measures taken by Hungary to make its retirement law compatible with the requirements of E</w:t>
      </w:r>
      <w:r w:rsidR="00BA0592" w:rsidRPr="003E3613">
        <w:rPr>
          <w:rFonts w:ascii="Book Antiqua" w:hAnsi="Book Antiqua"/>
          <w:sz w:val="23"/>
          <w:szCs w:val="23"/>
          <w:lang w:val="en-GB"/>
        </w:rPr>
        <w:t>U</w:t>
      </w:r>
      <w:r w:rsidR="002E0B34" w:rsidRPr="003E3613">
        <w:rPr>
          <w:rFonts w:ascii="Book Antiqua" w:hAnsi="Book Antiqua"/>
          <w:sz w:val="23"/>
          <w:szCs w:val="23"/>
          <w:lang w:val="en-GB"/>
        </w:rPr>
        <w:t xml:space="preserve"> law. It is important to emphasize that the Commission was satisfied with the remedies implemented in Hungary </w:t>
      </w:r>
      <w:r w:rsidR="00BA0592" w:rsidRPr="003E3613">
        <w:rPr>
          <w:rFonts w:ascii="Book Antiqua" w:hAnsi="Book Antiqua"/>
          <w:sz w:val="23"/>
          <w:szCs w:val="23"/>
          <w:lang w:val="en-GB"/>
        </w:rPr>
        <w:t xml:space="preserve">concerning </w:t>
      </w:r>
      <w:r w:rsidR="002E0B34" w:rsidRPr="003E3613">
        <w:rPr>
          <w:rFonts w:ascii="Book Antiqua" w:hAnsi="Book Antiqua"/>
          <w:sz w:val="23"/>
          <w:szCs w:val="23"/>
          <w:lang w:val="en-GB"/>
        </w:rPr>
        <w:t xml:space="preserve">the affected judges, </w:t>
      </w:r>
      <w:r w:rsidR="00BA0592" w:rsidRPr="003E3613">
        <w:rPr>
          <w:rFonts w:ascii="Book Antiqua" w:hAnsi="Book Antiqua"/>
          <w:sz w:val="23"/>
          <w:szCs w:val="23"/>
          <w:lang w:val="en-GB"/>
        </w:rPr>
        <w:t>prosecutors and public notaries, including the right of reinstatement without judicial procedure, and the right to compensation</w:t>
      </w:r>
      <w:r w:rsidR="002E0B34" w:rsidRPr="003E3613">
        <w:rPr>
          <w:rFonts w:ascii="Book Antiqua" w:hAnsi="Book Antiqua"/>
          <w:sz w:val="23"/>
          <w:szCs w:val="23"/>
          <w:lang w:val="en-GB"/>
        </w:rPr>
        <w:t xml:space="preserve">. The ruling of the </w:t>
      </w:r>
      <w:r w:rsidR="00DE74B5" w:rsidRPr="003E3613">
        <w:rPr>
          <w:rFonts w:ascii="Book Antiqua" w:hAnsi="Book Antiqua"/>
          <w:sz w:val="23"/>
          <w:szCs w:val="23"/>
          <w:lang w:val="en-GB"/>
        </w:rPr>
        <w:t xml:space="preserve">Court of Justice </w:t>
      </w:r>
      <w:r w:rsidR="00BA0592" w:rsidRPr="003E3613">
        <w:rPr>
          <w:rFonts w:ascii="Book Antiqua" w:hAnsi="Book Antiqua"/>
          <w:sz w:val="23"/>
          <w:szCs w:val="23"/>
          <w:lang w:val="en-GB"/>
        </w:rPr>
        <w:t>of 6 November</w:t>
      </w:r>
      <w:r w:rsidR="002E0B34" w:rsidRPr="003E3613">
        <w:rPr>
          <w:rFonts w:ascii="Book Antiqua" w:hAnsi="Book Antiqua"/>
          <w:sz w:val="23"/>
          <w:szCs w:val="23"/>
          <w:lang w:val="en-GB"/>
        </w:rPr>
        <w:t xml:space="preserve"> 2012 did not question the reasons </w:t>
      </w:r>
      <w:r w:rsidR="00BA0592" w:rsidRPr="003E3613">
        <w:rPr>
          <w:rFonts w:ascii="Book Antiqua" w:hAnsi="Book Antiqua"/>
          <w:sz w:val="23"/>
          <w:szCs w:val="23"/>
          <w:lang w:val="en-GB"/>
        </w:rPr>
        <w:t>of</w:t>
      </w:r>
      <w:r w:rsidR="002E0B34" w:rsidRPr="003E3613">
        <w:rPr>
          <w:rFonts w:ascii="Book Antiqua" w:hAnsi="Book Antiqua"/>
          <w:sz w:val="23"/>
          <w:szCs w:val="23"/>
          <w:lang w:val="en-GB"/>
        </w:rPr>
        <w:t xml:space="preserve"> the Hungarian Government in justification of the lower retirement age limits (</w:t>
      </w:r>
      <w:r w:rsidR="00BA0592" w:rsidRPr="003E3613">
        <w:rPr>
          <w:rFonts w:ascii="Book Antiqua" w:hAnsi="Book Antiqua"/>
          <w:sz w:val="23"/>
          <w:szCs w:val="23"/>
          <w:lang w:val="en-GB"/>
        </w:rPr>
        <w:t>balanced age structure, mobility of judges, etc.) merely established that the provision</w:t>
      </w:r>
      <w:r w:rsidR="002E0B34" w:rsidRPr="003E3613">
        <w:rPr>
          <w:rFonts w:ascii="Book Antiqua" w:hAnsi="Book Antiqua"/>
          <w:sz w:val="23"/>
          <w:szCs w:val="23"/>
          <w:lang w:val="en-GB"/>
        </w:rPr>
        <w:t xml:space="preserve"> </w:t>
      </w:r>
      <w:r w:rsidR="007B5DA5" w:rsidRPr="003E3613">
        <w:rPr>
          <w:rFonts w:ascii="Book Antiqua" w:hAnsi="Book Antiqua"/>
          <w:sz w:val="23"/>
          <w:szCs w:val="23"/>
          <w:lang w:val="en-GB"/>
        </w:rPr>
        <w:t xml:space="preserve">amounts </w:t>
      </w:r>
      <w:r w:rsidR="002E0B34" w:rsidRPr="003E3613">
        <w:rPr>
          <w:rFonts w:ascii="Book Antiqua" w:hAnsi="Book Antiqua"/>
          <w:sz w:val="23"/>
          <w:szCs w:val="23"/>
          <w:lang w:val="en-GB"/>
        </w:rPr>
        <w:t xml:space="preserve">to discrimination based on age. </w:t>
      </w:r>
      <w:r w:rsidR="00713F00" w:rsidRPr="003E3613">
        <w:rPr>
          <w:rFonts w:ascii="Book Antiqua" w:hAnsi="Book Antiqua"/>
          <w:sz w:val="23"/>
          <w:szCs w:val="23"/>
          <w:lang w:val="en-GB"/>
        </w:rPr>
        <w:t>It is also worth mentioning that the C</w:t>
      </w:r>
      <w:r w:rsidR="007D5B71" w:rsidRPr="003E3613">
        <w:rPr>
          <w:rFonts w:ascii="Book Antiqua" w:hAnsi="Book Antiqua"/>
          <w:sz w:val="23"/>
          <w:szCs w:val="23"/>
          <w:lang w:val="en-GB"/>
        </w:rPr>
        <w:t xml:space="preserve">ourt of Justice </w:t>
      </w:r>
      <w:r w:rsidR="00713F00" w:rsidRPr="003E3613">
        <w:rPr>
          <w:rFonts w:ascii="Book Antiqua" w:hAnsi="Book Antiqua"/>
          <w:sz w:val="23"/>
          <w:szCs w:val="23"/>
          <w:lang w:val="en-GB"/>
        </w:rPr>
        <w:t xml:space="preserve">did not refer to any infringement of the principle of </w:t>
      </w:r>
      <w:r w:rsidR="007D5B71" w:rsidRPr="003E3613">
        <w:rPr>
          <w:rFonts w:ascii="Book Antiqua" w:hAnsi="Book Antiqua"/>
          <w:sz w:val="23"/>
          <w:szCs w:val="23"/>
          <w:lang w:val="en-GB"/>
        </w:rPr>
        <w:t xml:space="preserve">the </w:t>
      </w:r>
      <w:r w:rsidR="00713F00" w:rsidRPr="003E3613">
        <w:rPr>
          <w:rFonts w:ascii="Book Antiqua" w:hAnsi="Book Antiqua"/>
          <w:sz w:val="23"/>
          <w:szCs w:val="23"/>
          <w:lang w:val="en-GB"/>
        </w:rPr>
        <w:t xml:space="preserve">rule of law in its judgment. </w:t>
      </w:r>
      <w:r w:rsidR="002E0B34" w:rsidRPr="003E3613">
        <w:rPr>
          <w:rFonts w:ascii="Book Antiqua" w:hAnsi="Book Antiqua"/>
          <w:sz w:val="23"/>
          <w:szCs w:val="23"/>
          <w:lang w:val="en-GB"/>
        </w:rPr>
        <w:t xml:space="preserve">In compliance with the ruling of the </w:t>
      </w:r>
      <w:r w:rsidR="00DE74B5" w:rsidRPr="003E3613">
        <w:rPr>
          <w:rFonts w:ascii="Book Antiqua" w:hAnsi="Book Antiqua"/>
          <w:sz w:val="23"/>
          <w:szCs w:val="23"/>
          <w:lang w:val="en-GB"/>
        </w:rPr>
        <w:t xml:space="preserve">Court of Justice </w:t>
      </w:r>
      <w:r w:rsidR="00BA0592" w:rsidRPr="003E3613">
        <w:rPr>
          <w:rFonts w:ascii="Book Antiqua" w:hAnsi="Book Antiqua"/>
          <w:sz w:val="23"/>
          <w:szCs w:val="23"/>
          <w:lang w:val="en-GB"/>
        </w:rPr>
        <w:t>there are unified</w:t>
      </w:r>
      <w:r w:rsidR="002E0B34" w:rsidRPr="003E3613">
        <w:rPr>
          <w:rFonts w:ascii="Book Antiqua" w:hAnsi="Book Antiqua"/>
          <w:sz w:val="23"/>
          <w:szCs w:val="23"/>
          <w:lang w:val="en-GB"/>
        </w:rPr>
        <w:t xml:space="preserve"> rules </w:t>
      </w:r>
      <w:r w:rsidR="00BA0592" w:rsidRPr="003E3613">
        <w:rPr>
          <w:rFonts w:ascii="Book Antiqua" w:hAnsi="Book Antiqua"/>
          <w:sz w:val="23"/>
          <w:szCs w:val="23"/>
          <w:lang w:val="en-GB"/>
        </w:rPr>
        <w:t xml:space="preserve">in effect </w:t>
      </w:r>
      <w:r w:rsidR="002E0B34" w:rsidRPr="003E3613">
        <w:rPr>
          <w:rFonts w:ascii="Book Antiqua" w:hAnsi="Book Antiqua"/>
          <w:sz w:val="23"/>
          <w:szCs w:val="23"/>
          <w:lang w:val="en-GB"/>
        </w:rPr>
        <w:t xml:space="preserve">for judges, prosecutors and public notaries which allow </w:t>
      </w:r>
      <w:r w:rsidR="007B5DA5" w:rsidRPr="003E3613">
        <w:rPr>
          <w:rFonts w:ascii="Book Antiqua" w:hAnsi="Book Antiqua"/>
          <w:sz w:val="23"/>
          <w:szCs w:val="23"/>
          <w:lang w:val="en-GB"/>
        </w:rPr>
        <w:t>those</w:t>
      </w:r>
      <w:r w:rsidR="00BA0592" w:rsidRPr="003E3613">
        <w:rPr>
          <w:rFonts w:ascii="Book Antiqua" w:hAnsi="Book Antiqua"/>
          <w:sz w:val="23"/>
          <w:szCs w:val="23"/>
          <w:lang w:val="en-GB"/>
        </w:rPr>
        <w:t xml:space="preserve"> who have reached retirement age in the transition period to</w:t>
      </w:r>
      <w:r w:rsidR="002E0B34" w:rsidRPr="003E3613">
        <w:rPr>
          <w:rFonts w:ascii="Book Antiqua" w:hAnsi="Book Antiqua"/>
          <w:sz w:val="23"/>
          <w:szCs w:val="23"/>
          <w:lang w:val="en-GB"/>
        </w:rPr>
        <w:t xml:space="preserve">: a) to remain in </w:t>
      </w:r>
      <w:r w:rsidR="00EB5B45" w:rsidRPr="003E3613">
        <w:rPr>
          <w:rFonts w:ascii="Book Antiqua" w:hAnsi="Book Antiqua"/>
          <w:sz w:val="23"/>
          <w:szCs w:val="23"/>
          <w:lang w:val="en-GB"/>
        </w:rPr>
        <w:t>office</w:t>
      </w:r>
      <w:r w:rsidR="002E0B34" w:rsidRPr="003E3613">
        <w:rPr>
          <w:rFonts w:ascii="Book Antiqua" w:hAnsi="Book Antiqua"/>
          <w:sz w:val="23"/>
          <w:szCs w:val="23"/>
          <w:lang w:val="en-GB"/>
        </w:rPr>
        <w:t xml:space="preserve">, b) </w:t>
      </w:r>
      <w:r w:rsidR="000725C2" w:rsidRPr="003E3613">
        <w:rPr>
          <w:rFonts w:ascii="Book Antiqua" w:hAnsi="Book Antiqua"/>
          <w:sz w:val="23"/>
          <w:szCs w:val="23"/>
          <w:lang w:val="en-GB"/>
        </w:rPr>
        <w:t>take an administrative leave, c) to retire.</w:t>
      </w:r>
      <w:r w:rsidR="0073777A" w:rsidRPr="003E3613">
        <w:rPr>
          <w:rFonts w:ascii="Book Antiqua" w:hAnsi="Book Antiqua"/>
          <w:sz w:val="23"/>
          <w:szCs w:val="23"/>
          <w:lang w:val="en-GB"/>
        </w:rPr>
        <w:t xml:space="preserve"> The amendments </w:t>
      </w:r>
      <w:r w:rsidR="00BC0A98" w:rsidRPr="003E3613">
        <w:rPr>
          <w:rFonts w:ascii="Book Antiqua" w:hAnsi="Book Antiqua"/>
          <w:sz w:val="23"/>
          <w:szCs w:val="23"/>
          <w:lang w:val="en-GB"/>
        </w:rPr>
        <w:t>introduced</w:t>
      </w:r>
      <w:r w:rsidR="0073777A" w:rsidRPr="003E3613">
        <w:rPr>
          <w:rFonts w:ascii="Book Antiqua" w:hAnsi="Book Antiqua"/>
          <w:sz w:val="23"/>
          <w:szCs w:val="23"/>
          <w:lang w:val="en-GB"/>
        </w:rPr>
        <w:t xml:space="preserve"> by Act XX of 2013 provided the possibility for retired judges to return to their former posts at the same court under the same conditions as prior to the regulations on retirement, or if they did not want to return, they received a 12-month lump sum compensation for their lost remuneration, and could file for further compensation before the court. The choice made by the judges cannot be evaluated against Hungary.</w:t>
      </w:r>
    </w:p>
    <w:p w14:paraId="63C373B2" w14:textId="77777777" w:rsidR="000B2345" w:rsidRPr="003E3613" w:rsidRDefault="000B2345" w:rsidP="00204696">
      <w:pPr>
        <w:spacing w:after="0"/>
        <w:jc w:val="both"/>
        <w:rPr>
          <w:rFonts w:ascii="Book Antiqua" w:hAnsi="Book Antiqua"/>
          <w:i/>
          <w:sz w:val="23"/>
          <w:szCs w:val="23"/>
          <w:lang w:val="en-GB"/>
        </w:rPr>
      </w:pPr>
    </w:p>
    <w:p w14:paraId="5C3A5478" w14:textId="380F9DD5" w:rsidR="00BC0A98" w:rsidRPr="003E3613" w:rsidRDefault="00CE5082"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According to Article 232/J. </w:t>
      </w:r>
      <w:r w:rsidR="00F1023E" w:rsidRPr="003E3613">
        <w:rPr>
          <w:rFonts w:ascii="Book Antiqua" w:hAnsi="Book Antiqua"/>
          <w:sz w:val="23"/>
          <w:szCs w:val="23"/>
          <w:lang w:val="en-GB"/>
        </w:rPr>
        <w:t>p</w:t>
      </w:r>
      <w:r w:rsidRPr="003E3613">
        <w:rPr>
          <w:rFonts w:ascii="Book Antiqua" w:hAnsi="Book Antiqua"/>
          <w:sz w:val="23"/>
          <w:szCs w:val="23"/>
          <w:lang w:val="en-GB"/>
        </w:rPr>
        <w:t>aragraph</w:t>
      </w:r>
      <w:r w:rsidR="00365B80" w:rsidRPr="003E3613">
        <w:rPr>
          <w:rFonts w:ascii="Book Antiqua" w:hAnsi="Book Antiqua"/>
          <w:sz w:val="23"/>
          <w:szCs w:val="23"/>
          <w:lang w:val="en-GB"/>
        </w:rPr>
        <w:t>s</w:t>
      </w:r>
      <w:r w:rsidRPr="003E3613">
        <w:rPr>
          <w:rFonts w:ascii="Book Antiqua" w:hAnsi="Book Antiqua"/>
          <w:sz w:val="23"/>
          <w:szCs w:val="23"/>
          <w:lang w:val="en-GB"/>
        </w:rPr>
        <w:t xml:space="preserve"> (2) and (3) of </w:t>
      </w:r>
      <w:r w:rsidR="002329C4" w:rsidRPr="003E3613">
        <w:rPr>
          <w:rFonts w:ascii="Book Antiqua" w:hAnsi="Book Antiqua"/>
          <w:sz w:val="23"/>
          <w:szCs w:val="23"/>
          <w:lang w:val="en-GB"/>
        </w:rPr>
        <w:t xml:space="preserve">Act CLXII of 2011, which was introduced by Article 25 of </w:t>
      </w:r>
      <w:r w:rsidRPr="003E3613">
        <w:rPr>
          <w:rFonts w:ascii="Book Antiqua" w:hAnsi="Book Antiqua"/>
          <w:sz w:val="23"/>
          <w:szCs w:val="23"/>
          <w:lang w:val="en-GB"/>
        </w:rPr>
        <w:t xml:space="preserve">Act XX of 2013 reinstatement to leading administrative positions was guaranteed. In the case of judges who had an indefinite term appointment to the position of President of Chamber before, if </w:t>
      </w:r>
      <w:r w:rsidR="007B5DA5" w:rsidRPr="003E3613">
        <w:rPr>
          <w:rFonts w:ascii="Book Antiqua" w:hAnsi="Book Antiqua"/>
          <w:sz w:val="23"/>
          <w:szCs w:val="23"/>
          <w:lang w:val="en-GB"/>
        </w:rPr>
        <w:t xml:space="preserve">they </w:t>
      </w:r>
      <w:r w:rsidRPr="003E3613">
        <w:rPr>
          <w:rFonts w:ascii="Book Antiqua" w:hAnsi="Book Antiqua"/>
          <w:sz w:val="23"/>
          <w:szCs w:val="23"/>
          <w:lang w:val="en-GB"/>
        </w:rPr>
        <w:t xml:space="preserve">chose to return, </w:t>
      </w:r>
      <w:r w:rsidR="00CD5C34" w:rsidRPr="003E3613">
        <w:rPr>
          <w:rFonts w:ascii="Book Antiqua" w:hAnsi="Book Antiqua"/>
          <w:sz w:val="23"/>
          <w:szCs w:val="23"/>
          <w:lang w:val="en-GB"/>
        </w:rPr>
        <w:t xml:space="preserve">they </w:t>
      </w:r>
      <w:r w:rsidRPr="003E3613">
        <w:rPr>
          <w:rFonts w:ascii="Book Antiqua" w:hAnsi="Book Antiqua"/>
          <w:sz w:val="23"/>
          <w:szCs w:val="23"/>
          <w:lang w:val="en-GB"/>
        </w:rPr>
        <w:t xml:space="preserve">had to be reinstated to </w:t>
      </w:r>
      <w:r w:rsidR="00C073B9" w:rsidRPr="003E3613">
        <w:rPr>
          <w:rFonts w:ascii="Book Antiqua" w:hAnsi="Book Antiqua"/>
          <w:sz w:val="23"/>
          <w:szCs w:val="23"/>
          <w:lang w:val="en-GB"/>
        </w:rPr>
        <w:t>their</w:t>
      </w:r>
      <w:r w:rsidRPr="003E3613">
        <w:rPr>
          <w:rFonts w:ascii="Book Antiqua" w:hAnsi="Book Antiqua"/>
          <w:sz w:val="23"/>
          <w:szCs w:val="23"/>
          <w:lang w:val="en-GB"/>
        </w:rPr>
        <w:t xml:space="preserve"> position. According to the Act</w:t>
      </w:r>
      <w:r w:rsidR="00F1023E" w:rsidRPr="003E3613">
        <w:rPr>
          <w:rFonts w:ascii="Book Antiqua" w:hAnsi="Book Antiqua"/>
          <w:sz w:val="23"/>
          <w:szCs w:val="23"/>
          <w:lang w:val="en-GB"/>
        </w:rPr>
        <w:t>,</w:t>
      </w:r>
      <w:r w:rsidRPr="003E3613">
        <w:rPr>
          <w:rFonts w:ascii="Book Antiqua" w:hAnsi="Book Antiqua"/>
          <w:sz w:val="23"/>
          <w:szCs w:val="23"/>
          <w:lang w:val="en-GB"/>
        </w:rPr>
        <w:t xml:space="preserve"> judges who had fixed term appointment could only be reinstated to their positions if those were not occupied </w:t>
      </w:r>
      <w:r w:rsidR="00C073B9" w:rsidRPr="003E3613">
        <w:rPr>
          <w:rFonts w:ascii="Book Antiqua" w:hAnsi="Book Antiqua"/>
          <w:sz w:val="23"/>
          <w:szCs w:val="23"/>
          <w:lang w:val="en-GB"/>
        </w:rPr>
        <w:t>at that time</w:t>
      </w:r>
      <w:r w:rsidRPr="003E3613">
        <w:rPr>
          <w:rFonts w:ascii="Book Antiqua" w:hAnsi="Book Antiqua"/>
          <w:sz w:val="23"/>
          <w:szCs w:val="23"/>
          <w:lang w:val="en-GB"/>
        </w:rPr>
        <w:t xml:space="preserve">. Therefore only the reinstatement to the already occupied temporary positions could not have been guaranteed by </w:t>
      </w:r>
      <w:r w:rsidRPr="003E3613">
        <w:rPr>
          <w:rFonts w:ascii="Book Antiqua" w:hAnsi="Book Antiqua"/>
          <w:sz w:val="23"/>
          <w:szCs w:val="23"/>
          <w:lang w:val="en-GB"/>
        </w:rPr>
        <w:lastRenderedPageBreak/>
        <w:t xml:space="preserve">the Act, since such a rule would have breached the </w:t>
      </w:r>
      <w:r w:rsidR="007B5DA5" w:rsidRPr="003E3613">
        <w:rPr>
          <w:rFonts w:ascii="Book Antiqua" w:hAnsi="Book Antiqua"/>
          <w:sz w:val="23"/>
          <w:szCs w:val="23"/>
          <w:lang w:val="en-GB"/>
        </w:rPr>
        <w:t xml:space="preserve">acquired </w:t>
      </w:r>
      <w:r w:rsidRPr="003E3613">
        <w:rPr>
          <w:rFonts w:ascii="Book Antiqua" w:hAnsi="Book Antiqua"/>
          <w:sz w:val="23"/>
          <w:szCs w:val="23"/>
          <w:lang w:val="en-GB"/>
        </w:rPr>
        <w:t>rights of the newly appointed judges. It must be underlined however, that under the provisions of the Act</w:t>
      </w:r>
      <w:r w:rsidR="00F1023E" w:rsidRPr="003E3613">
        <w:rPr>
          <w:rFonts w:ascii="Book Antiqua" w:hAnsi="Book Antiqua"/>
          <w:sz w:val="23"/>
          <w:szCs w:val="23"/>
          <w:lang w:val="en-GB"/>
        </w:rPr>
        <w:t>,</w:t>
      </w:r>
      <w:r w:rsidRPr="003E3613">
        <w:rPr>
          <w:rFonts w:ascii="Book Antiqua" w:hAnsi="Book Antiqua"/>
          <w:sz w:val="23"/>
          <w:szCs w:val="23"/>
          <w:lang w:val="en-GB"/>
        </w:rPr>
        <w:t xml:space="preserve"> in such cases judges could not </w:t>
      </w:r>
      <w:r w:rsidR="007B5DA5" w:rsidRPr="003E3613">
        <w:rPr>
          <w:rFonts w:ascii="Book Antiqua" w:hAnsi="Book Antiqua"/>
          <w:sz w:val="23"/>
          <w:szCs w:val="23"/>
          <w:lang w:val="en-GB"/>
        </w:rPr>
        <w:t xml:space="preserve">incur </w:t>
      </w:r>
      <w:r w:rsidRPr="003E3613">
        <w:rPr>
          <w:rFonts w:ascii="Book Antiqua" w:hAnsi="Book Antiqua"/>
          <w:sz w:val="23"/>
          <w:szCs w:val="23"/>
          <w:lang w:val="en-GB"/>
        </w:rPr>
        <w:t xml:space="preserve">any damages, </w:t>
      </w:r>
      <w:r w:rsidR="00F1023E" w:rsidRPr="003E3613">
        <w:rPr>
          <w:rFonts w:ascii="Book Antiqua" w:hAnsi="Book Antiqua"/>
          <w:sz w:val="23"/>
          <w:szCs w:val="23"/>
          <w:lang w:val="en-GB"/>
        </w:rPr>
        <w:t xml:space="preserve">since </w:t>
      </w:r>
      <w:r w:rsidRPr="003E3613">
        <w:rPr>
          <w:rFonts w:ascii="Book Antiqua" w:hAnsi="Book Antiqua"/>
          <w:sz w:val="23"/>
          <w:szCs w:val="23"/>
          <w:lang w:val="en-GB"/>
        </w:rPr>
        <w:t>the executive allowance had to be paid for the whole duration of the definite appointment.</w:t>
      </w:r>
      <w:r w:rsidR="009169B1" w:rsidRPr="003E3613">
        <w:rPr>
          <w:rFonts w:ascii="Book Antiqua" w:hAnsi="Book Antiqua"/>
          <w:sz w:val="23"/>
          <w:szCs w:val="23"/>
          <w:lang w:val="en-GB"/>
        </w:rPr>
        <w:t xml:space="preserve"> This has been reflected by the European Court of Human Right’s decisions in the cases Belegi and others v. Hungary (No. 45438/12) and J. B. and others v. Hungary (No. 45434/12). In both cases the ECHR deemed the claims of the applicants inadmissible on the basis that “the negative effects which the impugned measures had on the applicants’ private life did not cross the threshold of seriousness for the issue to be raised under Article 8 of the Convention”.</w:t>
      </w:r>
      <w:r w:rsidR="001F6F2B" w:rsidRPr="003E3613">
        <w:rPr>
          <w:rFonts w:ascii="Times New Roman" w:hAnsi="Times New Roman" w:cs="Times New Roman"/>
          <w:i/>
          <w:sz w:val="24"/>
          <w:szCs w:val="24"/>
          <w:lang w:val="en-GB"/>
        </w:rPr>
        <w:t xml:space="preserve"> </w:t>
      </w:r>
      <w:r w:rsidRPr="003E3613">
        <w:rPr>
          <w:rFonts w:ascii="Book Antiqua" w:hAnsi="Book Antiqua"/>
          <w:sz w:val="23"/>
          <w:szCs w:val="23"/>
          <w:lang w:val="en-GB"/>
        </w:rPr>
        <w:t xml:space="preserve">Consequently any statement of the </w:t>
      </w:r>
      <w:r w:rsidR="00C073B9" w:rsidRPr="003E3613">
        <w:rPr>
          <w:rFonts w:ascii="Book Antiqua" w:hAnsi="Book Antiqua"/>
          <w:sz w:val="23"/>
          <w:szCs w:val="23"/>
          <w:lang w:val="en-GB"/>
        </w:rPr>
        <w:t>r</w:t>
      </w:r>
      <w:r w:rsidRPr="003E3613">
        <w:rPr>
          <w:rFonts w:ascii="Book Antiqua" w:hAnsi="Book Antiqua"/>
          <w:sz w:val="23"/>
          <w:szCs w:val="23"/>
          <w:lang w:val="en-GB"/>
        </w:rPr>
        <w:t xml:space="preserve">eport on the motivation of judges is inaccurate </w:t>
      </w:r>
      <w:r w:rsidR="007B5DA5" w:rsidRPr="003E3613">
        <w:rPr>
          <w:rFonts w:ascii="Book Antiqua" w:hAnsi="Book Antiqua"/>
          <w:sz w:val="23"/>
          <w:szCs w:val="23"/>
          <w:lang w:val="en-GB"/>
        </w:rPr>
        <w:t xml:space="preserve">as not based on </w:t>
      </w:r>
      <w:r w:rsidRPr="003E3613">
        <w:rPr>
          <w:rFonts w:ascii="Book Antiqua" w:hAnsi="Book Antiqua"/>
          <w:sz w:val="23"/>
          <w:szCs w:val="23"/>
          <w:lang w:val="en-GB"/>
        </w:rPr>
        <w:t>factual data.</w:t>
      </w:r>
      <w:r w:rsidR="00CD4DAB" w:rsidRPr="003E3613">
        <w:rPr>
          <w:rFonts w:ascii="Book Antiqua" w:hAnsi="Book Antiqua"/>
          <w:sz w:val="23"/>
          <w:szCs w:val="23"/>
          <w:lang w:val="en-GB"/>
        </w:rPr>
        <w:t xml:space="preserve"> </w:t>
      </w:r>
      <w:r w:rsidRPr="003E3613">
        <w:rPr>
          <w:rFonts w:ascii="Book Antiqua" w:hAnsi="Book Antiqua"/>
          <w:sz w:val="23"/>
          <w:szCs w:val="23"/>
          <w:lang w:val="en-GB"/>
        </w:rPr>
        <w:t>It should be highlighted that independence and impartiality are requirements that apply to the decisional function of judges but not to the appointment of judges to leading administrative positions, which requirements therefore cannot be included in this context.</w:t>
      </w:r>
    </w:p>
    <w:p w14:paraId="44C77382" w14:textId="77777777" w:rsidR="00D061EF" w:rsidRPr="003E3613" w:rsidRDefault="00D061EF" w:rsidP="00204696">
      <w:pPr>
        <w:spacing w:after="0"/>
        <w:jc w:val="both"/>
        <w:rPr>
          <w:rFonts w:ascii="Book Antiqua" w:hAnsi="Book Antiqua"/>
          <w:sz w:val="23"/>
          <w:szCs w:val="23"/>
          <w:lang w:val="en-GB"/>
        </w:rPr>
      </w:pPr>
    </w:p>
    <w:p w14:paraId="32A71BFE" w14:textId="77777777" w:rsidR="00D061EF" w:rsidRPr="003E3613" w:rsidRDefault="00D061EF" w:rsidP="00204696">
      <w:pPr>
        <w:spacing w:after="0"/>
        <w:jc w:val="both"/>
        <w:rPr>
          <w:rFonts w:ascii="Book Antiqua" w:hAnsi="Book Antiqua"/>
          <w:b/>
          <w:sz w:val="23"/>
          <w:szCs w:val="23"/>
          <w:lang w:val="en-GB"/>
        </w:rPr>
      </w:pPr>
      <w:r w:rsidRPr="003E3613">
        <w:rPr>
          <w:rFonts w:ascii="Book Antiqua" w:hAnsi="Book Antiqua"/>
          <w:b/>
          <w:sz w:val="23"/>
          <w:szCs w:val="23"/>
          <w:lang w:val="en-GB"/>
        </w:rPr>
        <w:t>The independence of the Hungarian judiciary is beyond doubt. The general criticism is unfounded and false</w:t>
      </w:r>
      <w:r w:rsidR="00C34625" w:rsidRPr="003E3613">
        <w:rPr>
          <w:rFonts w:ascii="Book Antiqua" w:hAnsi="Book Antiqua"/>
          <w:b/>
          <w:sz w:val="23"/>
          <w:szCs w:val="23"/>
          <w:lang w:val="en-GB"/>
        </w:rPr>
        <w:t>, hence</w:t>
      </w:r>
      <w:r w:rsidR="00CB2DC1" w:rsidRPr="003E3613">
        <w:rPr>
          <w:rFonts w:ascii="Book Antiqua" w:hAnsi="Book Antiqua"/>
          <w:b/>
          <w:sz w:val="23"/>
          <w:szCs w:val="23"/>
          <w:lang w:val="en-GB"/>
        </w:rPr>
        <w:t xml:space="preserve"> there is no clear risk of a breach by Hungary of the values on which the Union is founded</w:t>
      </w:r>
      <w:r w:rsidRPr="003E3613">
        <w:rPr>
          <w:rFonts w:ascii="Book Antiqua" w:hAnsi="Book Antiqua"/>
          <w:b/>
          <w:sz w:val="23"/>
          <w:szCs w:val="23"/>
          <w:lang w:val="en-GB"/>
        </w:rPr>
        <w:t xml:space="preserve"> </w:t>
      </w:r>
      <w:r w:rsidR="00CB2DC1" w:rsidRPr="003E3613">
        <w:rPr>
          <w:rFonts w:ascii="Book Antiqua" w:hAnsi="Book Antiqua"/>
          <w:b/>
          <w:sz w:val="23"/>
          <w:szCs w:val="23"/>
          <w:lang w:val="en-GB"/>
        </w:rPr>
        <w:t>and there was no legal ground to start the</w:t>
      </w:r>
      <w:r w:rsidRPr="003E3613">
        <w:rPr>
          <w:rFonts w:ascii="Book Antiqua" w:hAnsi="Book Antiqua"/>
          <w:b/>
          <w:sz w:val="23"/>
          <w:szCs w:val="23"/>
          <w:lang w:val="en-GB"/>
        </w:rPr>
        <w:t xml:space="preserve"> </w:t>
      </w:r>
      <w:r w:rsidR="00CB2DC1" w:rsidRPr="003E3613">
        <w:rPr>
          <w:rFonts w:ascii="Book Antiqua" w:hAnsi="Book Antiqua"/>
          <w:b/>
          <w:sz w:val="23"/>
          <w:szCs w:val="23"/>
          <w:lang w:val="en-GB"/>
        </w:rPr>
        <w:t>Article 7(1) procedure.</w:t>
      </w:r>
    </w:p>
    <w:p w14:paraId="4FE9A9FA" w14:textId="77777777" w:rsidR="00BC0A98" w:rsidRPr="003E3613" w:rsidRDefault="00BC0A98" w:rsidP="00204696">
      <w:pPr>
        <w:spacing w:after="0"/>
        <w:jc w:val="both"/>
        <w:rPr>
          <w:rFonts w:ascii="Book Antiqua" w:hAnsi="Book Antiqua"/>
          <w:i/>
          <w:sz w:val="23"/>
          <w:szCs w:val="23"/>
          <w:lang w:val="en-GB"/>
        </w:rPr>
      </w:pPr>
    </w:p>
    <w:p w14:paraId="522AB954" w14:textId="77777777" w:rsidR="00A320F0" w:rsidRPr="003E3613" w:rsidRDefault="00A320F0" w:rsidP="00204696">
      <w:pPr>
        <w:pStyle w:val="Heading2"/>
        <w:keepNext w:val="0"/>
        <w:keepLines w:val="0"/>
        <w:spacing w:before="0"/>
        <w:jc w:val="both"/>
        <w:rPr>
          <w:rFonts w:ascii="Book Antiqua" w:hAnsi="Book Antiqua"/>
          <w:color w:val="auto"/>
          <w:sz w:val="23"/>
          <w:szCs w:val="23"/>
          <w:lang w:val="en-GB"/>
        </w:rPr>
      </w:pPr>
      <w:bookmarkStart w:id="13" w:name="_Toc19120774"/>
      <w:r w:rsidRPr="003E3613">
        <w:rPr>
          <w:rFonts w:ascii="Book Antiqua" w:hAnsi="Book Antiqua"/>
          <w:color w:val="auto"/>
          <w:sz w:val="23"/>
          <w:szCs w:val="23"/>
          <w:lang w:val="en-GB"/>
        </w:rPr>
        <w:t xml:space="preserve">Violation of the right to a fair trial </w:t>
      </w:r>
      <w:r w:rsidR="0073777A" w:rsidRPr="003E3613">
        <w:rPr>
          <w:rFonts w:ascii="Book Antiqua" w:hAnsi="Book Antiqua"/>
          <w:color w:val="auto"/>
          <w:sz w:val="23"/>
          <w:szCs w:val="23"/>
          <w:lang w:val="en-GB"/>
        </w:rPr>
        <w:t>(Ga</w:t>
      </w:r>
      <w:r w:rsidRPr="003E3613">
        <w:rPr>
          <w:rFonts w:ascii="Book Antiqua" w:hAnsi="Book Antiqua"/>
          <w:color w:val="auto"/>
          <w:sz w:val="23"/>
          <w:szCs w:val="23"/>
          <w:lang w:val="en-GB"/>
        </w:rPr>
        <w:t>z</w:t>
      </w:r>
      <w:r w:rsidR="0073777A" w:rsidRPr="003E3613">
        <w:rPr>
          <w:rFonts w:ascii="Book Antiqua" w:hAnsi="Book Antiqua"/>
          <w:color w:val="auto"/>
          <w:sz w:val="23"/>
          <w:szCs w:val="23"/>
          <w:lang w:val="en-GB"/>
        </w:rPr>
        <w:t>s</w:t>
      </w:r>
      <w:r w:rsidRPr="003E3613">
        <w:rPr>
          <w:rFonts w:ascii="Book Antiqua" w:hAnsi="Book Antiqua"/>
          <w:color w:val="auto"/>
          <w:sz w:val="23"/>
          <w:szCs w:val="23"/>
          <w:lang w:val="en-GB"/>
        </w:rPr>
        <w:t>ó v. Hungary)</w:t>
      </w:r>
      <w:bookmarkEnd w:id="13"/>
    </w:p>
    <w:p w14:paraId="4C14BFBB" w14:textId="77777777" w:rsidR="00A320F0" w:rsidRPr="003E3613" w:rsidRDefault="00A320F0" w:rsidP="00204696">
      <w:pPr>
        <w:spacing w:after="0"/>
        <w:jc w:val="both"/>
        <w:rPr>
          <w:rFonts w:ascii="Book Antiqua" w:hAnsi="Book Antiqua"/>
          <w:i/>
          <w:sz w:val="23"/>
          <w:szCs w:val="23"/>
          <w:lang w:val="en-GB"/>
        </w:rPr>
      </w:pPr>
    </w:p>
    <w:p w14:paraId="530C3835" w14:textId="77777777" w:rsidR="00507F12" w:rsidRPr="003E3613" w:rsidRDefault="00507F12"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C63027" w:rsidRPr="003E3613">
        <w:rPr>
          <w:rFonts w:ascii="Book Antiqua" w:hAnsi="Book Antiqua"/>
          <w:i/>
          <w:sz w:val="23"/>
          <w:szCs w:val="23"/>
          <w:lang w:val="en-GB"/>
        </w:rPr>
        <w:t>16</w:t>
      </w:r>
      <w:r w:rsidRPr="003E3613">
        <w:rPr>
          <w:rFonts w:ascii="Book Antiqua" w:hAnsi="Book Antiqua"/>
          <w:i/>
          <w:sz w:val="23"/>
          <w:szCs w:val="23"/>
          <w:lang w:val="en-GB"/>
        </w:rPr>
        <w:t xml:space="preserve">) In its judgment of 16 July 2015, </w:t>
      </w:r>
      <w:r w:rsidR="00C63027" w:rsidRPr="003E3613">
        <w:rPr>
          <w:rFonts w:ascii="Book Antiqua" w:hAnsi="Book Antiqua"/>
          <w:i/>
          <w:sz w:val="23"/>
          <w:szCs w:val="23"/>
          <w:lang w:val="en-GB"/>
        </w:rPr>
        <w:t xml:space="preserve">Gazsó </w:t>
      </w:r>
      <w:r w:rsidRPr="003E3613">
        <w:rPr>
          <w:rFonts w:ascii="Book Antiqua" w:hAnsi="Book Antiqua"/>
          <w:i/>
          <w:sz w:val="23"/>
          <w:szCs w:val="23"/>
          <w:lang w:val="en-GB"/>
        </w:rPr>
        <w:t>v. Hungary, the European Court of Human Rights (ECtHR) held that there had been a violation of the right to a fair trial and the right to an effective remedy. The ECtHR came to the conclusion that the violations originated in a practice which consisted in Hungary’s recurrent failure to ensure that proceedings determining civil rights and obligations are completed within a reasonable time and to take measures enabling applicants to claim redress for excessively long civil proceedings at a domestic level. The execution of that judgment is still pending.</w:t>
      </w:r>
      <w:r w:rsidR="00C63027" w:rsidRPr="003E3613">
        <w:rPr>
          <w:rFonts w:ascii="Book Antiqua" w:hAnsi="Book Antiqua"/>
          <w:i/>
          <w:sz w:val="23"/>
          <w:szCs w:val="23"/>
          <w:lang w:val="en-GB"/>
        </w:rPr>
        <w:t xml:space="preserve"> A new Code of Civil Procedure, adopted in 2016, provides for the acceleration of civil proceedings by introducing a double-phase procedure. Hungary has informed the Committee of Ministers of the Council of Europe that the new law creating an effective remedy for prolonged procedures will be adopted by October 2018.</w:t>
      </w:r>
    </w:p>
    <w:p w14:paraId="16D529D7" w14:textId="77777777" w:rsidR="0073777A" w:rsidRPr="003E3613" w:rsidRDefault="0073777A" w:rsidP="00204696">
      <w:pPr>
        <w:spacing w:after="0"/>
        <w:jc w:val="both"/>
        <w:rPr>
          <w:rFonts w:ascii="Book Antiqua" w:hAnsi="Book Antiqua"/>
          <w:sz w:val="23"/>
          <w:szCs w:val="23"/>
          <w:lang w:val="en-GB"/>
        </w:rPr>
      </w:pPr>
    </w:p>
    <w:p w14:paraId="0AB2D5C1" w14:textId="77777777" w:rsidR="0073777A" w:rsidRPr="003E3613" w:rsidRDefault="0073777A"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In the case of Gazsó v. Hungary the </w:t>
      </w:r>
      <w:r w:rsidR="008276EF" w:rsidRPr="003E3613">
        <w:rPr>
          <w:rFonts w:ascii="Book Antiqua" w:hAnsi="Book Antiqua"/>
          <w:sz w:val="23"/>
          <w:szCs w:val="23"/>
          <w:lang w:val="en-GB"/>
        </w:rPr>
        <w:t xml:space="preserve">European </w:t>
      </w:r>
      <w:r w:rsidRPr="003E3613">
        <w:rPr>
          <w:rFonts w:ascii="Book Antiqua" w:hAnsi="Book Antiqua"/>
          <w:sz w:val="23"/>
          <w:szCs w:val="23"/>
          <w:lang w:val="en-GB"/>
        </w:rPr>
        <w:t>Court</w:t>
      </w:r>
      <w:r w:rsidR="008276EF" w:rsidRPr="003E3613">
        <w:rPr>
          <w:rFonts w:ascii="Book Antiqua" w:hAnsi="Book Antiqua"/>
          <w:sz w:val="23"/>
          <w:szCs w:val="23"/>
          <w:lang w:val="en-GB"/>
        </w:rPr>
        <w:t xml:space="preserve"> of Human Rights</w:t>
      </w:r>
      <w:r w:rsidRPr="003E3613">
        <w:rPr>
          <w:rFonts w:ascii="Book Antiqua" w:hAnsi="Book Antiqua"/>
          <w:sz w:val="23"/>
          <w:szCs w:val="23"/>
          <w:lang w:val="en-GB"/>
        </w:rPr>
        <w:t xml:space="preserve"> noted the Government’s Action Plan and welcomed its commitment to deal with the issue and encouraged to continue these efforts. The Court ruled that Hungary must introduce without delay and at the latest until 16 October 2016, a remedy or a combination of remedies in the national legal system in order to bring it into line with the requirements of the Convention.</w:t>
      </w:r>
    </w:p>
    <w:p w14:paraId="09BF0CE2" w14:textId="77777777" w:rsidR="0073777A" w:rsidRPr="003E3613" w:rsidRDefault="0073777A" w:rsidP="00204696">
      <w:pPr>
        <w:spacing w:after="0"/>
        <w:jc w:val="both"/>
        <w:rPr>
          <w:rFonts w:ascii="Book Antiqua" w:hAnsi="Book Antiqua"/>
          <w:sz w:val="23"/>
          <w:szCs w:val="23"/>
          <w:lang w:val="en-GB"/>
        </w:rPr>
      </w:pPr>
    </w:p>
    <w:p w14:paraId="015DDD52" w14:textId="77777777" w:rsidR="0073777A" w:rsidRPr="003E3613" w:rsidRDefault="0073777A" w:rsidP="00204696">
      <w:pPr>
        <w:spacing w:after="0"/>
        <w:jc w:val="both"/>
        <w:rPr>
          <w:rFonts w:ascii="Book Antiqua" w:hAnsi="Book Antiqua"/>
          <w:sz w:val="23"/>
          <w:szCs w:val="23"/>
          <w:lang w:val="en-GB"/>
        </w:rPr>
      </w:pPr>
      <w:r w:rsidRPr="003E3613">
        <w:rPr>
          <w:rFonts w:ascii="Book Antiqua" w:hAnsi="Book Antiqua"/>
          <w:sz w:val="23"/>
          <w:szCs w:val="23"/>
          <w:lang w:val="en-GB"/>
        </w:rPr>
        <w:t>A new Code of Civil Procedure adopted in 2016 provides for the acceleration of civil proceedings by introducing a double-phase procedure. In the new Criminal Proce</w:t>
      </w:r>
      <w:r w:rsidR="0042169A" w:rsidRPr="003E3613">
        <w:rPr>
          <w:rFonts w:ascii="Book Antiqua" w:hAnsi="Book Antiqua"/>
          <w:sz w:val="23"/>
          <w:szCs w:val="23"/>
          <w:lang w:val="en-GB"/>
        </w:rPr>
        <w:t>dure</w:t>
      </w:r>
      <w:r w:rsidR="00DC4828" w:rsidRPr="003E3613">
        <w:rPr>
          <w:rFonts w:ascii="Book Antiqua" w:hAnsi="Book Antiqua"/>
          <w:sz w:val="23"/>
          <w:szCs w:val="23"/>
          <w:lang w:val="en-GB"/>
        </w:rPr>
        <w:t xml:space="preserve"> Code </w:t>
      </w:r>
      <w:r w:rsidR="00DC4828" w:rsidRPr="003E3613">
        <w:rPr>
          <w:rFonts w:ascii="Book Antiqua" w:hAnsi="Book Antiqua" w:cs="Times New Roman"/>
          <w:sz w:val="23"/>
          <w:szCs w:val="23"/>
          <w:lang w:val="en-GB"/>
        </w:rPr>
        <w:t>(Act XC of 2017 which took effect on 1 July 2018)</w:t>
      </w:r>
      <w:r w:rsidR="0042169A" w:rsidRPr="003E3613">
        <w:rPr>
          <w:rFonts w:ascii="Book Antiqua" w:hAnsi="Book Antiqua"/>
          <w:sz w:val="23"/>
          <w:szCs w:val="23"/>
          <w:lang w:val="en-GB"/>
        </w:rPr>
        <w:t>,</w:t>
      </w:r>
      <w:r w:rsidRPr="003E3613">
        <w:rPr>
          <w:rFonts w:ascii="Book Antiqua" w:hAnsi="Book Antiqua"/>
          <w:sz w:val="23"/>
          <w:szCs w:val="23"/>
          <w:lang w:val="en-GB"/>
        </w:rPr>
        <w:t xml:space="preserve"> the enhanced rights of the defence during the investigation will contribute to the expediency and effectiveness of the proceedings. </w:t>
      </w:r>
      <w:r w:rsidR="001947A0" w:rsidRPr="003E3613">
        <w:rPr>
          <w:rFonts w:ascii="Book Antiqua" w:hAnsi="Book Antiqua"/>
          <w:sz w:val="23"/>
          <w:szCs w:val="23"/>
          <w:lang w:val="en-GB"/>
        </w:rPr>
        <w:t xml:space="preserve">This includes that the defence counsel and the defendant can have access to the case files right after </w:t>
      </w:r>
      <w:r w:rsidR="001947A0" w:rsidRPr="003E3613">
        <w:rPr>
          <w:rFonts w:ascii="Book Antiqua" w:hAnsi="Book Antiqua"/>
          <w:sz w:val="23"/>
          <w:szCs w:val="23"/>
          <w:lang w:val="en-GB"/>
        </w:rPr>
        <w:lastRenderedPageBreak/>
        <w:t>the defendant have been questioned as a suspect during the investigation (according to the former rules, this could have only taken place after the investigation was concluded).</w:t>
      </w:r>
      <w:r w:rsidRPr="003E3613">
        <w:rPr>
          <w:rFonts w:ascii="Book Antiqua" w:hAnsi="Book Antiqua"/>
          <w:sz w:val="23"/>
          <w:szCs w:val="23"/>
          <w:lang w:val="en-GB"/>
        </w:rPr>
        <w:t xml:space="preserve"> At the trial phase, a preparatory hearing will fix the scope of the case and in order to prevent prolonging tactics, new motion for evidence can be submitted thereafter only in exceptional circumstances. At the appeal stage, the reformatory power of the appeal</w:t>
      </w:r>
      <w:r w:rsidR="0042169A" w:rsidRPr="003E3613">
        <w:rPr>
          <w:rFonts w:ascii="Book Antiqua" w:hAnsi="Book Antiqua"/>
          <w:sz w:val="23"/>
          <w:szCs w:val="23"/>
          <w:lang w:val="en-GB"/>
        </w:rPr>
        <w:t>s</w:t>
      </w:r>
      <w:r w:rsidRPr="003E3613">
        <w:rPr>
          <w:rFonts w:ascii="Book Antiqua" w:hAnsi="Book Antiqua"/>
          <w:sz w:val="23"/>
          <w:szCs w:val="23"/>
          <w:lang w:val="en-GB"/>
        </w:rPr>
        <w:t xml:space="preserve"> court is strengthened.</w:t>
      </w:r>
    </w:p>
    <w:p w14:paraId="09005481" w14:textId="77777777" w:rsidR="0073777A" w:rsidRPr="003E3613" w:rsidRDefault="0073777A" w:rsidP="00204696">
      <w:pPr>
        <w:spacing w:after="0"/>
        <w:jc w:val="both"/>
        <w:rPr>
          <w:rFonts w:ascii="Book Antiqua" w:hAnsi="Book Antiqua"/>
          <w:sz w:val="23"/>
          <w:szCs w:val="23"/>
          <w:lang w:val="en-GB"/>
        </w:rPr>
      </w:pPr>
    </w:p>
    <w:p w14:paraId="6CB697CD" w14:textId="77777777" w:rsidR="0073777A" w:rsidRPr="003E3613" w:rsidRDefault="0073777A"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Hungary has duly informed the Committee of Ministers of the Council of Europe that the completion of court proceedings within a reasonable time will be ensured by the </w:t>
      </w:r>
      <w:r w:rsidR="0042169A" w:rsidRPr="003E3613">
        <w:rPr>
          <w:rFonts w:ascii="Book Antiqua" w:hAnsi="Book Antiqua"/>
          <w:sz w:val="23"/>
          <w:szCs w:val="23"/>
          <w:lang w:val="en-GB"/>
        </w:rPr>
        <w:t>new codes of procedure which entered into force in 2018, and a new bill creating an effective domestic remedy for prolonged procedures</w:t>
      </w:r>
      <w:r w:rsidR="00BA5F0E" w:rsidRPr="003E3613">
        <w:rPr>
          <w:rFonts w:ascii="Book Antiqua" w:hAnsi="Book Antiqua"/>
          <w:sz w:val="23"/>
          <w:szCs w:val="23"/>
          <w:lang w:val="en-GB"/>
        </w:rPr>
        <w:t>, which</w:t>
      </w:r>
      <w:r w:rsidR="0042169A" w:rsidRPr="003E3613">
        <w:rPr>
          <w:rFonts w:ascii="Book Antiqua" w:hAnsi="Book Antiqua"/>
          <w:sz w:val="23"/>
          <w:szCs w:val="23"/>
          <w:lang w:val="en-GB"/>
        </w:rPr>
        <w:t xml:space="preserve"> was submitted to the Parliament in October 2018 based </w:t>
      </w:r>
      <w:r w:rsidRPr="003E3613">
        <w:rPr>
          <w:rFonts w:ascii="Book Antiqua" w:hAnsi="Book Antiqua"/>
          <w:sz w:val="23"/>
          <w:szCs w:val="23"/>
          <w:lang w:val="en-GB"/>
        </w:rPr>
        <w:t>on the following principles:</w:t>
      </w:r>
      <w:r w:rsidR="00554D9C" w:rsidRPr="003E3613">
        <w:rPr>
          <w:rFonts w:ascii="Book Antiqua" w:hAnsi="Book Antiqua"/>
          <w:sz w:val="23"/>
          <w:szCs w:val="23"/>
          <w:lang w:val="en-GB"/>
        </w:rPr>
        <w:t xml:space="preserve"> </w:t>
      </w:r>
      <w:r w:rsidRPr="003E3613">
        <w:rPr>
          <w:rFonts w:ascii="Book Antiqua" w:hAnsi="Book Antiqua"/>
          <w:sz w:val="23"/>
          <w:szCs w:val="23"/>
          <w:lang w:val="en-GB"/>
        </w:rPr>
        <w:t>objective liability</w:t>
      </w:r>
      <w:r w:rsidR="001362CD" w:rsidRPr="003E3613">
        <w:rPr>
          <w:rFonts w:ascii="Book Antiqua" w:hAnsi="Book Antiqua"/>
          <w:sz w:val="23"/>
          <w:szCs w:val="23"/>
          <w:lang w:val="en-GB"/>
        </w:rPr>
        <w:t xml:space="preserve">, </w:t>
      </w:r>
      <w:r w:rsidRPr="003E3613">
        <w:rPr>
          <w:rFonts w:ascii="Book Antiqua" w:hAnsi="Book Antiqua"/>
          <w:sz w:val="23"/>
          <w:szCs w:val="23"/>
          <w:lang w:val="en-GB"/>
        </w:rPr>
        <w:t>covering all types of judicial proceedings</w:t>
      </w:r>
      <w:r w:rsidR="0042169A" w:rsidRPr="003E3613">
        <w:rPr>
          <w:rFonts w:ascii="Book Antiqua" w:hAnsi="Book Antiqua"/>
          <w:sz w:val="23"/>
          <w:szCs w:val="23"/>
          <w:lang w:val="en-GB"/>
        </w:rPr>
        <w:t xml:space="preserve">: </w:t>
      </w:r>
      <w:r w:rsidRPr="003E3613">
        <w:rPr>
          <w:rFonts w:ascii="Book Antiqua" w:hAnsi="Book Antiqua"/>
          <w:sz w:val="23"/>
          <w:szCs w:val="23"/>
          <w:lang w:val="en-GB"/>
        </w:rPr>
        <w:t xml:space="preserve">out of court settlement procedure, </w:t>
      </w:r>
      <w:r w:rsidR="001362CD" w:rsidRPr="003E3613">
        <w:rPr>
          <w:rFonts w:ascii="Book Antiqua" w:hAnsi="Book Antiqua"/>
          <w:sz w:val="23"/>
          <w:szCs w:val="23"/>
          <w:lang w:val="en-GB"/>
        </w:rPr>
        <w:t>(</w:t>
      </w:r>
      <w:r w:rsidRPr="003E3613">
        <w:rPr>
          <w:rFonts w:ascii="Book Antiqua" w:hAnsi="Book Antiqua"/>
          <w:sz w:val="23"/>
          <w:szCs w:val="23"/>
          <w:lang w:val="en-GB"/>
        </w:rPr>
        <w:t xml:space="preserve">in lack </w:t>
      </w:r>
      <w:r w:rsidR="0042169A" w:rsidRPr="003E3613">
        <w:rPr>
          <w:rFonts w:ascii="Book Antiqua" w:hAnsi="Book Antiqua"/>
          <w:sz w:val="23"/>
          <w:szCs w:val="23"/>
          <w:lang w:val="en-GB"/>
        </w:rPr>
        <w:t>there</w:t>
      </w:r>
      <w:r w:rsidRPr="003E3613">
        <w:rPr>
          <w:rFonts w:ascii="Book Antiqua" w:hAnsi="Book Antiqua"/>
          <w:sz w:val="23"/>
          <w:szCs w:val="23"/>
          <w:lang w:val="en-GB"/>
        </w:rPr>
        <w:t>of</w:t>
      </w:r>
      <w:r w:rsidR="0042169A" w:rsidRPr="003E3613">
        <w:rPr>
          <w:rFonts w:ascii="Book Antiqua" w:hAnsi="Book Antiqua"/>
          <w:sz w:val="23"/>
          <w:szCs w:val="23"/>
          <w:lang w:val="en-GB"/>
        </w:rPr>
        <w:t>:</w:t>
      </w:r>
      <w:r w:rsidRPr="003E3613">
        <w:rPr>
          <w:rFonts w:ascii="Book Antiqua" w:hAnsi="Book Antiqua"/>
          <w:sz w:val="23"/>
          <w:szCs w:val="23"/>
          <w:lang w:val="en-GB"/>
        </w:rPr>
        <w:t xml:space="preserve"> a simplified judicial procedure</w:t>
      </w:r>
      <w:r w:rsidR="001362CD" w:rsidRPr="003E3613">
        <w:rPr>
          <w:rFonts w:ascii="Book Antiqua" w:hAnsi="Book Antiqua"/>
          <w:sz w:val="23"/>
          <w:szCs w:val="23"/>
          <w:lang w:val="en-GB"/>
        </w:rPr>
        <w:t xml:space="preserve">) the </w:t>
      </w:r>
      <w:r w:rsidRPr="003E3613">
        <w:rPr>
          <w:rFonts w:ascii="Book Antiqua" w:hAnsi="Book Antiqua"/>
          <w:sz w:val="23"/>
          <w:szCs w:val="23"/>
          <w:lang w:val="en-GB"/>
        </w:rPr>
        <w:t>swift determination of the claims</w:t>
      </w:r>
      <w:r w:rsidR="0042169A" w:rsidRPr="003E3613">
        <w:rPr>
          <w:rFonts w:ascii="Book Antiqua" w:hAnsi="Book Antiqua"/>
          <w:sz w:val="23"/>
          <w:szCs w:val="23"/>
          <w:lang w:val="en-GB"/>
        </w:rPr>
        <w:t>,</w:t>
      </w:r>
      <w:r w:rsidRPr="003E3613">
        <w:rPr>
          <w:rFonts w:ascii="Book Antiqua" w:hAnsi="Book Antiqua"/>
          <w:sz w:val="23"/>
          <w:szCs w:val="23"/>
          <w:lang w:val="en-GB"/>
        </w:rPr>
        <w:t xml:space="preserve"> and prompt payment of </w:t>
      </w:r>
      <w:r w:rsidR="00BA5F0E" w:rsidRPr="003E3613">
        <w:rPr>
          <w:rFonts w:ascii="Book Antiqua" w:hAnsi="Book Antiqua"/>
          <w:sz w:val="23"/>
          <w:szCs w:val="23"/>
          <w:lang w:val="en-GB"/>
        </w:rPr>
        <w:t xml:space="preserve">an </w:t>
      </w:r>
      <w:r w:rsidR="0042169A" w:rsidRPr="003E3613">
        <w:rPr>
          <w:rFonts w:ascii="Book Antiqua" w:hAnsi="Book Antiqua"/>
          <w:sz w:val="23"/>
          <w:szCs w:val="23"/>
          <w:lang w:val="en-GB"/>
        </w:rPr>
        <w:t xml:space="preserve">appropriate </w:t>
      </w:r>
      <w:r w:rsidRPr="003E3613">
        <w:rPr>
          <w:rFonts w:ascii="Book Antiqua" w:hAnsi="Book Antiqua"/>
          <w:sz w:val="23"/>
          <w:szCs w:val="23"/>
          <w:lang w:val="en-GB"/>
        </w:rPr>
        <w:t>compensation</w:t>
      </w:r>
      <w:r w:rsidR="0042169A" w:rsidRPr="003E3613">
        <w:rPr>
          <w:rFonts w:ascii="Book Antiqua" w:hAnsi="Book Antiqua"/>
          <w:sz w:val="23"/>
          <w:szCs w:val="23"/>
          <w:lang w:val="en-GB"/>
        </w:rPr>
        <w:t>.</w:t>
      </w:r>
    </w:p>
    <w:p w14:paraId="33EA8EFE" w14:textId="77777777" w:rsidR="009200D0" w:rsidRPr="003E3613" w:rsidRDefault="009200D0" w:rsidP="00204696">
      <w:pPr>
        <w:spacing w:after="0"/>
        <w:jc w:val="both"/>
        <w:rPr>
          <w:rFonts w:ascii="Book Antiqua" w:hAnsi="Book Antiqua"/>
          <w:sz w:val="23"/>
          <w:szCs w:val="23"/>
          <w:lang w:val="en-GB"/>
        </w:rPr>
      </w:pPr>
    </w:p>
    <w:p w14:paraId="487C7DB7" w14:textId="0EA0D9CE" w:rsidR="009200D0" w:rsidRPr="003E3613" w:rsidRDefault="009200D0" w:rsidP="00204696">
      <w:pPr>
        <w:autoSpaceDE w:val="0"/>
        <w:autoSpaceDN w:val="0"/>
        <w:adjustRightInd w:val="0"/>
        <w:spacing w:after="0"/>
        <w:jc w:val="both"/>
        <w:rPr>
          <w:rFonts w:ascii="Book Antiqua" w:hAnsi="Book Antiqua"/>
          <w:sz w:val="23"/>
          <w:szCs w:val="23"/>
          <w:lang w:val="en-GB"/>
        </w:rPr>
      </w:pPr>
      <w:r w:rsidRPr="003E3613">
        <w:rPr>
          <w:rFonts w:ascii="Book Antiqua" w:hAnsi="Book Antiqua"/>
          <w:sz w:val="23"/>
          <w:szCs w:val="23"/>
          <w:lang w:val="en-GB"/>
        </w:rPr>
        <w:t>It this context</w:t>
      </w:r>
      <w:r w:rsidR="0042169A" w:rsidRPr="003E3613">
        <w:rPr>
          <w:rFonts w:ascii="Book Antiqua" w:hAnsi="Book Antiqua"/>
          <w:sz w:val="23"/>
          <w:szCs w:val="23"/>
          <w:lang w:val="en-GB"/>
        </w:rPr>
        <w:t>,</w:t>
      </w:r>
      <w:r w:rsidRPr="003E3613">
        <w:rPr>
          <w:rFonts w:ascii="Book Antiqua" w:hAnsi="Book Antiqua"/>
          <w:sz w:val="23"/>
          <w:szCs w:val="23"/>
          <w:lang w:val="en-GB"/>
        </w:rPr>
        <w:t xml:space="preserve"> it shou</w:t>
      </w:r>
      <w:r w:rsidR="0042169A" w:rsidRPr="003E3613">
        <w:rPr>
          <w:rFonts w:ascii="Book Antiqua" w:hAnsi="Book Antiqua"/>
          <w:sz w:val="23"/>
          <w:szCs w:val="23"/>
          <w:lang w:val="en-GB"/>
        </w:rPr>
        <w:t>l</w:t>
      </w:r>
      <w:r w:rsidRPr="003E3613">
        <w:rPr>
          <w:rFonts w:ascii="Book Antiqua" w:hAnsi="Book Antiqua"/>
          <w:sz w:val="23"/>
          <w:szCs w:val="23"/>
          <w:lang w:val="en-GB"/>
        </w:rPr>
        <w:t xml:space="preserve">d be mentioned that </w:t>
      </w:r>
      <w:r w:rsidR="005A4EEE" w:rsidRPr="003E3613">
        <w:rPr>
          <w:rFonts w:ascii="Book Antiqua" w:hAnsi="Book Antiqua"/>
          <w:sz w:val="23"/>
          <w:szCs w:val="23"/>
          <w:lang w:val="en-GB"/>
        </w:rPr>
        <w:t>according to the European Commission’s</w:t>
      </w:r>
      <w:r w:rsidR="001F6F2B" w:rsidRPr="003E3613">
        <w:rPr>
          <w:rFonts w:ascii="Book Antiqua" w:hAnsi="Book Antiqua"/>
          <w:sz w:val="23"/>
          <w:szCs w:val="23"/>
          <w:lang w:val="en-GB"/>
        </w:rPr>
        <w:t xml:space="preserve"> </w:t>
      </w:r>
      <w:r w:rsidR="00543E82" w:rsidRPr="003E3613">
        <w:rPr>
          <w:rFonts w:ascii="Book Antiqua" w:hAnsi="Book Antiqua"/>
          <w:sz w:val="23"/>
          <w:szCs w:val="23"/>
          <w:lang w:val="en-GB"/>
        </w:rPr>
        <w:t>2019</w:t>
      </w:r>
      <w:r w:rsidR="00341D03" w:rsidRPr="003E3613">
        <w:rPr>
          <w:rFonts w:ascii="Book Antiqua" w:hAnsi="Book Antiqua"/>
          <w:sz w:val="23"/>
          <w:szCs w:val="23"/>
          <w:lang w:val="en-GB"/>
        </w:rPr>
        <w:t xml:space="preserve"> Justice Scoreboard</w:t>
      </w:r>
      <w:r w:rsidR="00543E82" w:rsidRPr="003E3613">
        <w:rPr>
          <w:rStyle w:val="FootnoteReference"/>
          <w:rFonts w:ascii="Book Antiqua" w:hAnsi="Book Antiqua"/>
          <w:sz w:val="23"/>
          <w:szCs w:val="23"/>
          <w:lang w:val="en-GB"/>
        </w:rPr>
        <w:footnoteReference w:id="15"/>
      </w:r>
      <w:r w:rsidR="002F726B" w:rsidRPr="003E3613">
        <w:rPr>
          <w:rFonts w:ascii="Book Antiqua" w:hAnsi="Book Antiqua"/>
          <w:sz w:val="23"/>
          <w:szCs w:val="23"/>
          <w:lang w:val="en-GB"/>
        </w:rPr>
        <w:t xml:space="preserve">, </w:t>
      </w:r>
      <w:r w:rsidR="0042169A" w:rsidRPr="003E3613">
        <w:rPr>
          <w:rFonts w:ascii="Book Antiqua" w:hAnsi="Book Antiqua"/>
          <w:sz w:val="23"/>
          <w:szCs w:val="23"/>
          <w:lang w:val="en-GB"/>
        </w:rPr>
        <w:t xml:space="preserve">the </w:t>
      </w:r>
      <w:r w:rsidR="002F726B" w:rsidRPr="003E3613">
        <w:rPr>
          <w:rFonts w:ascii="Book Antiqua" w:hAnsi="Book Antiqua"/>
          <w:sz w:val="23"/>
          <w:szCs w:val="23"/>
          <w:lang w:val="en-GB"/>
        </w:rPr>
        <w:t xml:space="preserve">Hungarian justice system is performing well, especially as far as the length of the procedures is concerned. </w:t>
      </w:r>
      <w:r w:rsidR="00543E82" w:rsidRPr="003E3613">
        <w:rPr>
          <w:rFonts w:ascii="Book Antiqua" w:hAnsi="Book Antiqua"/>
          <w:sz w:val="23"/>
          <w:szCs w:val="23"/>
          <w:lang w:val="en-GB"/>
        </w:rPr>
        <w:t>In fact, Hungary is the fifth best regarding the length of time needed to resolve civil, commercial, administrative an</w:t>
      </w:r>
      <w:r w:rsidR="00417F76" w:rsidRPr="003E3613">
        <w:rPr>
          <w:rFonts w:ascii="Book Antiqua" w:hAnsi="Book Antiqua"/>
          <w:sz w:val="23"/>
          <w:szCs w:val="23"/>
          <w:lang w:val="en-GB"/>
        </w:rPr>
        <w:t>d</w:t>
      </w:r>
      <w:r w:rsidR="00543E82" w:rsidRPr="003E3613">
        <w:rPr>
          <w:rFonts w:ascii="Book Antiqua" w:hAnsi="Book Antiqua"/>
          <w:sz w:val="23"/>
          <w:szCs w:val="23"/>
          <w:lang w:val="en-GB"/>
        </w:rPr>
        <w:t xml:space="preserve"> other cases. </w:t>
      </w:r>
      <w:r w:rsidR="00470259" w:rsidRPr="003E3613">
        <w:rPr>
          <w:rFonts w:ascii="Book Antiqua" w:hAnsi="Book Antiqua"/>
          <w:sz w:val="23"/>
          <w:szCs w:val="23"/>
          <w:lang w:val="en-GB"/>
        </w:rPr>
        <w:t>The figure below shows the</w:t>
      </w:r>
      <w:r w:rsidR="0098325E" w:rsidRPr="003E3613">
        <w:rPr>
          <w:rFonts w:ascii="Book Antiqua" w:hAnsi="Book Antiqua"/>
          <w:sz w:val="23"/>
          <w:szCs w:val="23"/>
          <w:lang w:val="en-GB"/>
        </w:rPr>
        <w:t xml:space="preserve"> time</w:t>
      </w:r>
      <w:r w:rsidR="00470259" w:rsidRPr="003E3613">
        <w:rPr>
          <w:rFonts w:ascii="Book Antiqua" w:hAnsi="Book Antiqua"/>
          <w:sz w:val="23"/>
          <w:szCs w:val="23"/>
          <w:lang w:val="en-GB"/>
        </w:rPr>
        <w:t xml:space="preserve"> needed to resolve civil, commercial, administrative and other cases (1st instance/in days) (source: CEPEJ study):</w:t>
      </w:r>
    </w:p>
    <w:p w14:paraId="6AEFAE58" w14:textId="77777777" w:rsidR="002F726B" w:rsidRPr="003E3613" w:rsidRDefault="00C41607" w:rsidP="00204696">
      <w:pPr>
        <w:keepNext/>
        <w:spacing w:before="240" w:after="120"/>
        <w:jc w:val="both"/>
        <w:rPr>
          <w:rFonts w:ascii="Book Antiqua" w:hAnsi="Book Antiqua"/>
          <w:sz w:val="23"/>
          <w:szCs w:val="23"/>
          <w:lang w:val="en-GB"/>
        </w:rPr>
      </w:pPr>
      <w:r w:rsidRPr="003E3613">
        <w:rPr>
          <w:rFonts w:ascii="Book Antiqua" w:hAnsi="Book Antiqua"/>
          <w:noProof/>
          <w:sz w:val="23"/>
          <w:szCs w:val="23"/>
          <w:lang w:val="en-GB" w:eastAsia="en-GB"/>
        </w:rPr>
        <w:drawing>
          <wp:inline distT="0" distB="0" distL="0" distR="0" wp14:anchorId="3E16CB5E" wp14:editId="0B849F2E">
            <wp:extent cx="5760720" cy="3406775"/>
            <wp:effectExtent l="0" t="0" r="0" b="317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img.jpg"/>
                    <pic:cNvPicPr/>
                  </pic:nvPicPr>
                  <pic:blipFill>
                    <a:blip r:embed="rId20">
                      <a:extLst>
                        <a:ext uri="{28A0092B-C50C-407E-A947-70E740481C1C}">
                          <a14:useLocalDpi xmlns:a14="http://schemas.microsoft.com/office/drawing/2010/main" val="0"/>
                        </a:ext>
                      </a:extLst>
                    </a:blip>
                    <a:stretch>
                      <a:fillRect/>
                    </a:stretch>
                  </pic:blipFill>
                  <pic:spPr>
                    <a:xfrm>
                      <a:off x="0" y="0"/>
                      <a:ext cx="5760720" cy="3406775"/>
                    </a:xfrm>
                    <a:prstGeom prst="rect">
                      <a:avLst/>
                    </a:prstGeom>
                  </pic:spPr>
                </pic:pic>
              </a:graphicData>
            </a:graphic>
          </wp:inline>
        </w:drawing>
      </w:r>
    </w:p>
    <w:p w14:paraId="08005025" w14:textId="77777777" w:rsidR="003043F7" w:rsidRPr="003E3613" w:rsidRDefault="003043F7" w:rsidP="00204696">
      <w:pPr>
        <w:spacing w:after="0"/>
        <w:jc w:val="both"/>
        <w:rPr>
          <w:rFonts w:ascii="Book Antiqua" w:hAnsi="Book Antiqua"/>
          <w:i/>
          <w:sz w:val="23"/>
          <w:szCs w:val="23"/>
          <w:lang w:val="en-GB"/>
        </w:rPr>
      </w:pPr>
    </w:p>
    <w:p w14:paraId="0F0F5DC2" w14:textId="77777777" w:rsidR="003043F7" w:rsidRPr="003E3613" w:rsidRDefault="003043F7" w:rsidP="00204696">
      <w:pPr>
        <w:pStyle w:val="Heading2"/>
        <w:keepNext w:val="0"/>
        <w:keepLines w:val="0"/>
        <w:spacing w:before="0"/>
        <w:jc w:val="both"/>
        <w:rPr>
          <w:rFonts w:ascii="Book Antiqua" w:hAnsi="Book Antiqua"/>
          <w:color w:val="auto"/>
          <w:sz w:val="23"/>
          <w:szCs w:val="23"/>
          <w:lang w:val="en-GB"/>
        </w:rPr>
      </w:pPr>
      <w:bookmarkStart w:id="14" w:name="_Toc19120775"/>
      <w:r w:rsidRPr="003E3613">
        <w:rPr>
          <w:rFonts w:ascii="Book Antiqua" w:hAnsi="Book Antiqua"/>
          <w:color w:val="auto"/>
          <w:sz w:val="23"/>
          <w:szCs w:val="23"/>
          <w:lang w:val="en-GB"/>
        </w:rPr>
        <w:t>Violation of the right of access to a court (Baka v. Hungary)</w:t>
      </w:r>
      <w:bookmarkEnd w:id="14"/>
    </w:p>
    <w:p w14:paraId="5B8C856F" w14:textId="77777777" w:rsidR="00507F12" w:rsidRPr="003E3613" w:rsidRDefault="00507F12" w:rsidP="00204696">
      <w:pPr>
        <w:spacing w:after="0"/>
        <w:jc w:val="both"/>
        <w:rPr>
          <w:rFonts w:ascii="Book Antiqua" w:hAnsi="Book Antiqua"/>
          <w:i/>
          <w:sz w:val="23"/>
          <w:szCs w:val="23"/>
          <w:lang w:val="en-GB"/>
        </w:rPr>
      </w:pPr>
    </w:p>
    <w:p w14:paraId="38E7E8BD" w14:textId="77777777" w:rsidR="00507F12" w:rsidRPr="003E3613" w:rsidRDefault="00507F12"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C63027" w:rsidRPr="003E3613">
        <w:rPr>
          <w:rFonts w:ascii="Book Antiqua" w:hAnsi="Book Antiqua"/>
          <w:i/>
          <w:sz w:val="23"/>
          <w:szCs w:val="23"/>
          <w:lang w:val="en-GB"/>
        </w:rPr>
        <w:t>17</w:t>
      </w:r>
      <w:r w:rsidRPr="003E3613">
        <w:rPr>
          <w:rFonts w:ascii="Book Antiqua" w:hAnsi="Book Antiqua"/>
          <w:i/>
          <w:sz w:val="23"/>
          <w:szCs w:val="23"/>
          <w:lang w:val="en-GB"/>
        </w:rPr>
        <w:t>) In its judgment of 23 June 2016, Baka v. Hungary, the ECtHR held that there had been a violation of the right of access to a court and the freedom of expression of András Baka, who had been elected as President of the Supreme Court for a six-year term in June 2009, but ceased to have this position in accordance with the transitional provisions in the Fundamental Law, providing that the Curia would be the legal successor to the Supreme Court. The execution of that judgment is still pending</w:t>
      </w:r>
      <w:r w:rsidR="00C63027" w:rsidRPr="003E3613">
        <w:rPr>
          <w:rFonts w:ascii="Book Antiqua" w:hAnsi="Book Antiqua"/>
          <w:i/>
          <w:sz w:val="23"/>
          <w:szCs w:val="23"/>
          <w:lang w:val="en-GB"/>
        </w:rPr>
        <w:t xml:space="preserve">. On 10 March 2017, the Committee of Ministers of the Council of Europe solicited </w:t>
      </w:r>
      <w:r w:rsidRPr="003E3613">
        <w:rPr>
          <w:rFonts w:ascii="Book Antiqua" w:hAnsi="Book Antiqua"/>
          <w:i/>
          <w:sz w:val="23"/>
          <w:szCs w:val="23"/>
          <w:lang w:val="en-GB"/>
        </w:rPr>
        <w:t>to take measures to prevent further premature removals of judges on similar grounds, safeguarding any abuse in this regard.</w:t>
      </w:r>
      <w:r w:rsidR="00C63027" w:rsidRPr="003E3613">
        <w:rPr>
          <w:rFonts w:ascii="Book Antiqua" w:hAnsi="Book Antiqua"/>
          <w:i/>
          <w:sz w:val="23"/>
          <w:szCs w:val="23"/>
          <w:lang w:val="en-GB"/>
        </w:rPr>
        <w:t xml:space="preserve"> The Hungarian Government noted that those measures are not related to the implementation of the judgment.</w:t>
      </w:r>
    </w:p>
    <w:p w14:paraId="33D86657" w14:textId="77777777" w:rsidR="00507F12" w:rsidRPr="003E3613" w:rsidRDefault="00507F12" w:rsidP="00204696">
      <w:pPr>
        <w:spacing w:after="0"/>
        <w:jc w:val="both"/>
        <w:rPr>
          <w:rFonts w:ascii="Book Antiqua" w:hAnsi="Book Antiqua"/>
          <w:i/>
          <w:sz w:val="23"/>
          <w:szCs w:val="23"/>
          <w:lang w:val="en-GB"/>
        </w:rPr>
      </w:pPr>
    </w:p>
    <w:p w14:paraId="0FDADC9E" w14:textId="582C0D21" w:rsidR="00CC378B" w:rsidRPr="003E3613" w:rsidRDefault="0042169A" w:rsidP="00204696">
      <w:pPr>
        <w:pStyle w:val="jupara"/>
        <w:spacing w:line="276" w:lineRule="auto"/>
        <w:ind w:firstLine="0"/>
        <w:rPr>
          <w:rFonts w:ascii="Book Antiqua" w:hAnsi="Book Antiqua"/>
          <w:sz w:val="23"/>
          <w:szCs w:val="23"/>
          <w:lang w:val="en-GB"/>
        </w:rPr>
      </w:pPr>
      <w:r w:rsidRPr="003E3613">
        <w:rPr>
          <w:rFonts w:ascii="Book Antiqua" w:hAnsi="Book Antiqua"/>
          <w:sz w:val="23"/>
          <w:szCs w:val="23"/>
          <w:lang w:val="en-GB"/>
        </w:rPr>
        <w:t xml:space="preserve">In Baka v. Hungary, the </w:t>
      </w:r>
      <w:r w:rsidR="003043F7" w:rsidRPr="003E3613">
        <w:rPr>
          <w:rFonts w:ascii="Book Antiqua" w:hAnsi="Book Antiqua"/>
          <w:sz w:val="23"/>
          <w:szCs w:val="23"/>
          <w:lang w:val="en-GB"/>
        </w:rPr>
        <w:t>European Court of Human Rights found a violation of the freedom of expression of the applicant, former President of the Hungarian Supreme Court, on account of the premature termination of his mandate on 1</w:t>
      </w:r>
      <w:r w:rsidR="003F6C16" w:rsidRPr="003E3613">
        <w:rPr>
          <w:rFonts w:ascii="Book Antiqua" w:hAnsi="Book Antiqua"/>
          <w:sz w:val="23"/>
          <w:szCs w:val="23"/>
          <w:lang w:val="en-GB"/>
        </w:rPr>
        <w:t xml:space="preserve"> </w:t>
      </w:r>
      <w:r w:rsidR="003043F7" w:rsidRPr="003E3613">
        <w:rPr>
          <w:rFonts w:ascii="Book Antiqua" w:hAnsi="Book Antiqua"/>
          <w:sz w:val="23"/>
          <w:szCs w:val="23"/>
          <w:lang w:val="en-GB"/>
        </w:rPr>
        <w:t xml:space="preserve">January 2012 – i.e. three and a half years </w:t>
      </w:r>
      <w:r w:rsidR="00EB5B45" w:rsidRPr="003E3613">
        <w:rPr>
          <w:rFonts w:ascii="Book Antiqua" w:hAnsi="Book Antiqua"/>
          <w:sz w:val="23"/>
          <w:szCs w:val="23"/>
          <w:lang w:val="en-GB"/>
        </w:rPr>
        <w:t xml:space="preserve">prior to </w:t>
      </w:r>
      <w:r w:rsidR="003043F7" w:rsidRPr="003E3613">
        <w:rPr>
          <w:rFonts w:ascii="Book Antiqua" w:hAnsi="Book Antiqua"/>
          <w:sz w:val="23"/>
          <w:szCs w:val="23"/>
          <w:lang w:val="en-GB"/>
        </w:rPr>
        <w:t>its normal date of expiry – as a result of his criticisms of legislative reforms expressed publicly in his professional capacity. The Court also found a violation of the right of access to a court on account of the lack of any form of judicial review in this respect</w:t>
      </w:r>
      <w:r w:rsidR="003F6C16" w:rsidRPr="003E3613">
        <w:rPr>
          <w:rFonts w:ascii="Book Antiqua" w:hAnsi="Book Antiqua"/>
          <w:sz w:val="23"/>
          <w:szCs w:val="23"/>
          <w:lang w:val="en-GB"/>
        </w:rPr>
        <w:t xml:space="preserve">. </w:t>
      </w:r>
      <w:r w:rsidR="003043F7" w:rsidRPr="003E3613">
        <w:rPr>
          <w:rFonts w:ascii="Book Antiqua" w:hAnsi="Book Antiqua"/>
          <w:sz w:val="23"/>
          <w:szCs w:val="23"/>
          <w:lang w:val="en-GB"/>
        </w:rPr>
        <w:t xml:space="preserve">In the course of the execution of the judgment, the Committee of Ministers indicated their expectation to consider — in addition to the payment of just satisfaction in the sum of EUR 100,000 </w:t>
      </w:r>
      <w:r w:rsidR="00E75CF6" w:rsidRPr="003E3613">
        <w:rPr>
          <w:rFonts w:ascii="Book Antiqua" w:hAnsi="Book Antiqua"/>
          <w:sz w:val="23"/>
          <w:szCs w:val="23"/>
          <w:lang w:val="en-GB"/>
        </w:rPr>
        <w:t>(EUR 70,000 to Mr Baka, and EUR 30,000 costs</w:t>
      </w:r>
      <w:r w:rsidR="001F6F2B" w:rsidRPr="003E3613">
        <w:rPr>
          <w:rFonts w:ascii="Book Antiqua" w:hAnsi="Book Antiqua"/>
          <w:sz w:val="23"/>
          <w:szCs w:val="23"/>
          <w:lang w:val="en-GB"/>
        </w:rPr>
        <w:t xml:space="preserve"> </w:t>
      </w:r>
      <w:r w:rsidR="00E75CF6" w:rsidRPr="003E3613">
        <w:rPr>
          <w:rFonts w:ascii="Book Antiqua" w:hAnsi="Book Antiqua"/>
          <w:sz w:val="23"/>
          <w:szCs w:val="23"/>
          <w:lang w:val="en-GB"/>
        </w:rPr>
        <w:t>and</w:t>
      </w:r>
      <w:r w:rsidR="001F6F2B" w:rsidRPr="003E3613">
        <w:rPr>
          <w:rFonts w:ascii="Book Antiqua" w:hAnsi="Book Antiqua"/>
          <w:sz w:val="23"/>
          <w:szCs w:val="23"/>
          <w:lang w:val="en-GB"/>
        </w:rPr>
        <w:t xml:space="preserve"> </w:t>
      </w:r>
      <w:r w:rsidR="00E75CF6" w:rsidRPr="003E3613">
        <w:rPr>
          <w:rFonts w:ascii="Book Antiqua" w:hAnsi="Book Antiqua"/>
          <w:sz w:val="23"/>
          <w:szCs w:val="23"/>
          <w:lang w:val="en-GB"/>
        </w:rPr>
        <w:t>expenses</w:t>
      </w:r>
      <w:r w:rsidR="001F6F2B" w:rsidRPr="003E3613">
        <w:rPr>
          <w:rFonts w:ascii="Book Antiqua" w:hAnsi="Book Antiqua"/>
          <w:sz w:val="23"/>
          <w:szCs w:val="23"/>
          <w:lang w:val="en-GB"/>
        </w:rPr>
        <w:t xml:space="preserve"> </w:t>
      </w:r>
      <w:r w:rsidR="00E75CF6" w:rsidRPr="003E3613">
        <w:rPr>
          <w:rFonts w:ascii="Book Antiqua" w:hAnsi="Book Antiqua"/>
          <w:sz w:val="23"/>
          <w:szCs w:val="23"/>
          <w:lang w:val="en-GB"/>
        </w:rPr>
        <w:t>awarded</w:t>
      </w:r>
      <w:r w:rsidR="001F6F2B" w:rsidRPr="003E3613">
        <w:rPr>
          <w:rFonts w:ascii="Book Antiqua" w:hAnsi="Book Antiqua"/>
          <w:sz w:val="23"/>
          <w:szCs w:val="23"/>
          <w:lang w:val="en-GB"/>
        </w:rPr>
        <w:t xml:space="preserve"> </w:t>
      </w:r>
      <w:r w:rsidR="00E75CF6" w:rsidRPr="003E3613">
        <w:rPr>
          <w:rFonts w:ascii="Book Antiqua" w:hAnsi="Book Antiqua"/>
          <w:sz w:val="23"/>
          <w:szCs w:val="23"/>
          <w:lang w:val="en-GB"/>
        </w:rPr>
        <w:t>to</w:t>
      </w:r>
      <w:r w:rsidR="001F6F2B" w:rsidRPr="003E3613">
        <w:rPr>
          <w:rFonts w:ascii="Book Antiqua" w:hAnsi="Book Antiqua"/>
          <w:sz w:val="23"/>
          <w:szCs w:val="23"/>
          <w:lang w:val="en-GB"/>
        </w:rPr>
        <w:t xml:space="preserve"> </w:t>
      </w:r>
      <w:r w:rsidR="00E75CF6" w:rsidRPr="003E3613">
        <w:rPr>
          <w:rFonts w:ascii="Book Antiqua" w:hAnsi="Book Antiqua"/>
          <w:sz w:val="23"/>
          <w:szCs w:val="23"/>
          <w:lang w:val="en-GB"/>
        </w:rPr>
        <w:t>the Court)</w:t>
      </w:r>
      <w:r w:rsidR="003043F7" w:rsidRPr="003E3613">
        <w:rPr>
          <w:rFonts w:ascii="Book Antiqua" w:hAnsi="Book Antiqua"/>
          <w:sz w:val="23"/>
          <w:szCs w:val="23"/>
          <w:lang w:val="en-GB"/>
        </w:rPr>
        <w:t>—</w:t>
      </w:r>
      <w:r w:rsidR="0015055D" w:rsidRPr="003E3613">
        <w:rPr>
          <w:rFonts w:ascii="Book Antiqua" w:hAnsi="Book Antiqua"/>
          <w:sz w:val="23"/>
          <w:szCs w:val="23"/>
          <w:lang w:val="en-GB"/>
        </w:rPr>
        <w:t xml:space="preserve"> </w:t>
      </w:r>
      <w:r w:rsidR="003043F7" w:rsidRPr="003E3613">
        <w:rPr>
          <w:rFonts w:ascii="Book Antiqua" w:hAnsi="Book Antiqua"/>
          <w:sz w:val="23"/>
          <w:szCs w:val="23"/>
          <w:lang w:val="en-GB"/>
        </w:rPr>
        <w:t>adopt</w:t>
      </w:r>
      <w:r w:rsidR="0015055D" w:rsidRPr="003E3613">
        <w:rPr>
          <w:rFonts w:ascii="Book Antiqua" w:hAnsi="Book Antiqua"/>
          <w:sz w:val="23"/>
          <w:szCs w:val="23"/>
          <w:lang w:val="en-GB"/>
        </w:rPr>
        <w:t>ing</w:t>
      </w:r>
      <w:r w:rsidR="003043F7" w:rsidRPr="003E3613">
        <w:rPr>
          <w:rFonts w:ascii="Book Antiqua" w:hAnsi="Book Antiqua"/>
          <w:sz w:val="23"/>
          <w:szCs w:val="23"/>
          <w:lang w:val="en-GB"/>
        </w:rPr>
        <w:t xml:space="preserve"> further individual and general measures. </w:t>
      </w:r>
    </w:p>
    <w:p w14:paraId="5A4E580A" w14:textId="77777777" w:rsidR="00CC378B" w:rsidRPr="003E3613" w:rsidRDefault="00CC378B" w:rsidP="00204696">
      <w:pPr>
        <w:pStyle w:val="jupara"/>
        <w:spacing w:line="276" w:lineRule="auto"/>
        <w:ind w:firstLine="0"/>
        <w:rPr>
          <w:rFonts w:ascii="Book Antiqua" w:hAnsi="Book Antiqua"/>
          <w:sz w:val="23"/>
          <w:szCs w:val="23"/>
          <w:lang w:val="en-GB"/>
        </w:rPr>
      </w:pPr>
    </w:p>
    <w:p w14:paraId="0A944BC8" w14:textId="77777777" w:rsidR="003043F7" w:rsidRPr="003E3613" w:rsidRDefault="00BA5F0E" w:rsidP="00204696">
      <w:pPr>
        <w:pStyle w:val="jupara"/>
        <w:spacing w:line="276" w:lineRule="auto"/>
        <w:ind w:firstLine="0"/>
        <w:rPr>
          <w:rFonts w:ascii="Book Antiqua" w:hAnsi="Book Antiqua"/>
          <w:sz w:val="23"/>
          <w:szCs w:val="23"/>
          <w:lang w:val="en-GB"/>
        </w:rPr>
      </w:pPr>
      <w:r w:rsidRPr="003E3613">
        <w:rPr>
          <w:rFonts w:ascii="Book Antiqua" w:hAnsi="Book Antiqua"/>
          <w:sz w:val="23"/>
          <w:szCs w:val="23"/>
          <w:lang w:val="en-GB"/>
        </w:rPr>
        <w:t xml:space="preserve">The </w:t>
      </w:r>
      <w:r w:rsidR="00CC378B" w:rsidRPr="003E3613">
        <w:rPr>
          <w:rFonts w:ascii="Book Antiqua" w:hAnsi="Book Antiqua"/>
          <w:sz w:val="23"/>
          <w:szCs w:val="23"/>
          <w:lang w:val="en-GB"/>
        </w:rPr>
        <w:t xml:space="preserve">Hungarian Government considers that the measures adopted have fully remedied the consequences for the applicant of the violation found by the </w:t>
      </w:r>
      <w:r w:rsidRPr="003E3613">
        <w:rPr>
          <w:rFonts w:ascii="Book Antiqua" w:hAnsi="Book Antiqua"/>
          <w:sz w:val="23"/>
          <w:szCs w:val="23"/>
          <w:lang w:val="en-GB"/>
        </w:rPr>
        <w:t>E</w:t>
      </w:r>
      <w:r w:rsidR="00CC378B" w:rsidRPr="003E3613">
        <w:rPr>
          <w:rFonts w:ascii="Book Antiqua" w:hAnsi="Book Antiqua"/>
          <w:sz w:val="23"/>
          <w:szCs w:val="23"/>
          <w:lang w:val="en-GB"/>
        </w:rPr>
        <w:t>C</w:t>
      </w:r>
      <w:r w:rsidRPr="003E3613">
        <w:rPr>
          <w:rFonts w:ascii="Book Antiqua" w:hAnsi="Book Antiqua"/>
          <w:sz w:val="23"/>
          <w:szCs w:val="23"/>
          <w:lang w:val="en-GB"/>
        </w:rPr>
        <w:t xml:space="preserve">tHR </w:t>
      </w:r>
      <w:r w:rsidR="00CC378B" w:rsidRPr="003E3613">
        <w:rPr>
          <w:rFonts w:ascii="Book Antiqua" w:hAnsi="Book Antiqua"/>
          <w:sz w:val="23"/>
          <w:szCs w:val="23"/>
          <w:lang w:val="en-GB"/>
        </w:rPr>
        <w:t xml:space="preserve">in this case and that Hungary has thus complied with its obligations under Article 46, paragraph 1 of the Convention, no further </w:t>
      </w:r>
      <w:r w:rsidR="003043F7" w:rsidRPr="003E3613">
        <w:rPr>
          <w:rFonts w:ascii="Book Antiqua" w:hAnsi="Book Antiqua"/>
          <w:sz w:val="23"/>
          <w:szCs w:val="23"/>
          <w:lang w:val="en-GB"/>
        </w:rPr>
        <w:t>measures are necessary. There is no need or possibility for the applicant’s reinstatement in his former office because his original term of office had already expired before the judgment was delivered</w:t>
      </w:r>
      <w:r w:rsidR="00433856" w:rsidRPr="003E3613">
        <w:rPr>
          <w:rFonts w:ascii="Book Antiqua" w:hAnsi="Book Antiqua"/>
          <w:sz w:val="23"/>
          <w:szCs w:val="23"/>
          <w:lang w:val="en-GB"/>
        </w:rPr>
        <w:t xml:space="preserve"> and this is not </w:t>
      </w:r>
      <w:r w:rsidRPr="003E3613">
        <w:rPr>
          <w:rFonts w:ascii="Book Antiqua" w:hAnsi="Book Antiqua"/>
          <w:sz w:val="23"/>
          <w:szCs w:val="23"/>
          <w:lang w:val="en-GB"/>
        </w:rPr>
        <w:t xml:space="preserve">even </w:t>
      </w:r>
      <w:r w:rsidR="00433856" w:rsidRPr="003E3613">
        <w:rPr>
          <w:rFonts w:ascii="Book Antiqua" w:hAnsi="Book Antiqua"/>
          <w:sz w:val="23"/>
          <w:szCs w:val="23"/>
          <w:lang w:val="en-GB"/>
        </w:rPr>
        <w:t>required by the judgement of the Court</w:t>
      </w:r>
      <w:r w:rsidRPr="003E3613">
        <w:rPr>
          <w:rFonts w:ascii="Book Antiqua" w:hAnsi="Book Antiqua"/>
          <w:sz w:val="23"/>
          <w:szCs w:val="23"/>
          <w:lang w:val="en-GB"/>
        </w:rPr>
        <w:t>, either</w:t>
      </w:r>
      <w:r w:rsidR="00433856" w:rsidRPr="003E3613">
        <w:rPr>
          <w:rFonts w:ascii="Book Antiqua" w:hAnsi="Book Antiqua"/>
          <w:sz w:val="23"/>
          <w:szCs w:val="23"/>
          <w:lang w:val="en-GB"/>
        </w:rPr>
        <w:t>.</w:t>
      </w:r>
      <w:r w:rsidR="003043F7" w:rsidRPr="003E3613">
        <w:rPr>
          <w:rFonts w:ascii="Book Antiqua" w:hAnsi="Book Antiqua"/>
          <w:sz w:val="23"/>
          <w:szCs w:val="23"/>
          <w:lang w:val="en-GB"/>
        </w:rPr>
        <w:t xml:space="preserve"> In any event, the position of the President of the Kúria is not vacant and </w:t>
      </w:r>
      <w:r w:rsidR="004B1889" w:rsidRPr="003E3613">
        <w:rPr>
          <w:rFonts w:ascii="Book Antiqua" w:hAnsi="Book Antiqua"/>
          <w:sz w:val="23"/>
          <w:szCs w:val="23"/>
          <w:lang w:val="en-GB"/>
        </w:rPr>
        <w:t xml:space="preserve">the </w:t>
      </w:r>
      <w:r w:rsidR="003043F7" w:rsidRPr="003E3613">
        <w:rPr>
          <w:rFonts w:ascii="Book Antiqua" w:hAnsi="Book Antiqua"/>
          <w:sz w:val="23"/>
          <w:szCs w:val="23"/>
          <w:lang w:val="en-GB"/>
        </w:rPr>
        <w:t xml:space="preserve">mandate will not expire until January 2021. At that time, the applicant will be eligible for re-election, the requirement of at least five years of domestic judicial service no longer being an impediment for him. As regards any financial consequences of the premature termination of the applicant’s mandate, </w:t>
      </w:r>
      <w:r w:rsidR="003043F7" w:rsidRPr="003E3613">
        <w:rPr>
          <w:rFonts w:ascii="Book Antiqua" w:hAnsi="Book Antiqua"/>
          <w:i/>
          <w:sz w:val="23"/>
          <w:szCs w:val="23"/>
          <w:lang w:val="en-GB"/>
        </w:rPr>
        <w:t>in integrum</w:t>
      </w:r>
      <w:r w:rsidR="003043F7" w:rsidRPr="003E3613">
        <w:rPr>
          <w:rFonts w:ascii="Book Antiqua" w:hAnsi="Book Antiqua"/>
          <w:sz w:val="23"/>
          <w:szCs w:val="23"/>
          <w:lang w:val="en-GB"/>
        </w:rPr>
        <w:t xml:space="preserve"> </w:t>
      </w:r>
      <w:r w:rsidR="00522CE5" w:rsidRPr="003E3613">
        <w:rPr>
          <w:rFonts w:ascii="Book Antiqua" w:hAnsi="Book Antiqua"/>
          <w:i/>
          <w:sz w:val="23"/>
          <w:szCs w:val="23"/>
          <w:lang w:val="en-GB"/>
        </w:rPr>
        <w:t xml:space="preserve">restitutio </w:t>
      </w:r>
      <w:r w:rsidR="003043F7" w:rsidRPr="003E3613">
        <w:rPr>
          <w:rFonts w:ascii="Book Antiqua" w:hAnsi="Book Antiqua"/>
          <w:sz w:val="23"/>
          <w:szCs w:val="23"/>
          <w:lang w:val="en-GB"/>
        </w:rPr>
        <w:t xml:space="preserve">was provided by the just satisfaction awarded by the Court. </w:t>
      </w:r>
    </w:p>
    <w:p w14:paraId="762BEA74" w14:textId="77777777" w:rsidR="003043F7" w:rsidRPr="003E3613" w:rsidRDefault="003043F7" w:rsidP="00204696">
      <w:pPr>
        <w:spacing w:after="0"/>
        <w:jc w:val="both"/>
        <w:rPr>
          <w:rFonts w:ascii="Book Antiqua" w:hAnsi="Book Antiqua" w:cs="Times New Roman"/>
          <w:sz w:val="23"/>
          <w:szCs w:val="23"/>
          <w:lang w:val="en-GB"/>
        </w:rPr>
      </w:pPr>
    </w:p>
    <w:p w14:paraId="0DCE6A31" w14:textId="77777777" w:rsidR="00B571D8" w:rsidRPr="003E3613" w:rsidRDefault="003043F7" w:rsidP="00204696">
      <w:pPr>
        <w:spacing w:after="0"/>
        <w:jc w:val="both"/>
        <w:rPr>
          <w:rFonts w:ascii="Book Antiqua" w:hAnsi="Book Antiqua"/>
          <w:sz w:val="23"/>
          <w:szCs w:val="23"/>
          <w:lang w:val="en-GB"/>
        </w:rPr>
      </w:pPr>
      <w:r w:rsidRPr="003E3613">
        <w:rPr>
          <w:rFonts w:ascii="Book Antiqua" w:hAnsi="Book Antiqua" w:cs="Times New Roman"/>
          <w:sz w:val="23"/>
          <w:szCs w:val="23"/>
          <w:lang w:val="en-GB"/>
        </w:rPr>
        <w:t xml:space="preserve">No further general measures were found necessary because the violation found by the Court resulted from a one-time constitutional reform of the Hungarian judicial system. </w:t>
      </w:r>
      <w:r w:rsidRPr="003E3613">
        <w:rPr>
          <w:rStyle w:val="sdfc50a6a"/>
          <w:rFonts w:ascii="Book Antiqua" w:hAnsi="Book Antiqua" w:cs="Times New Roman"/>
          <w:sz w:val="23"/>
          <w:szCs w:val="23"/>
          <w:lang w:val="en-GB"/>
        </w:rPr>
        <w:t>As regards the general measures solicited by the Committee of Ministers’ decision of 10</w:t>
      </w:r>
      <w:r w:rsidR="003F6C16" w:rsidRPr="003E3613">
        <w:rPr>
          <w:rStyle w:val="sdfc50a6a"/>
          <w:rFonts w:ascii="Book Antiqua" w:hAnsi="Book Antiqua" w:cs="Times New Roman"/>
          <w:sz w:val="23"/>
          <w:szCs w:val="23"/>
          <w:lang w:val="en-GB"/>
        </w:rPr>
        <w:t xml:space="preserve"> </w:t>
      </w:r>
      <w:r w:rsidRPr="003E3613">
        <w:rPr>
          <w:rStyle w:val="sdfc50a6a"/>
          <w:rFonts w:ascii="Book Antiqua" w:hAnsi="Book Antiqua" w:cs="Times New Roman"/>
          <w:sz w:val="23"/>
          <w:szCs w:val="23"/>
          <w:lang w:val="en-GB"/>
        </w:rPr>
        <w:t>March 2017 the Government emphasise</w:t>
      </w:r>
      <w:r w:rsidR="003F6C16" w:rsidRPr="003E3613">
        <w:rPr>
          <w:rStyle w:val="sdfc50a6a"/>
          <w:rFonts w:ascii="Book Antiqua" w:hAnsi="Book Antiqua" w:cs="Times New Roman"/>
          <w:sz w:val="23"/>
          <w:szCs w:val="23"/>
          <w:lang w:val="en-GB"/>
        </w:rPr>
        <w:t>s</w:t>
      </w:r>
      <w:r w:rsidRPr="003E3613">
        <w:rPr>
          <w:rStyle w:val="sdfc50a6a"/>
          <w:rFonts w:ascii="Book Antiqua" w:hAnsi="Book Antiqua" w:cs="Times New Roman"/>
          <w:sz w:val="23"/>
          <w:szCs w:val="23"/>
          <w:lang w:val="en-GB"/>
        </w:rPr>
        <w:t xml:space="preserve"> that those measures are not related to the implementation of the present judgment since the existence of those guarantees (as regards all Hungarian judges other than the president of the Supreme Court) </w:t>
      </w:r>
      <w:r w:rsidR="00052B15" w:rsidRPr="003E3613">
        <w:rPr>
          <w:rStyle w:val="sdfc50a6a"/>
          <w:rFonts w:ascii="Book Antiqua" w:hAnsi="Book Antiqua" w:cs="Times New Roman"/>
          <w:sz w:val="23"/>
          <w:szCs w:val="23"/>
          <w:lang w:val="en-GB"/>
        </w:rPr>
        <w:t xml:space="preserve">have </w:t>
      </w:r>
      <w:r w:rsidRPr="003E3613">
        <w:rPr>
          <w:rStyle w:val="sdfc50a6a"/>
          <w:rFonts w:ascii="Book Antiqua" w:hAnsi="Book Antiqua" w:cs="Times New Roman"/>
          <w:sz w:val="23"/>
          <w:szCs w:val="23"/>
          <w:lang w:val="en-GB"/>
        </w:rPr>
        <w:t xml:space="preserve">never been called into question by the </w:t>
      </w:r>
      <w:r w:rsidRPr="003E3613">
        <w:rPr>
          <w:rStyle w:val="sdfc50a6a"/>
          <w:rFonts w:ascii="Book Antiqua" w:hAnsi="Book Antiqua" w:cs="Times New Roman"/>
          <w:sz w:val="23"/>
          <w:szCs w:val="23"/>
          <w:lang w:val="en-GB"/>
        </w:rPr>
        <w:lastRenderedPageBreak/>
        <w:t xml:space="preserve">Court. Quite the contrary, the basis for finding that the </w:t>
      </w:r>
      <w:r w:rsidRPr="003E3613">
        <w:rPr>
          <w:rStyle w:val="sdfc50a6a"/>
          <w:rFonts w:ascii="Book Antiqua" w:hAnsi="Book Antiqua" w:cs="Times New Roman"/>
          <w:i/>
          <w:sz w:val="23"/>
          <w:szCs w:val="23"/>
          <w:lang w:val="en-GB"/>
        </w:rPr>
        <w:t>Eskelinen-test</w:t>
      </w:r>
      <w:r w:rsidR="001330E6" w:rsidRPr="003E3613">
        <w:rPr>
          <w:rStyle w:val="FootnoteReference"/>
          <w:rFonts w:ascii="Book Antiqua" w:hAnsi="Book Antiqua" w:cs="Times New Roman"/>
          <w:sz w:val="23"/>
          <w:szCs w:val="23"/>
          <w:lang w:val="en-GB"/>
        </w:rPr>
        <w:footnoteReference w:id="16"/>
      </w:r>
      <w:r w:rsidRPr="003E3613">
        <w:rPr>
          <w:rStyle w:val="sdfc50a6a"/>
          <w:rFonts w:ascii="Book Antiqua" w:hAnsi="Book Antiqua" w:cs="Times New Roman"/>
          <w:sz w:val="23"/>
          <w:szCs w:val="23"/>
          <w:lang w:val="en-GB"/>
        </w:rPr>
        <w:t xml:space="preserve"> was not met in the present case was exactly that, regardless of the unique constitutional status of the President of the Supreme Court within the judiciary, other judges and court executives were not excluded from the right of access to a court in case of their dismissal. As the Grand Chamber found in its judgment: „th</w:t>
      </w:r>
      <w:r w:rsidRPr="003E3613">
        <w:rPr>
          <w:rFonts w:ascii="Book Antiqua" w:hAnsi="Book Antiqua" w:cs="Times New Roman"/>
          <w:sz w:val="23"/>
          <w:szCs w:val="23"/>
          <w:lang w:val="en-GB"/>
        </w:rPr>
        <w:t>e applicant, as the holder of the office in question in the period before the dispute arose, was not “expressly” excluded from the right of access to a court. On the contrary, domestic law expressly provided for the right to a court in those limited circumstances in which the dismissal of a court executive was permissible: the dismissed court executive was indeed entitled to contest his or her dismissal before the</w:t>
      </w:r>
      <w:r w:rsidR="0021562C" w:rsidRPr="003E3613">
        <w:rPr>
          <w:rFonts w:ascii="Book Antiqua" w:hAnsi="Book Antiqua" w:cs="Times New Roman"/>
          <w:sz w:val="23"/>
          <w:szCs w:val="23"/>
          <w:lang w:val="en-GB"/>
        </w:rPr>
        <w:t xml:space="preserve"> Civil</w:t>
      </w:r>
      <w:r w:rsidRPr="003E3613">
        <w:rPr>
          <w:rFonts w:ascii="Book Antiqua" w:hAnsi="Book Antiqua" w:cs="Times New Roman"/>
          <w:sz w:val="23"/>
          <w:szCs w:val="23"/>
          <w:lang w:val="en-GB"/>
        </w:rPr>
        <w:t xml:space="preserve"> Service Tribunal</w:t>
      </w:r>
      <w:r w:rsidR="003F6C16" w:rsidRPr="003E3613">
        <w:rPr>
          <w:rFonts w:ascii="Book Antiqua" w:hAnsi="Book Antiqua" w:cs="Times New Roman"/>
          <w:sz w:val="23"/>
          <w:szCs w:val="23"/>
          <w:lang w:val="en-GB"/>
        </w:rPr>
        <w:t xml:space="preserve">. </w:t>
      </w:r>
      <w:r w:rsidRPr="003E3613">
        <w:rPr>
          <w:rFonts w:ascii="Book Antiqua" w:hAnsi="Book Antiqua"/>
          <w:sz w:val="23"/>
          <w:szCs w:val="23"/>
          <w:lang w:val="en-GB"/>
        </w:rPr>
        <w:t>In this respect, judicial protection was available under domestic law for cases of dismissal, in line with the international and Council of Europe standards on the independence of the judiciary and the procedural safeguards applicabl</w:t>
      </w:r>
      <w:r w:rsidR="003F6C16" w:rsidRPr="003E3613">
        <w:rPr>
          <w:rFonts w:ascii="Book Antiqua" w:hAnsi="Book Antiqua"/>
          <w:sz w:val="23"/>
          <w:szCs w:val="23"/>
          <w:lang w:val="en-GB"/>
        </w:rPr>
        <w:t>e in cases of removal of judges.</w:t>
      </w:r>
      <w:r w:rsidR="002744E0" w:rsidRPr="003E3613">
        <w:rPr>
          <w:rFonts w:ascii="Book Antiqua" w:hAnsi="Book Antiqua"/>
          <w:sz w:val="23"/>
          <w:szCs w:val="23"/>
          <w:lang w:val="en-GB"/>
        </w:rPr>
        <w:t xml:space="preserve"> </w:t>
      </w:r>
      <w:r w:rsidR="00B571D8" w:rsidRPr="003E3613">
        <w:rPr>
          <w:rFonts w:ascii="Book Antiqua" w:hAnsi="Book Antiqua"/>
          <w:sz w:val="23"/>
          <w:szCs w:val="23"/>
          <w:lang w:val="en-GB"/>
        </w:rPr>
        <w:t xml:space="preserve">Mr Baka </w:t>
      </w:r>
      <w:r w:rsidR="00286687" w:rsidRPr="003E3613">
        <w:rPr>
          <w:rFonts w:ascii="Book Antiqua" w:hAnsi="Book Antiqua"/>
          <w:sz w:val="23"/>
          <w:szCs w:val="23"/>
          <w:lang w:val="en-GB"/>
        </w:rPr>
        <w:t xml:space="preserve">currently </w:t>
      </w:r>
      <w:r w:rsidR="00B571D8" w:rsidRPr="003E3613">
        <w:rPr>
          <w:rFonts w:ascii="Book Antiqua" w:hAnsi="Book Antiqua"/>
          <w:sz w:val="23"/>
          <w:szCs w:val="23"/>
          <w:lang w:val="en-GB"/>
        </w:rPr>
        <w:t>work</w:t>
      </w:r>
      <w:r w:rsidR="00286687" w:rsidRPr="003E3613">
        <w:rPr>
          <w:rFonts w:ascii="Book Antiqua" w:hAnsi="Book Antiqua"/>
          <w:sz w:val="23"/>
          <w:szCs w:val="23"/>
          <w:lang w:val="en-GB"/>
        </w:rPr>
        <w:t xml:space="preserve">s </w:t>
      </w:r>
      <w:r w:rsidR="00B571D8" w:rsidRPr="003E3613">
        <w:rPr>
          <w:rFonts w:ascii="Book Antiqua" w:hAnsi="Book Antiqua"/>
          <w:sz w:val="23"/>
          <w:szCs w:val="23"/>
          <w:lang w:val="en-GB"/>
        </w:rPr>
        <w:t>as a</w:t>
      </w:r>
      <w:r w:rsidR="00286687" w:rsidRPr="003E3613">
        <w:rPr>
          <w:rFonts w:ascii="Book Antiqua" w:hAnsi="Book Antiqua"/>
          <w:sz w:val="23"/>
          <w:szCs w:val="23"/>
          <w:lang w:val="en-GB"/>
        </w:rPr>
        <w:t xml:space="preserve"> President of Chamber judge </w:t>
      </w:r>
      <w:r w:rsidR="00671D98" w:rsidRPr="003E3613">
        <w:rPr>
          <w:rFonts w:ascii="Book Antiqua" w:hAnsi="Book Antiqua"/>
          <w:sz w:val="23"/>
          <w:szCs w:val="23"/>
          <w:lang w:val="en-GB"/>
        </w:rPr>
        <w:t xml:space="preserve">at the </w:t>
      </w:r>
      <w:r w:rsidR="00052B15" w:rsidRPr="003E3613">
        <w:rPr>
          <w:rFonts w:ascii="Book Antiqua" w:hAnsi="Book Antiqua"/>
          <w:sz w:val="23"/>
          <w:szCs w:val="23"/>
          <w:lang w:val="en-GB"/>
        </w:rPr>
        <w:t>Kúria as his judicial office has never been terminated</w:t>
      </w:r>
      <w:r w:rsidR="00B824CD" w:rsidRPr="003E3613">
        <w:rPr>
          <w:rFonts w:ascii="Book Antiqua" w:hAnsi="Book Antiqua"/>
          <w:sz w:val="23"/>
          <w:szCs w:val="23"/>
          <w:lang w:val="en-GB"/>
        </w:rPr>
        <w:t xml:space="preserve"> (only his executive office)</w:t>
      </w:r>
      <w:r w:rsidR="00B571D8" w:rsidRPr="003E3613">
        <w:rPr>
          <w:rFonts w:ascii="Book Antiqua" w:hAnsi="Book Antiqua"/>
          <w:sz w:val="23"/>
          <w:szCs w:val="23"/>
          <w:lang w:val="en-GB"/>
        </w:rPr>
        <w:t xml:space="preserve">. </w:t>
      </w:r>
    </w:p>
    <w:p w14:paraId="42CC8BA1" w14:textId="77777777" w:rsidR="003043F7" w:rsidRPr="003E3613" w:rsidRDefault="003043F7" w:rsidP="00204696">
      <w:pPr>
        <w:pStyle w:val="s32b251d"/>
        <w:spacing w:before="0" w:beforeAutospacing="0" w:after="0" w:afterAutospacing="0" w:line="276" w:lineRule="auto"/>
        <w:jc w:val="both"/>
        <w:rPr>
          <w:rFonts w:ascii="Book Antiqua" w:hAnsi="Book Antiqua"/>
          <w:sz w:val="23"/>
          <w:szCs w:val="23"/>
          <w:lang w:val="en-GB"/>
        </w:rPr>
      </w:pPr>
    </w:p>
    <w:p w14:paraId="4D86A6AF" w14:textId="77777777" w:rsidR="00053185" w:rsidRDefault="003043F7" w:rsidP="00204696">
      <w:pPr>
        <w:pStyle w:val="s32b251d"/>
        <w:spacing w:before="0" w:beforeAutospacing="0" w:after="0" w:afterAutospacing="0" w:line="276" w:lineRule="auto"/>
        <w:jc w:val="both"/>
        <w:rPr>
          <w:rFonts w:ascii="Book Antiqua" w:hAnsi="Book Antiqua"/>
          <w:sz w:val="23"/>
          <w:szCs w:val="23"/>
          <w:lang w:val="en-GB"/>
        </w:rPr>
      </w:pPr>
      <w:r w:rsidRPr="003E3613">
        <w:rPr>
          <w:rFonts w:ascii="Book Antiqua" w:hAnsi="Book Antiqua"/>
          <w:sz w:val="23"/>
          <w:szCs w:val="23"/>
          <w:lang w:val="en-GB"/>
        </w:rPr>
        <w:t>As regards the prevention of a similar premature termination of the office of the President of the Kúria under the law currently in force, the judgment in the present case</w:t>
      </w:r>
    </w:p>
    <w:p w14:paraId="69D3A9BC" w14:textId="77777777" w:rsidR="00053185" w:rsidRDefault="00053185">
      <w:pPr>
        <w:rPr>
          <w:rFonts w:ascii="Book Antiqua" w:eastAsia="Times New Roman" w:hAnsi="Book Antiqua" w:cs="Times New Roman"/>
          <w:sz w:val="23"/>
          <w:szCs w:val="23"/>
          <w:lang w:val="en-GB"/>
        </w:rPr>
      </w:pPr>
      <w:r>
        <w:rPr>
          <w:rFonts w:ascii="Book Antiqua" w:hAnsi="Book Antiqua"/>
          <w:sz w:val="23"/>
          <w:szCs w:val="23"/>
          <w:lang w:val="en-GB"/>
        </w:rPr>
        <w:br w:type="page"/>
      </w:r>
    </w:p>
    <w:p w14:paraId="3C15714F" w14:textId="78E95E33" w:rsidR="002E561C" w:rsidRPr="003E3613" w:rsidRDefault="003043F7" w:rsidP="00204696">
      <w:pPr>
        <w:pStyle w:val="s32b251d"/>
        <w:spacing w:before="0" w:beforeAutospacing="0" w:after="0" w:afterAutospacing="0" w:line="276" w:lineRule="auto"/>
        <w:jc w:val="both"/>
        <w:rPr>
          <w:rFonts w:ascii="Book Antiqua" w:hAnsi="Book Antiqua"/>
          <w:sz w:val="23"/>
          <w:szCs w:val="23"/>
          <w:lang w:val="en-GB"/>
        </w:rPr>
      </w:pPr>
      <w:r w:rsidRPr="003E3613">
        <w:rPr>
          <w:rFonts w:ascii="Book Antiqua" w:hAnsi="Book Antiqua"/>
          <w:sz w:val="23"/>
          <w:szCs w:val="23"/>
          <w:lang w:val="en-GB"/>
        </w:rPr>
        <w:lastRenderedPageBreak/>
        <w:t xml:space="preserve">does not require that rules governing such termination be adopted, it follows only that Hungary should refrain from such premature termination when the next major constitutional reform of the judicial system takes place. </w:t>
      </w:r>
    </w:p>
    <w:p w14:paraId="1DA8CB07" w14:textId="77777777" w:rsidR="00685D2A" w:rsidRPr="003E3613" w:rsidRDefault="00685D2A" w:rsidP="00204696">
      <w:pPr>
        <w:pStyle w:val="s32b251d"/>
        <w:spacing w:before="0" w:beforeAutospacing="0" w:after="0" w:afterAutospacing="0" w:line="276" w:lineRule="auto"/>
        <w:jc w:val="both"/>
        <w:rPr>
          <w:rFonts w:ascii="Book Antiqua" w:hAnsi="Book Antiqua"/>
          <w:sz w:val="23"/>
          <w:szCs w:val="23"/>
          <w:lang w:val="en-GB"/>
        </w:rPr>
      </w:pPr>
    </w:p>
    <w:p w14:paraId="6F819186" w14:textId="77777777" w:rsidR="00685D2A" w:rsidRPr="003E3613" w:rsidRDefault="00685D2A" w:rsidP="00204696">
      <w:pPr>
        <w:jc w:val="both"/>
        <w:rPr>
          <w:rFonts w:ascii="Book Antiqua" w:hAnsi="Book Antiqua"/>
          <w:sz w:val="23"/>
          <w:szCs w:val="23"/>
          <w:lang w:val="en-GB"/>
        </w:rPr>
      </w:pPr>
      <w:r w:rsidRPr="003E3613">
        <w:rPr>
          <w:rFonts w:ascii="Book Antiqua" w:hAnsi="Book Antiqua"/>
          <w:sz w:val="23"/>
          <w:szCs w:val="23"/>
          <w:lang w:val="en-GB"/>
        </w:rPr>
        <w:t xml:space="preserve">The </w:t>
      </w:r>
      <w:r w:rsidRPr="003E3613">
        <w:rPr>
          <w:rFonts w:ascii="Book Antiqua" w:hAnsi="Book Antiqua"/>
          <w:i/>
          <w:sz w:val="23"/>
          <w:szCs w:val="23"/>
          <w:lang w:val="en-GB"/>
        </w:rPr>
        <w:t>Eskelinen-test</w:t>
      </w:r>
      <w:r w:rsidRPr="003E3613">
        <w:rPr>
          <w:rFonts w:ascii="Book Antiqua" w:hAnsi="Book Antiqua"/>
          <w:sz w:val="23"/>
          <w:szCs w:val="23"/>
          <w:lang w:val="en-GB"/>
        </w:rPr>
        <w:t xml:space="preserve"> </w:t>
      </w:r>
      <w:r w:rsidR="00C34625" w:rsidRPr="003E3613">
        <w:rPr>
          <w:rFonts w:ascii="Book Antiqua" w:hAnsi="Book Antiqua"/>
          <w:sz w:val="23"/>
          <w:szCs w:val="23"/>
          <w:lang w:val="en-GB"/>
        </w:rPr>
        <w:t xml:space="preserve">(see above) </w:t>
      </w:r>
      <w:r w:rsidRPr="003E3613">
        <w:rPr>
          <w:rFonts w:ascii="Book Antiqua" w:hAnsi="Book Antiqua"/>
          <w:sz w:val="23"/>
          <w:szCs w:val="23"/>
          <w:lang w:val="en-GB"/>
        </w:rPr>
        <w:t>was not overruled in the Baka case, and contrary to the Chamber’s judgment, the Grand Chamber’s judgment did not even imply that the functions of the President of the Supreme Court were not related to the exercise of sovereign state powers closely enough to justify his exclusion from the right of access to court on account of his dismissal from his executive position being an issue of public law rather than that of civil law. Therefore</w:t>
      </w:r>
      <w:r w:rsidR="00BA5F0E" w:rsidRPr="003E3613">
        <w:rPr>
          <w:rFonts w:ascii="Book Antiqua" w:hAnsi="Book Antiqua"/>
          <w:sz w:val="23"/>
          <w:szCs w:val="23"/>
          <w:lang w:val="en-GB"/>
        </w:rPr>
        <w:t xml:space="preserve">, </w:t>
      </w:r>
      <w:r w:rsidRPr="003E3613">
        <w:rPr>
          <w:rFonts w:ascii="Book Antiqua" w:hAnsi="Book Antiqua"/>
          <w:sz w:val="23"/>
          <w:szCs w:val="23"/>
          <w:lang w:val="en-GB"/>
        </w:rPr>
        <w:t xml:space="preserve">the President of the Kúria can be excluded from the right of access to court in accordance with Article 6 of the Convention as long as his exclusion is provided for “expressly” and prior to the actual dismissal. Whereas the Court’s judgment indeed implied that it would not regard the exclusion of all judges from the right of access to court in respect of their dismissals from their judicial service to be in conformity with the second condition of the </w:t>
      </w:r>
      <w:r w:rsidR="00522CE5" w:rsidRPr="003E3613">
        <w:rPr>
          <w:rFonts w:ascii="Book Antiqua" w:hAnsi="Book Antiqua"/>
          <w:i/>
          <w:sz w:val="23"/>
          <w:szCs w:val="23"/>
          <w:lang w:val="en-GB"/>
        </w:rPr>
        <w:t>Eskelinen-</w:t>
      </w:r>
      <w:r w:rsidRPr="003E3613">
        <w:rPr>
          <w:rFonts w:ascii="Book Antiqua" w:hAnsi="Book Antiqua"/>
          <w:i/>
          <w:sz w:val="23"/>
          <w:szCs w:val="23"/>
          <w:lang w:val="en-GB"/>
        </w:rPr>
        <w:t>test</w:t>
      </w:r>
      <w:r w:rsidRPr="003E3613">
        <w:rPr>
          <w:rFonts w:ascii="Book Antiqua" w:hAnsi="Book Antiqua"/>
          <w:sz w:val="23"/>
          <w:szCs w:val="23"/>
          <w:lang w:val="en-GB"/>
        </w:rPr>
        <w:t xml:space="preserve"> and thus with Article 6 (although such exclusion had been accepted in cases concerning disciplinary proceedings against judges in Turkey), the Court did not suggest that court executives cannot be excluded from access to court in respect of termination of their executive mandates.</w:t>
      </w:r>
    </w:p>
    <w:p w14:paraId="58B8B48B" w14:textId="77777777" w:rsidR="00685D2A" w:rsidRPr="003E3613" w:rsidRDefault="00685D2A" w:rsidP="00204696">
      <w:pPr>
        <w:jc w:val="both"/>
        <w:rPr>
          <w:rFonts w:ascii="Book Antiqua" w:hAnsi="Book Antiqua"/>
          <w:sz w:val="23"/>
          <w:szCs w:val="23"/>
          <w:lang w:val="en-GB"/>
        </w:rPr>
      </w:pPr>
      <w:r w:rsidRPr="003E3613">
        <w:rPr>
          <w:rFonts w:ascii="Book Antiqua" w:hAnsi="Book Antiqua"/>
          <w:sz w:val="23"/>
          <w:szCs w:val="23"/>
          <w:lang w:val="en-GB"/>
        </w:rPr>
        <w:t xml:space="preserve">Nevertheless, Hungarian law does not exclude all court executives from that right. Neither is the President of the Kúria excluded from the right of judges of access to the Service Tribunal in disputes concerning their judicial service. However, contrary to the provisions of Act </w:t>
      </w:r>
      <w:r w:rsidR="00B12299" w:rsidRPr="003E3613">
        <w:rPr>
          <w:rFonts w:ascii="Book Antiqua" w:hAnsi="Book Antiqua"/>
          <w:sz w:val="23"/>
          <w:szCs w:val="23"/>
          <w:lang w:val="en-GB"/>
        </w:rPr>
        <w:t>N</w:t>
      </w:r>
      <w:r w:rsidRPr="003E3613">
        <w:rPr>
          <w:rFonts w:ascii="Book Antiqua" w:hAnsi="Book Antiqua"/>
          <w:sz w:val="23"/>
          <w:szCs w:val="23"/>
          <w:lang w:val="en-GB"/>
        </w:rPr>
        <w:t xml:space="preserve">o. LXVI of 1997 on the organisation and management of the judiciary as they were in force at the time of Mr. Baka’s presidency of the Supreme Court which did not distinguish between various categories of court executives, Act </w:t>
      </w:r>
      <w:r w:rsidR="00B12299" w:rsidRPr="003E3613">
        <w:rPr>
          <w:rFonts w:ascii="Book Antiqua" w:hAnsi="Book Antiqua"/>
          <w:sz w:val="23"/>
          <w:szCs w:val="23"/>
          <w:lang w:val="en-GB"/>
        </w:rPr>
        <w:t>N</w:t>
      </w:r>
      <w:r w:rsidRPr="003E3613">
        <w:rPr>
          <w:rFonts w:ascii="Book Antiqua" w:hAnsi="Book Antiqua"/>
          <w:sz w:val="23"/>
          <w:szCs w:val="23"/>
          <w:lang w:val="en-GB"/>
        </w:rPr>
        <w:t xml:space="preserve">o. CLXI of 2011 on the organisation and management of the judiciary as in force today </w:t>
      </w:r>
      <w:r w:rsidR="00B824CD" w:rsidRPr="003E3613">
        <w:rPr>
          <w:rFonts w:ascii="Book Antiqua" w:hAnsi="Book Antiqua"/>
          <w:sz w:val="23"/>
          <w:szCs w:val="23"/>
          <w:lang w:val="en-GB"/>
        </w:rPr>
        <w:t xml:space="preserve">does </w:t>
      </w:r>
      <w:r w:rsidRPr="003E3613">
        <w:rPr>
          <w:rFonts w:ascii="Book Antiqua" w:hAnsi="Book Antiqua"/>
          <w:sz w:val="23"/>
          <w:szCs w:val="23"/>
          <w:lang w:val="en-GB"/>
        </w:rPr>
        <w:t>make that distinction and contains detailed provisions on the special status of the President of the Kúria as compared to other court executives</w:t>
      </w:r>
      <w:r w:rsidR="00B824CD" w:rsidRPr="003E3613">
        <w:rPr>
          <w:rFonts w:ascii="Book Antiqua" w:hAnsi="Book Antiqua"/>
          <w:sz w:val="23"/>
          <w:szCs w:val="23"/>
          <w:lang w:val="en-GB"/>
        </w:rPr>
        <w:t xml:space="preserve">. It </w:t>
      </w:r>
      <w:r w:rsidRPr="003E3613">
        <w:rPr>
          <w:rFonts w:ascii="Book Antiqua" w:hAnsi="Book Antiqua"/>
          <w:sz w:val="23"/>
          <w:szCs w:val="23"/>
          <w:lang w:val="en-GB"/>
        </w:rPr>
        <w:t xml:space="preserve">makes it </w:t>
      </w:r>
      <w:r w:rsidR="00B824CD" w:rsidRPr="003E3613">
        <w:rPr>
          <w:rFonts w:ascii="Book Antiqua" w:hAnsi="Book Antiqua"/>
          <w:sz w:val="23"/>
          <w:szCs w:val="23"/>
          <w:lang w:val="en-GB"/>
        </w:rPr>
        <w:t xml:space="preserve">also </w:t>
      </w:r>
      <w:r w:rsidRPr="003E3613">
        <w:rPr>
          <w:rFonts w:ascii="Book Antiqua" w:hAnsi="Book Antiqua"/>
          <w:sz w:val="23"/>
          <w:szCs w:val="23"/>
          <w:lang w:val="en-GB"/>
        </w:rPr>
        <w:t xml:space="preserve">clear that access to the Service Tribunal which is ensured to other court executives in disputes concerning their executive mandates is not available to the President of the Kúria in case of his dismissal by the Parliament (which had elected him) from his executive office (but not from </w:t>
      </w:r>
      <w:r w:rsidR="00B824CD" w:rsidRPr="003E3613">
        <w:rPr>
          <w:rFonts w:ascii="Book Antiqua" w:hAnsi="Book Antiqua"/>
          <w:sz w:val="23"/>
          <w:szCs w:val="23"/>
          <w:lang w:val="en-GB"/>
        </w:rPr>
        <w:t xml:space="preserve">the </w:t>
      </w:r>
      <w:r w:rsidRPr="003E3613">
        <w:rPr>
          <w:rFonts w:ascii="Book Antiqua" w:hAnsi="Book Antiqua"/>
          <w:sz w:val="23"/>
          <w:szCs w:val="23"/>
          <w:lang w:val="en-GB"/>
        </w:rPr>
        <w:t xml:space="preserve">judicial service). </w:t>
      </w:r>
    </w:p>
    <w:p w14:paraId="40F323DE" w14:textId="77777777" w:rsidR="00685D2A" w:rsidRPr="003E3613" w:rsidRDefault="00685D2A" w:rsidP="00204696">
      <w:pPr>
        <w:jc w:val="both"/>
        <w:rPr>
          <w:rStyle w:val="sb8d990e2"/>
          <w:rFonts w:ascii="Book Antiqua" w:hAnsi="Book Antiqua"/>
          <w:sz w:val="23"/>
          <w:szCs w:val="23"/>
          <w:lang w:val="en-GB"/>
        </w:rPr>
      </w:pPr>
      <w:r w:rsidRPr="003E3613">
        <w:rPr>
          <w:rFonts w:ascii="Book Antiqua" w:hAnsi="Book Antiqua"/>
          <w:sz w:val="23"/>
          <w:szCs w:val="23"/>
          <w:lang w:val="en-GB"/>
        </w:rPr>
        <w:t xml:space="preserve">Access to a court (the Constitutional Court) is ensured even in respect of the premature termination of the mandate as President of the Kúria (without termination of his office as a judge) when this measure takes the form of an </w:t>
      </w:r>
      <w:r w:rsidR="009B6BF9" w:rsidRPr="003E3613">
        <w:rPr>
          <w:rFonts w:ascii="Book Antiqua" w:hAnsi="Book Antiqua"/>
          <w:sz w:val="23"/>
          <w:szCs w:val="23"/>
          <w:lang w:val="en-GB"/>
        </w:rPr>
        <w:t>a</w:t>
      </w:r>
      <w:r w:rsidRPr="003E3613">
        <w:rPr>
          <w:rFonts w:ascii="Book Antiqua" w:hAnsi="Book Antiqua"/>
          <w:sz w:val="23"/>
          <w:szCs w:val="23"/>
          <w:lang w:val="en-GB"/>
        </w:rPr>
        <w:t xml:space="preserve">ct of Parliament. While the judicial remedy offered by a constitutional complaint was not available to Mr. Baka because his mandate was terminated by an amendment to the Fundamental Law (the review of which does not fall within the competence of the Constitutional Court), it was available to and made use of by Mr. Erményi (see Erményi v. Hungary, </w:t>
      </w:r>
      <w:r w:rsidRPr="003E3613">
        <w:rPr>
          <w:rFonts w:ascii="Book Antiqua" w:hAnsi="Book Antiqua"/>
          <w:b/>
          <w:bCs/>
          <w:sz w:val="23"/>
          <w:szCs w:val="23"/>
          <w:lang w:val="en-GB"/>
        </w:rPr>
        <w:t>A</w:t>
      </w:r>
      <w:r w:rsidRPr="003E3613">
        <w:rPr>
          <w:rFonts w:ascii="Book Antiqua" w:hAnsi="Book Antiqua"/>
          <w:bCs/>
          <w:sz w:val="23"/>
          <w:szCs w:val="23"/>
          <w:lang w:val="en-GB"/>
        </w:rPr>
        <w:t xml:space="preserve">ppl. No. </w:t>
      </w:r>
      <w:r w:rsidRPr="003E3613">
        <w:rPr>
          <w:rFonts w:ascii="Book Antiqua" w:hAnsi="Book Antiqua"/>
          <w:bCs/>
          <w:sz w:val="23"/>
          <w:szCs w:val="23"/>
          <w:lang w:val="en-GB" w:bidi="hu-HU"/>
        </w:rPr>
        <w:t>22254/14;</w:t>
      </w:r>
      <w:r w:rsidRPr="003E3613">
        <w:rPr>
          <w:rFonts w:ascii="Book Antiqua" w:hAnsi="Book Antiqua"/>
          <w:bCs/>
          <w:sz w:val="23"/>
          <w:szCs w:val="23"/>
          <w:lang w:val="en-GB"/>
        </w:rPr>
        <w:t xml:space="preserve"> Chamber judgment of 22/11/2016</w:t>
      </w:r>
      <w:r w:rsidRPr="003E3613">
        <w:rPr>
          <w:rFonts w:ascii="Book Antiqua" w:hAnsi="Book Antiqua"/>
          <w:sz w:val="23"/>
          <w:szCs w:val="23"/>
          <w:lang w:val="en-GB"/>
        </w:rPr>
        <w:t xml:space="preserve">), Vice-President of the Supreme Court appointed by Mr. Baka, whose executive mandate was terminated at the same time than Mr Baka’s. However, in his case the ECtHR did not agree with the Constitutional Court’s assessment [see </w:t>
      </w:r>
      <w:r w:rsidRPr="003E3613">
        <w:rPr>
          <w:rStyle w:val="sb8d990e2"/>
          <w:rFonts w:ascii="Book Antiqua" w:hAnsi="Book Antiqua"/>
          <w:sz w:val="23"/>
          <w:szCs w:val="23"/>
          <w:lang w:val="en-GB"/>
        </w:rPr>
        <w:t xml:space="preserve">decision </w:t>
      </w:r>
      <w:r w:rsidR="009B6BF9" w:rsidRPr="003E3613">
        <w:rPr>
          <w:rStyle w:val="sb8d990e2"/>
          <w:rFonts w:ascii="Book Antiqua" w:hAnsi="Book Antiqua"/>
          <w:sz w:val="23"/>
          <w:szCs w:val="23"/>
          <w:lang w:val="en-GB"/>
        </w:rPr>
        <w:t>N</w:t>
      </w:r>
      <w:r w:rsidRPr="003E3613">
        <w:rPr>
          <w:rStyle w:val="sb8d990e2"/>
          <w:rFonts w:ascii="Book Antiqua" w:hAnsi="Book Antiqua"/>
          <w:sz w:val="23"/>
          <w:szCs w:val="23"/>
          <w:lang w:val="en-GB"/>
        </w:rPr>
        <w:t xml:space="preserve">o. 3076/2013. (III. 27.) of 19 March 2013] that the constitutional changes in the competences of the supreme judicial body had </w:t>
      </w:r>
      <w:r w:rsidRPr="003E3613">
        <w:rPr>
          <w:rStyle w:val="sb8d990e2"/>
          <w:rFonts w:ascii="Book Antiqua" w:hAnsi="Book Antiqua"/>
          <w:sz w:val="23"/>
          <w:szCs w:val="23"/>
          <w:lang w:val="en-GB"/>
        </w:rPr>
        <w:lastRenderedPageBreak/>
        <w:t>been of such a fundamental nature to justify his premature dismissal, corollary to that of the Supreme Court’s President.</w:t>
      </w:r>
    </w:p>
    <w:p w14:paraId="4AB3E0A7" w14:textId="77777777" w:rsidR="00685D2A" w:rsidRPr="003E3613" w:rsidRDefault="00685D2A" w:rsidP="00204696">
      <w:pPr>
        <w:jc w:val="both"/>
        <w:rPr>
          <w:rStyle w:val="sb8d990e2"/>
          <w:rFonts w:ascii="Book Antiqua" w:hAnsi="Book Antiqua"/>
          <w:sz w:val="23"/>
          <w:szCs w:val="23"/>
          <w:lang w:val="en-GB"/>
        </w:rPr>
      </w:pPr>
      <w:r w:rsidRPr="003E3613">
        <w:rPr>
          <w:rStyle w:val="sb8d990e2"/>
          <w:rFonts w:ascii="Book Antiqua" w:hAnsi="Book Antiqua"/>
          <w:sz w:val="23"/>
          <w:szCs w:val="23"/>
          <w:lang w:val="en-GB"/>
        </w:rPr>
        <w:t xml:space="preserve">It follows that the only way to satisfy the requirements of the Convention (both Article 6 and 8) is to refrain from the premature termination of the mandate of President of the Kúria by the constitution-making power in the future whenever and whatever constitutional amendments are made to the functions of the Kúria. </w:t>
      </w:r>
    </w:p>
    <w:p w14:paraId="71BE3ACF" w14:textId="77777777" w:rsidR="00685D2A" w:rsidRPr="003E3613" w:rsidRDefault="00685D2A" w:rsidP="00204696">
      <w:pPr>
        <w:jc w:val="both"/>
        <w:rPr>
          <w:rFonts w:ascii="Book Antiqua" w:hAnsi="Book Antiqua"/>
          <w:sz w:val="23"/>
          <w:szCs w:val="23"/>
          <w:lang w:val="en-GB"/>
        </w:rPr>
      </w:pPr>
      <w:r w:rsidRPr="003E3613">
        <w:rPr>
          <w:rStyle w:val="sb8d990e2"/>
          <w:rFonts w:ascii="Book Antiqua" w:hAnsi="Book Antiqua"/>
          <w:sz w:val="23"/>
          <w:szCs w:val="23"/>
          <w:lang w:val="en-GB"/>
        </w:rPr>
        <w:t>The Government note</w:t>
      </w:r>
      <w:r w:rsidR="00B824CD" w:rsidRPr="003E3613">
        <w:rPr>
          <w:rStyle w:val="sb8d990e2"/>
          <w:rFonts w:ascii="Book Antiqua" w:hAnsi="Book Antiqua"/>
          <w:sz w:val="23"/>
          <w:szCs w:val="23"/>
          <w:lang w:val="en-GB"/>
        </w:rPr>
        <w:t>s</w:t>
      </w:r>
      <w:r w:rsidRPr="003E3613">
        <w:rPr>
          <w:rStyle w:val="sb8d990e2"/>
          <w:rFonts w:ascii="Book Antiqua" w:hAnsi="Book Antiqua"/>
          <w:sz w:val="23"/>
          <w:szCs w:val="23"/>
          <w:lang w:val="en-GB"/>
        </w:rPr>
        <w:t xml:space="preserve"> that the Committee of Ministers’ call for general measures in execution of the Baka judgment is at odds with the general political perception underlying the treatment of this case by various international bodies that the measure complained of by the applicant constituted </w:t>
      </w:r>
      <w:r w:rsidRPr="003E3613">
        <w:rPr>
          <w:rStyle w:val="sb8d990e2"/>
          <w:rFonts w:ascii="Book Antiqua" w:hAnsi="Book Antiqua"/>
          <w:i/>
          <w:sz w:val="23"/>
          <w:szCs w:val="23"/>
          <w:lang w:val="en-GB"/>
        </w:rPr>
        <w:t>ad hominem</w:t>
      </w:r>
      <w:r w:rsidRPr="003E3613">
        <w:rPr>
          <w:rStyle w:val="sb8d990e2"/>
          <w:rFonts w:ascii="Book Antiqua" w:hAnsi="Book Antiqua"/>
          <w:sz w:val="23"/>
          <w:szCs w:val="23"/>
          <w:lang w:val="en-GB"/>
        </w:rPr>
        <w:t xml:space="preserve"> legislation, that is</w:t>
      </w:r>
      <w:r w:rsidR="006F6097" w:rsidRPr="003E3613">
        <w:rPr>
          <w:rStyle w:val="sb8d990e2"/>
          <w:rFonts w:ascii="Book Antiqua" w:hAnsi="Book Antiqua"/>
          <w:sz w:val="23"/>
          <w:szCs w:val="23"/>
          <w:lang w:val="en-GB"/>
        </w:rPr>
        <w:t>,</w:t>
      </w:r>
      <w:r w:rsidRPr="003E3613">
        <w:rPr>
          <w:rStyle w:val="sb8d990e2"/>
          <w:rFonts w:ascii="Book Antiqua" w:hAnsi="Book Antiqua"/>
          <w:sz w:val="23"/>
          <w:szCs w:val="23"/>
          <w:lang w:val="en-GB"/>
        </w:rPr>
        <w:t xml:space="preserve"> it was directed specifically against the applicant and only the applicant. The Government conclude</w:t>
      </w:r>
      <w:r w:rsidR="00B824CD" w:rsidRPr="003E3613">
        <w:rPr>
          <w:rStyle w:val="sb8d990e2"/>
          <w:rFonts w:ascii="Book Antiqua" w:hAnsi="Book Antiqua"/>
          <w:sz w:val="23"/>
          <w:szCs w:val="23"/>
          <w:lang w:val="en-GB"/>
        </w:rPr>
        <w:t>s</w:t>
      </w:r>
      <w:r w:rsidRPr="003E3613">
        <w:rPr>
          <w:rStyle w:val="sb8d990e2"/>
          <w:rFonts w:ascii="Book Antiqua" w:hAnsi="Book Antiqua"/>
          <w:sz w:val="23"/>
          <w:szCs w:val="23"/>
          <w:lang w:val="en-GB"/>
        </w:rPr>
        <w:t xml:space="preserve"> with satisfaction that that allegation of a political nature no longer constitutes the basis for the consideration of the present case and hope</w:t>
      </w:r>
      <w:r w:rsidR="00B824CD" w:rsidRPr="003E3613">
        <w:rPr>
          <w:rStyle w:val="sb8d990e2"/>
          <w:rFonts w:ascii="Book Antiqua" w:hAnsi="Book Antiqua"/>
          <w:sz w:val="23"/>
          <w:szCs w:val="23"/>
          <w:lang w:val="en-GB"/>
        </w:rPr>
        <w:t>s</w:t>
      </w:r>
      <w:r w:rsidRPr="003E3613">
        <w:rPr>
          <w:rStyle w:val="sb8d990e2"/>
          <w:rFonts w:ascii="Book Antiqua" w:hAnsi="Book Antiqua"/>
          <w:sz w:val="23"/>
          <w:szCs w:val="23"/>
          <w:lang w:val="en-GB"/>
        </w:rPr>
        <w:t xml:space="preserve"> that the formerly tangible intention to keep this case on the political agenda will no longer prevent the Committee of Ministers from closing it since the legal requirements stemming from the two judgments at issue (identified by the Committee of Ministers as a group of cases) are clearly satisfied by Hungarian law as currently in force.</w:t>
      </w:r>
    </w:p>
    <w:p w14:paraId="29E316BB" w14:textId="77777777" w:rsidR="00CE7DB3" w:rsidRPr="003E3613" w:rsidRDefault="00CE7DB3" w:rsidP="00204696">
      <w:pPr>
        <w:pStyle w:val="s32b251d"/>
        <w:spacing w:before="0" w:beforeAutospacing="0" w:after="0" w:afterAutospacing="0" w:line="276" w:lineRule="auto"/>
        <w:jc w:val="both"/>
        <w:rPr>
          <w:rFonts w:ascii="Book Antiqua" w:hAnsi="Book Antiqua"/>
          <w:sz w:val="23"/>
          <w:szCs w:val="23"/>
          <w:lang w:val="en-GB"/>
        </w:rPr>
      </w:pPr>
    </w:p>
    <w:p w14:paraId="07EBBD68" w14:textId="77777777" w:rsidR="00B824CD" w:rsidRPr="003E3613" w:rsidRDefault="00685D2A" w:rsidP="00204696">
      <w:pPr>
        <w:spacing w:after="0"/>
        <w:jc w:val="both"/>
        <w:rPr>
          <w:rFonts w:ascii="Book Antiqua" w:hAnsi="Book Antiqua"/>
          <w:b/>
          <w:sz w:val="23"/>
          <w:szCs w:val="23"/>
          <w:lang w:val="en-GB"/>
        </w:rPr>
      </w:pPr>
      <w:r w:rsidRPr="003E3613">
        <w:rPr>
          <w:rFonts w:ascii="Book Antiqua" w:hAnsi="Book Antiqua"/>
          <w:b/>
          <w:sz w:val="23"/>
          <w:szCs w:val="23"/>
          <w:lang w:val="en-GB"/>
        </w:rPr>
        <w:t>The expiry of mandate of the Parliamentary Commissioner for Data Protection and Freedom of Information</w:t>
      </w:r>
    </w:p>
    <w:p w14:paraId="79CDFE78" w14:textId="77777777" w:rsidR="003043F7" w:rsidRPr="003E3613" w:rsidRDefault="003043F7" w:rsidP="00204696">
      <w:pPr>
        <w:spacing w:after="0"/>
        <w:jc w:val="both"/>
        <w:rPr>
          <w:rFonts w:ascii="Book Antiqua" w:hAnsi="Book Antiqua"/>
          <w:i/>
          <w:sz w:val="23"/>
          <w:szCs w:val="23"/>
          <w:lang w:val="en-GB"/>
        </w:rPr>
      </w:pPr>
    </w:p>
    <w:p w14:paraId="6EA82A91" w14:textId="77777777" w:rsidR="00507F12" w:rsidRPr="003E3613" w:rsidRDefault="00507F12"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C63027" w:rsidRPr="003E3613">
        <w:rPr>
          <w:rFonts w:ascii="Book Antiqua" w:hAnsi="Book Antiqua"/>
          <w:i/>
          <w:sz w:val="23"/>
          <w:szCs w:val="23"/>
          <w:lang w:val="en-GB"/>
        </w:rPr>
        <w:t>18</w:t>
      </w:r>
      <w:r w:rsidRPr="003E3613">
        <w:rPr>
          <w:rFonts w:ascii="Book Antiqua" w:hAnsi="Book Antiqua"/>
          <w:i/>
          <w:sz w:val="23"/>
          <w:szCs w:val="23"/>
          <w:lang w:val="en-GB"/>
        </w:rPr>
        <w:t xml:space="preserve">) On 29 September 2008, Mr András Jóri was appointed Data Protection </w:t>
      </w:r>
      <w:r w:rsidR="00C63027" w:rsidRPr="003E3613">
        <w:rPr>
          <w:rFonts w:ascii="Book Antiqua" w:hAnsi="Book Antiqua"/>
          <w:i/>
          <w:sz w:val="23"/>
          <w:szCs w:val="23"/>
          <w:lang w:val="en-GB"/>
        </w:rPr>
        <w:t xml:space="preserve">Commissioner </w:t>
      </w:r>
      <w:r w:rsidRPr="003E3613">
        <w:rPr>
          <w:rFonts w:ascii="Book Antiqua" w:hAnsi="Book Antiqua"/>
          <w:i/>
          <w:sz w:val="23"/>
          <w:szCs w:val="23"/>
          <w:lang w:val="en-GB"/>
        </w:rPr>
        <w:t xml:space="preserve">for a term of six years. However, with effect from 1 January 2012, the Hungarian Parliament decided to reform the data protection system and replace the </w:t>
      </w:r>
      <w:r w:rsidR="00C63027" w:rsidRPr="003E3613">
        <w:rPr>
          <w:rFonts w:ascii="Book Antiqua" w:hAnsi="Book Antiqua"/>
          <w:i/>
          <w:sz w:val="23"/>
          <w:szCs w:val="23"/>
          <w:lang w:val="en-GB"/>
        </w:rPr>
        <w:t xml:space="preserve">Commissioner </w:t>
      </w:r>
      <w:r w:rsidRPr="003E3613">
        <w:rPr>
          <w:rFonts w:ascii="Book Antiqua" w:hAnsi="Book Antiqua"/>
          <w:i/>
          <w:sz w:val="23"/>
          <w:szCs w:val="23"/>
          <w:lang w:val="en-GB"/>
        </w:rPr>
        <w:t>with a national authority for data protection and freedom of information. Mr Jóri had to vacate office before his full term had expired. On 8 April 2014, the Court of Justice held that the independence of supervisory authorities necessarily includes the obligation to allow them to serve their full term of office and that Hungary failed to fulfil its obligations under Directive 95/46/EC of the European Parliament and of the Council.</w:t>
      </w:r>
      <w:r w:rsidR="00C63027" w:rsidRPr="003E3613">
        <w:rPr>
          <w:rFonts w:ascii="Book Antiqua" w:hAnsi="Book Antiqua"/>
          <w:i/>
          <w:sz w:val="23"/>
          <w:szCs w:val="23"/>
          <w:lang w:val="en-GB"/>
        </w:rPr>
        <w:t xml:space="preserve"> Hungary amended the rules on the appointment of the Commissioner, presented an apology and paid the agreed sum of compensation.</w:t>
      </w:r>
    </w:p>
    <w:p w14:paraId="4475E8F2" w14:textId="77777777" w:rsidR="00EA59A8" w:rsidRPr="003E3613" w:rsidRDefault="00EA59A8" w:rsidP="00204696">
      <w:pPr>
        <w:spacing w:after="0"/>
        <w:jc w:val="both"/>
        <w:rPr>
          <w:rFonts w:ascii="Book Antiqua" w:hAnsi="Book Antiqua"/>
          <w:sz w:val="23"/>
          <w:szCs w:val="23"/>
          <w:lang w:val="en-GB"/>
        </w:rPr>
      </w:pPr>
    </w:p>
    <w:p w14:paraId="7A7677E2" w14:textId="77777777" w:rsidR="00507F12" w:rsidRPr="003E3613" w:rsidRDefault="005E2CAF" w:rsidP="00204696">
      <w:pPr>
        <w:spacing w:after="0"/>
        <w:jc w:val="both"/>
        <w:rPr>
          <w:rFonts w:ascii="Book Antiqua" w:hAnsi="Book Antiqua"/>
          <w:sz w:val="23"/>
          <w:szCs w:val="23"/>
          <w:lang w:val="en-GB"/>
        </w:rPr>
      </w:pPr>
      <w:r w:rsidRPr="003E3613">
        <w:rPr>
          <w:rFonts w:ascii="Book Antiqua" w:hAnsi="Book Antiqua"/>
          <w:sz w:val="23"/>
          <w:szCs w:val="23"/>
          <w:lang w:val="en-GB"/>
        </w:rPr>
        <w:t>On 17 January 2012, the Commission has launched</w:t>
      </w:r>
      <w:r w:rsidR="000C5B28" w:rsidRPr="003E3613">
        <w:rPr>
          <w:rFonts w:ascii="Book Antiqua" w:hAnsi="Book Antiqua"/>
          <w:sz w:val="23"/>
          <w:szCs w:val="23"/>
          <w:lang w:val="en-GB"/>
        </w:rPr>
        <w:t xml:space="preserve"> an</w:t>
      </w:r>
      <w:r w:rsidRPr="003E3613">
        <w:rPr>
          <w:rFonts w:ascii="Book Antiqua" w:hAnsi="Book Antiqua"/>
          <w:sz w:val="23"/>
          <w:szCs w:val="23"/>
          <w:lang w:val="en-GB"/>
        </w:rPr>
        <w:t xml:space="preserve"> infringement</w:t>
      </w:r>
      <w:r w:rsidR="0078699D" w:rsidRPr="003E3613">
        <w:rPr>
          <w:rFonts w:ascii="Book Antiqua" w:hAnsi="Book Antiqua"/>
          <w:sz w:val="23"/>
          <w:szCs w:val="23"/>
          <w:lang w:val="en-GB"/>
        </w:rPr>
        <w:t xml:space="preserve"> procedure against Hungary. The Court of Justice of the European Union </w:t>
      </w:r>
      <w:r w:rsidR="00DE4372" w:rsidRPr="003E3613">
        <w:rPr>
          <w:rFonts w:ascii="Book Antiqua" w:hAnsi="Book Antiqua"/>
          <w:sz w:val="23"/>
          <w:szCs w:val="23"/>
          <w:lang w:val="en-GB"/>
        </w:rPr>
        <w:t xml:space="preserve">found on 14 April 2014 that </w:t>
      </w:r>
      <w:r w:rsidR="0078699D" w:rsidRPr="003E3613">
        <w:rPr>
          <w:rFonts w:ascii="Book Antiqua" w:hAnsi="Book Antiqua"/>
          <w:sz w:val="23"/>
          <w:szCs w:val="23"/>
          <w:lang w:val="en-GB"/>
        </w:rPr>
        <w:t>by prematurely bringing to an end the term served by the supervisory authority for the protection of personal data, Hungary has failed to fulfil its obligations under Directive 95/46/EC on the protection of individuals with regard to the processing of personal data and on the free movement of such</w:t>
      </w:r>
      <w:r w:rsidR="00260569" w:rsidRPr="003E3613">
        <w:rPr>
          <w:rFonts w:ascii="Book Antiqua" w:hAnsi="Book Antiqua"/>
          <w:sz w:val="23"/>
          <w:szCs w:val="23"/>
          <w:lang w:val="en-GB"/>
        </w:rPr>
        <w:t xml:space="preserve"> data. </w:t>
      </w:r>
      <w:r w:rsidR="00DE4372" w:rsidRPr="003E3613">
        <w:rPr>
          <w:rFonts w:ascii="Book Antiqua" w:hAnsi="Book Antiqua"/>
          <w:sz w:val="23"/>
          <w:szCs w:val="23"/>
          <w:lang w:val="en-GB"/>
        </w:rPr>
        <w:t>Following the fi</w:t>
      </w:r>
      <w:r w:rsidR="00260569" w:rsidRPr="003E3613">
        <w:rPr>
          <w:rFonts w:ascii="Book Antiqua" w:hAnsi="Book Antiqua"/>
          <w:sz w:val="23"/>
          <w:szCs w:val="23"/>
          <w:lang w:val="en-GB"/>
        </w:rPr>
        <w:t xml:space="preserve">ndings of the judgement and taking into account the </w:t>
      </w:r>
      <w:r w:rsidR="00DE4372" w:rsidRPr="003E3613">
        <w:rPr>
          <w:rFonts w:ascii="Book Antiqua" w:hAnsi="Book Antiqua"/>
          <w:sz w:val="23"/>
          <w:szCs w:val="23"/>
          <w:lang w:val="en-GB"/>
        </w:rPr>
        <w:t xml:space="preserve">suggestions of the European Commission, </w:t>
      </w:r>
      <w:r w:rsidR="00495D87" w:rsidRPr="003E3613">
        <w:rPr>
          <w:rFonts w:ascii="Book Antiqua" w:hAnsi="Book Antiqua"/>
          <w:sz w:val="23"/>
          <w:szCs w:val="23"/>
          <w:lang w:val="en-GB"/>
        </w:rPr>
        <w:t xml:space="preserve">Hungary amended the </w:t>
      </w:r>
      <w:r w:rsidR="00CD41BF" w:rsidRPr="003E3613">
        <w:rPr>
          <w:rFonts w:ascii="Book Antiqua" w:hAnsi="Book Antiqua"/>
          <w:sz w:val="23"/>
          <w:szCs w:val="23"/>
          <w:lang w:val="en-GB"/>
        </w:rPr>
        <w:t>rules on the appointment of the p</w:t>
      </w:r>
      <w:r w:rsidR="00495D87" w:rsidRPr="003E3613">
        <w:rPr>
          <w:rFonts w:ascii="Book Antiqua" w:hAnsi="Book Antiqua"/>
          <w:sz w:val="23"/>
          <w:szCs w:val="23"/>
          <w:lang w:val="en-GB"/>
        </w:rPr>
        <w:t xml:space="preserve">resident of the Hungarian National Authority for Data Protection and Freedom of Information, based on the suggestions of the European Commission </w:t>
      </w:r>
      <w:r w:rsidR="000C5B28" w:rsidRPr="003E3613">
        <w:rPr>
          <w:rFonts w:ascii="Book Antiqua" w:hAnsi="Book Antiqua"/>
          <w:sz w:val="23"/>
          <w:szCs w:val="23"/>
          <w:lang w:val="en-GB"/>
        </w:rPr>
        <w:t xml:space="preserve">as part of </w:t>
      </w:r>
      <w:r w:rsidR="00495D87" w:rsidRPr="003E3613">
        <w:rPr>
          <w:rFonts w:ascii="Book Antiqua" w:hAnsi="Book Antiqua"/>
          <w:sz w:val="23"/>
          <w:szCs w:val="23"/>
          <w:lang w:val="en-GB"/>
        </w:rPr>
        <w:t>th</w:t>
      </w:r>
      <w:r w:rsidR="00B824CD" w:rsidRPr="003E3613">
        <w:rPr>
          <w:rFonts w:ascii="Book Antiqua" w:hAnsi="Book Antiqua"/>
          <w:sz w:val="23"/>
          <w:szCs w:val="23"/>
          <w:lang w:val="en-GB"/>
        </w:rPr>
        <w:t>at</w:t>
      </w:r>
      <w:r w:rsidR="00495D87" w:rsidRPr="003E3613">
        <w:rPr>
          <w:rFonts w:ascii="Book Antiqua" w:hAnsi="Book Antiqua"/>
          <w:sz w:val="23"/>
          <w:szCs w:val="23"/>
          <w:lang w:val="en-GB"/>
        </w:rPr>
        <w:t xml:space="preserve"> infringement </w:t>
      </w:r>
      <w:r w:rsidR="00CD41BF" w:rsidRPr="003E3613">
        <w:rPr>
          <w:rFonts w:ascii="Book Antiqua" w:hAnsi="Book Antiqua"/>
          <w:sz w:val="23"/>
          <w:szCs w:val="23"/>
          <w:lang w:val="en-GB"/>
        </w:rPr>
        <w:t xml:space="preserve">procedure. </w:t>
      </w:r>
      <w:r w:rsidR="00495D87" w:rsidRPr="003E3613">
        <w:rPr>
          <w:rFonts w:ascii="Book Antiqua" w:hAnsi="Book Antiqua"/>
          <w:sz w:val="23"/>
          <w:szCs w:val="23"/>
          <w:lang w:val="en-GB"/>
        </w:rPr>
        <w:t>Hungary</w:t>
      </w:r>
      <w:r w:rsidR="009676BC" w:rsidRPr="003E3613">
        <w:rPr>
          <w:rFonts w:ascii="Book Antiqua" w:hAnsi="Book Antiqua"/>
          <w:sz w:val="23"/>
          <w:szCs w:val="23"/>
          <w:lang w:val="en-GB"/>
        </w:rPr>
        <w:t xml:space="preserve"> presented an apology by sending</w:t>
      </w:r>
      <w:r w:rsidR="00495D87" w:rsidRPr="003E3613">
        <w:rPr>
          <w:rFonts w:ascii="Book Antiqua" w:hAnsi="Book Antiqua"/>
          <w:sz w:val="23"/>
          <w:szCs w:val="23"/>
          <w:lang w:val="en-GB"/>
        </w:rPr>
        <w:t xml:space="preserve"> a ministerial letter to András Jóri within the deadline set in the agreement of June 2014, issued a public notice to </w:t>
      </w:r>
      <w:r w:rsidR="00495D87" w:rsidRPr="003E3613">
        <w:rPr>
          <w:rFonts w:ascii="Book Antiqua" w:hAnsi="Book Antiqua"/>
          <w:sz w:val="23"/>
          <w:szCs w:val="23"/>
          <w:lang w:val="en-GB"/>
        </w:rPr>
        <w:lastRenderedPageBreak/>
        <w:t xml:space="preserve">András Jóri and to the Hungarian </w:t>
      </w:r>
      <w:r w:rsidR="00B824CD" w:rsidRPr="003E3613">
        <w:rPr>
          <w:rFonts w:ascii="Book Antiqua" w:hAnsi="Book Antiqua"/>
          <w:sz w:val="23"/>
          <w:szCs w:val="23"/>
          <w:lang w:val="en-GB"/>
        </w:rPr>
        <w:t>N</w:t>
      </w:r>
      <w:r w:rsidR="00CD41BF" w:rsidRPr="003E3613">
        <w:rPr>
          <w:rFonts w:ascii="Book Antiqua" w:hAnsi="Book Antiqua"/>
          <w:sz w:val="23"/>
          <w:szCs w:val="23"/>
          <w:lang w:val="en-GB"/>
        </w:rPr>
        <w:t xml:space="preserve">ews </w:t>
      </w:r>
      <w:r w:rsidR="00B824CD" w:rsidRPr="003E3613">
        <w:rPr>
          <w:rFonts w:ascii="Book Antiqua" w:hAnsi="Book Antiqua"/>
          <w:sz w:val="23"/>
          <w:szCs w:val="23"/>
          <w:lang w:val="en-GB"/>
        </w:rPr>
        <w:t>A</w:t>
      </w:r>
      <w:r w:rsidR="00CD41BF" w:rsidRPr="003E3613">
        <w:rPr>
          <w:rFonts w:ascii="Book Antiqua" w:hAnsi="Book Antiqua"/>
          <w:sz w:val="23"/>
          <w:szCs w:val="23"/>
          <w:lang w:val="en-GB"/>
        </w:rPr>
        <w:t>gency</w:t>
      </w:r>
      <w:r w:rsidR="000C5B28" w:rsidRPr="003E3613">
        <w:rPr>
          <w:rFonts w:ascii="Book Antiqua" w:hAnsi="Book Antiqua"/>
          <w:sz w:val="23"/>
          <w:szCs w:val="23"/>
          <w:lang w:val="en-GB"/>
        </w:rPr>
        <w:t xml:space="preserve"> MTI</w:t>
      </w:r>
      <w:r w:rsidR="00CD41BF" w:rsidRPr="003E3613">
        <w:rPr>
          <w:rFonts w:ascii="Book Antiqua" w:hAnsi="Book Antiqua"/>
          <w:sz w:val="23"/>
          <w:szCs w:val="23"/>
          <w:lang w:val="en-GB"/>
        </w:rPr>
        <w:t>),</w:t>
      </w:r>
      <w:r w:rsidR="00495D87" w:rsidRPr="003E3613">
        <w:rPr>
          <w:rFonts w:ascii="Book Antiqua" w:hAnsi="Book Antiqua"/>
          <w:sz w:val="23"/>
          <w:szCs w:val="23"/>
          <w:lang w:val="en-GB"/>
        </w:rPr>
        <w:t xml:space="preserve"> as well as paid to András Jóri the agreed sum of </w:t>
      </w:r>
      <w:r w:rsidR="00CD41BF" w:rsidRPr="003E3613">
        <w:rPr>
          <w:rFonts w:ascii="Book Antiqua" w:hAnsi="Book Antiqua"/>
          <w:sz w:val="23"/>
          <w:szCs w:val="23"/>
          <w:lang w:val="en-GB"/>
        </w:rPr>
        <w:t>compensation.</w:t>
      </w:r>
      <w:r w:rsidR="0023658A" w:rsidRPr="003E3613">
        <w:rPr>
          <w:rFonts w:ascii="Book Antiqua" w:hAnsi="Book Antiqua"/>
          <w:sz w:val="23"/>
          <w:szCs w:val="23"/>
          <w:lang w:val="en-GB"/>
        </w:rPr>
        <w:t xml:space="preserve"> The former Data Protection </w:t>
      </w:r>
      <w:r w:rsidR="000C5B28" w:rsidRPr="003E3613">
        <w:rPr>
          <w:rFonts w:ascii="Book Antiqua" w:hAnsi="Book Antiqua"/>
          <w:sz w:val="23"/>
          <w:szCs w:val="23"/>
          <w:lang w:val="en-GB"/>
        </w:rPr>
        <w:t xml:space="preserve">Commissioner </w:t>
      </w:r>
      <w:r w:rsidR="0023658A" w:rsidRPr="003E3613">
        <w:rPr>
          <w:rFonts w:ascii="Book Antiqua" w:hAnsi="Book Antiqua"/>
          <w:sz w:val="23"/>
          <w:szCs w:val="23"/>
          <w:lang w:val="en-GB"/>
        </w:rPr>
        <w:t>considered the material and moral compensation offered as fair and accepted it voluntarily, furthermore he declared that he had no more claims</w:t>
      </w:r>
      <w:r w:rsidR="008171BB" w:rsidRPr="003E3613">
        <w:rPr>
          <w:rFonts w:ascii="Book Antiqua" w:hAnsi="Book Antiqua"/>
          <w:sz w:val="23"/>
          <w:szCs w:val="23"/>
          <w:lang w:val="en-GB"/>
        </w:rPr>
        <w:t>.</w:t>
      </w:r>
      <w:r w:rsidR="0023658A" w:rsidRPr="003E3613">
        <w:rPr>
          <w:rFonts w:ascii="Book Antiqua" w:hAnsi="Book Antiqua"/>
          <w:sz w:val="23"/>
          <w:szCs w:val="23"/>
          <w:lang w:val="en-GB"/>
        </w:rPr>
        <w:t xml:space="preserve"> </w:t>
      </w:r>
      <w:r w:rsidR="00613CAA" w:rsidRPr="003E3613">
        <w:rPr>
          <w:rFonts w:ascii="Book Antiqua" w:hAnsi="Book Antiqua"/>
          <w:sz w:val="23"/>
          <w:szCs w:val="23"/>
          <w:lang w:val="en-GB"/>
        </w:rPr>
        <w:t>In autumn 2014 t</w:t>
      </w:r>
      <w:r w:rsidR="00495D87" w:rsidRPr="003E3613">
        <w:rPr>
          <w:rFonts w:ascii="Book Antiqua" w:hAnsi="Book Antiqua"/>
          <w:sz w:val="23"/>
          <w:szCs w:val="23"/>
          <w:lang w:val="en-GB"/>
        </w:rPr>
        <w:t xml:space="preserve">he Commission accepted the above measures as </w:t>
      </w:r>
      <w:r w:rsidR="00CD41BF" w:rsidRPr="003E3613">
        <w:rPr>
          <w:rFonts w:ascii="Book Antiqua" w:hAnsi="Book Antiqua"/>
          <w:sz w:val="23"/>
          <w:szCs w:val="23"/>
          <w:lang w:val="en-GB"/>
        </w:rPr>
        <w:t>implementation</w:t>
      </w:r>
      <w:r w:rsidR="00495D87" w:rsidRPr="003E3613">
        <w:rPr>
          <w:rFonts w:ascii="Book Antiqua" w:hAnsi="Book Antiqua"/>
          <w:sz w:val="23"/>
          <w:szCs w:val="23"/>
          <w:lang w:val="en-GB"/>
        </w:rPr>
        <w:t xml:space="preserve"> of the CJEU decision</w:t>
      </w:r>
      <w:r w:rsidR="00F04680" w:rsidRPr="003E3613">
        <w:rPr>
          <w:rFonts w:ascii="Book Antiqua" w:hAnsi="Book Antiqua"/>
          <w:sz w:val="23"/>
          <w:szCs w:val="23"/>
          <w:lang w:val="en-GB"/>
        </w:rPr>
        <w:t xml:space="preserve"> and closed the infringement case on 16 October 2014</w:t>
      </w:r>
      <w:r w:rsidR="00495D87" w:rsidRPr="003E3613">
        <w:rPr>
          <w:rFonts w:ascii="Book Antiqua" w:hAnsi="Book Antiqua"/>
          <w:sz w:val="23"/>
          <w:szCs w:val="23"/>
          <w:lang w:val="en-GB"/>
        </w:rPr>
        <w:t xml:space="preserve">. </w:t>
      </w:r>
      <w:r w:rsidR="00CD41BF" w:rsidRPr="003E3613">
        <w:rPr>
          <w:rFonts w:ascii="Book Antiqua" w:hAnsi="Book Antiqua"/>
          <w:sz w:val="23"/>
          <w:szCs w:val="23"/>
          <w:lang w:val="en-GB"/>
        </w:rPr>
        <w:t xml:space="preserve">Thus </w:t>
      </w:r>
      <w:r w:rsidR="00495D87" w:rsidRPr="003E3613">
        <w:rPr>
          <w:rFonts w:ascii="Book Antiqua" w:hAnsi="Book Antiqua"/>
          <w:sz w:val="23"/>
          <w:szCs w:val="23"/>
          <w:lang w:val="en-GB"/>
        </w:rPr>
        <w:t xml:space="preserve">Hungary </w:t>
      </w:r>
      <w:r w:rsidR="00CD41BF" w:rsidRPr="003E3613">
        <w:rPr>
          <w:rFonts w:ascii="Book Antiqua" w:hAnsi="Book Antiqua"/>
          <w:sz w:val="23"/>
          <w:szCs w:val="23"/>
          <w:lang w:val="en-GB"/>
        </w:rPr>
        <w:t xml:space="preserve">– </w:t>
      </w:r>
      <w:r w:rsidR="00495D87" w:rsidRPr="003E3613">
        <w:rPr>
          <w:rFonts w:ascii="Book Antiqua" w:hAnsi="Book Antiqua"/>
          <w:sz w:val="23"/>
          <w:szCs w:val="23"/>
          <w:lang w:val="en-GB"/>
        </w:rPr>
        <w:t xml:space="preserve">by </w:t>
      </w:r>
      <w:r w:rsidR="00F04680" w:rsidRPr="003E3613">
        <w:rPr>
          <w:rFonts w:ascii="Book Antiqua" w:hAnsi="Book Antiqua"/>
          <w:sz w:val="23"/>
          <w:szCs w:val="23"/>
          <w:lang w:val="en-GB"/>
        </w:rPr>
        <w:t xml:space="preserve">implementing the judgement of the Court </w:t>
      </w:r>
      <w:r w:rsidR="00CD41BF" w:rsidRPr="003E3613">
        <w:rPr>
          <w:rFonts w:ascii="Book Antiqua" w:hAnsi="Book Antiqua"/>
          <w:sz w:val="23"/>
          <w:szCs w:val="23"/>
          <w:lang w:val="en-GB"/>
        </w:rPr>
        <w:t xml:space="preserve">– </w:t>
      </w:r>
      <w:r w:rsidR="00495D87" w:rsidRPr="003E3613">
        <w:rPr>
          <w:rFonts w:ascii="Book Antiqua" w:hAnsi="Book Antiqua"/>
          <w:sz w:val="23"/>
          <w:szCs w:val="23"/>
          <w:lang w:val="en-GB"/>
        </w:rPr>
        <w:t>brought an end</w:t>
      </w:r>
      <w:r w:rsidR="00613CAA" w:rsidRPr="003E3613">
        <w:rPr>
          <w:rFonts w:ascii="Book Antiqua" w:hAnsi="Book Antiqua"/>
          <w:sz w:val="23"/>
          <w:szCs w:val="23"/>
          <w:lang w:val="en-GB"/>
        </w:rPr>
        <w:t xml:space="preserve"> to</w:t>
      </w:r>
      <w:r w:rsidR="00495D87" w:rsidRPr="003E3613">
        <w:rPr>
          <w:rFonts w:ascii="Book Antiqua" w:hAnsi="Book Antiqua"/>
          <w:sz w:val="23"/>
          <w:szCs w:val="23"/>
          <w:lang w:val="en-GB"/>
        </w:rPr>
        <w:t xml:space="preserve"> the </w:t>
      </w:r>
      <w:r w:rsidR="00EC72E7" w:rsidRPr="003E3613">
        <w:rPr>
          <w:rFonts w:ascii="Book Antiqua" w:hAnsi="Book Antiqua"/>
          <w:sz w:val="23"/>
          <w:szCs w:val="23"/>
          <w:lang w:val="en-GB"/>
        </w:rPr>
        <w:t>case</w:t>
      </w:r>
      <w:r w:rsidR="00495D87" w:rsidRPr="003E3613">
        <w:rPr>
          <w:rFonts w:ascii="Book Antiqua" w:hAnsi="Book Antiqua"/>
          <w:sz w:val="23"/>
          <w:szCs w:val="23"/>
          <w:lang w:val="en-GB"/>
        </w:rPr>
        <w:t xml:space="preserve"> concerning the </w:t>
      </w:r>
      <w:r w:rsidR="00EC72E7" w:rsidRPr="003E3613">
        <w:rPr>
          <w:rFonts w:ascii="Book Antiqua" w:hAnsi="Book Antiqua"/>
          <w:sz w:val="23"/>
          <w:szCs w:val="23"/>
          <w:lang w:val="en-GB"/>
        </w:rPr>
        <w:t xml:space="preserve">premature ending of the term of the Data Protection </w:t>
      </w:r>
      <w:r w:rsidR="000C5B28" w:rsidRPr="003E3613">
        <w:rPr>
          <w:rFonts w:ascii="Book Antiqua" w:hAnsi="Book Antiqua"/>
          <w:sz w:val="23"/>
          <w:szCs w:val="23"/>
          <w:lang w:val="en-GB"/>
        </w:rPr>
        <w:t xml:space="preserve">Commissioner </w:t>
      </w:r>
      <w:r w:rsidR="00EC72E7" w:rsidRPr="003E3613">
        <w:rPr>
          <w:rFonts w:ascii="Book Antiqua" w:hAnsi="Book Antiqua"/>
          <w:sz w:val="23"/>
          <w:szCs w:val="23"/>
          <w:lang w:val="en-GB"/>
        </w:rPr>
        <w:t>in a mutually satisfactory manner.</w:t>
      </w:r>
    </w:p>
    <w:p w14:paraId="2DE20F7D" w14:textId="77777777" w:rsidR="00495D87" w:rsidRPr="003E3613" w:rsidRDefault="00495D87" w:rsidP="00204696">
      <w:pPr>
        <w:spacing w:after="0"/>
        <w:jc w:val="both"/>
        <w:rPr>
          <w:rFonts w:ascii="Book Antiqua" w:hAnsi="Book Antiqua"/>
          <w:i/>
          <w:sz w:val="23"/>
          <w:szCs w:val="23"/>
          <w:lang w:val="en-GB"/>
        </w:rPr>
      </w:pPr>
    </w:p>
    <w:p w14:paraId="547907F3" w14:textId="77777777" w:rsidR="00A320F0" w:rsidRPr="003E3613" w:rsidRDefault="0023658A" w:rsidP="00204696">
      <w:pPr>
        <w:pStyle w:val="Heading2"/>
        <w:keepNext w:val="0"/>
        <w:keepLines w:val="0"/>
        <w:spacing w:before="0"/>
        <w:rPr>
          <w:rFonts w:ascii="Book Antiqua" w:hAnsi="Book Antiqua"/>
          <w:color w:val="auto"/>
          <w:sz w:val="23"/>
          <w:szCs w:val="23"/>
          <w:lang w:val="en-GB"/>
        </w:rPr>
      </w:pPr>
      <w:bookmarkStart w:id="15" w:name="_Toc19120776"/>
      <w:r w:rsidRPr="003E3613">
        <w:rPr>
          <w:rFonts w:ascii="Book Antiqua" w:hAnsi="Book Antiqua"/>
          <w:color w:val="auto"/>
          <w:sz w:val="23"/>
          <w:szCs w:val="23"/>
          <w:lang w:val="en-GB"/>
        </w:rPr>
        <w:t>Criti</w:t>
      </w:r>
      <w:r w:rsidR="001362CD" w:rsidRPr="003E3613">
        <w:rPr>
          <w:rFonts w:ascii="Book Antiqua" w:hAnsi="Book Antiqua"/>
          <w:color w:val="auto"/>
          <w:sz w:val="23"/>
          <w:szCs w:val="23"/>
          <w:lang w:val="en-GB"/>
        </w:rPr>
        <w:t>cisms</w:t>
      </w:r>
      <w:r w:rsidRPr="003E3613">
        <w:rPr>
          <w:rFonts w:ascii="Book Antiqua" w:hAnsi="Book Antiqua"/>
          <w:color w:val="auto"/>
          <w:sz w:val="23"/>
          <w:szCs w:val="23"/>
          <w:lang w:val="en-GB"/>
        </w:rPr>
        <w:t xml:space="preserve"> concerning</w:t>
      </w:r>
      <w:r w:rsidR="00A320F0" w:rsidRPr="003E3613">
        <w:rPr>
          <w:rFonts w:ascii="Book Antiqua" w:hAnsi="Book Antiqua"/>
          <w:color w:val="auto"/>
          <w:sz w:val="23"/>
          <w:szCs w:val="23"/>
          <w:lang w:val="en-GB"/>
        </w:rPr>
        <w:t xml:space="preserve"> the prosecution service</w:t>
      </w:r>
      <w:bookmarkEnd w:id="15"/>
    </w:p>
    <w:p w14:paraId="4232D170" w14:textId="77777777" w:rsidR="00A320F0" w:rsidRPr="003E3613" w:rsidRDefault="00A320F0" w:rsidP="00204696">
      <w:pPr>
        <w:spacing w:after="0"/>
        <w:jc w:val="both"/>
        <w:rPr>
          <w:rFonts w:ascii="Book Antiqua" w:hAnsi="Book Antiqua"/>
          <w:i/>
          <w:sz w:val="23"/>
          <w:szCs w:val="23"/>
          <w:lang w:val="en-GB"/>
        </w:rPr>
      </w:pPr>
    </w:p>
    <w:p w14:paraId="32999F90" w14:textId="77777777" w:rsidR="00507F12" w:rsidRPr="003E3613" w:rsidRDefault="00507F12"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C63027" w:rsidRPr="003E3613">
        <w:rPr>
          <w:rFonts w:ascii="Book Antiqua" w:hAnsi="Book Antiqua"/>
          <w:i/>
          <w:sz w:val="23"/>
          <w:szCs w:val="23"/>
          <w:lang w:val="en-GB"/>
        </w:rPr>
        <w:t>19</w:t>
      </w:r>
      <w:r w:rsidRPr="003E3613">
        <w:rPr>
          <w:rFonts w:ascii="Book Antiqua" w:hAnsi="Book Antiqua"/>
          <w:i/>
          <w:sz w:val="23"/>
          <w:szCs w:val="23"/>
          <w:lang w:val="en-GB"/>
        </w:rPr>
        <w:t>) The Venice Commission identified several shortcomings in its Opinion on Act CLXIII of 2011 on the Prosecution Service and Act CLXIV of 2011 on the Status of the Prosecutor General, Prosecutors and other Prosecution Employees and the Prosecution Career of Hungary, adopted on 19 June 2012. In its report, adopted on 27 March 2015, GRECO urged the Hungarian authorities to take additional steps to prevent abuse and increase the independence of the prosecution service by, inter alia, removing the possibility for the Prosecutor General to be re-elected. In addition, GRECO called for disciplinary proceedings against ordinary prosecutors to be made more transparent and for decisions to move cases from one prosecutor to another to be guided by strict legal criteria and justifications.</w:t>
      </w:r>
      <w:r w:rsidR="00C63027" w:rsidRPr="003E3613">
        <w:rPr>
          <w:rFonts w:ascii="Book Antiqua" w:hAnsi="Book Antiqua"/>
          <w:i/>
          <w:sz w:val="23"/>
          <w:szCs w:val="23"/>
          <w:lang w:val="en-GB"/>
        </w:rPr>
        <w:t xml:space="preserve"> According to the Hungarian Government, the 2017 GRECO Compliance Report acknowledged the progress made by Hungary concerning prosecutors (publication is not yet authorised by the Hungarian authorities, despite calls by GRECO Plenary Meetings). The Second Compliance Report is pending.</w:t>
      </w:r>
    </w:p>
    <w:p w14:paraId="4A8B240A" w14:textId="77777777" w:rsidR="00B77D50" w:rsidRPr="003E3613" w:rsidRDefault="00B77D50" w:rsidP="00204696">
      <w:pPr>
        <w:spacing w:after="0"/>
        <w:jc w:val="both"/>
        <w:rPr>
          <w:rFonts w:ascii="Book Antiqua" w:hAnsi="Book Antiqua"/>
          <w:sz w:val="23"/>
          <w:szCs w:val="23"/>
          <w:lang w:val="en-GB"/>
        </w:rPr>
      </w:pPr>
    </w:p>
    <w:p w14:paraId="1E74A88F" w14:textId="77777777" w:rsidR="001F6F2B" w:rsidRPr="003E3613" w:rsidRDefault="001F6F2B" w:rsidP="00204696">
      <w:pPr>
        <w:spacing w:after="0"/>
        <w:jc w:val="both"/>
        <w:rPr>
          <w:rFonts w:ascii="Book Antiqua" w:hAnsi="Book Antiqua"/>
          <w:sz w:val="23"/>
          <w:szCs w:val="23"/>
          <w:lang w:val="en-GB"/>
        </w:rPr>
      </w:pPr>
      <w:r w:rsidRPr="003E3613">
        <w:rPr>
          <w:rFonts w:ascii="Book Antiqua" w:hAnsi="Book Antiqua"/>
          <w:sz w:val="23"/>
          <w:szCs w:val="23"/>
          <w:lang w:val="en-GB"/>
        </w:rPr>
        <w:t>The reasoned proposal notes that the Hungarian authorities did not yet authorize the publication of the 2017 GRECO Compliance Report. In this regard Hungary emphasizes that the second Addendum report to the third evaluation round, the fourth evaluation round Compliance and Interim report were published on 1st of August 2019. All of the reports are avaliable on the GRECO’s official website.</w:t>
      </w:r>
    </w:p>
    <w:p w14:paraId="2982EAC1" w14:textId="77777777" w:rsidR="001F6F2B" w:rsidRPr="003E3613" w:rsidRDefault="001F6F2B" w:rsidP="00204696">
      <w:pPr>
        <w:spacing w:after="0"/>
        <w:jc w:val="both"/>
        <w:rPr>
          <w:rFonts w:ascii="Book Antiqua" w:hAnsi="Book Antiqua"/>
          <w:sz w:val="23"/>
          <w:szCs w:val="23"/>
          <w:lang w:val="en-GB"/>
        </w:rPr>
      </w:pPr>
    </w:p>
    <w:p w14:paraId="56F26D79" w14:textId="06B48D8E" w:rsidR="00417976" w:rsidRPr="003E3613" w:rsidRDefault="00417976"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It must be highlighted that </w:t>
      </w:r>
      <w:r w:rsidR="001F6F2B" w:rsidRPr="003E3613">
        <w:rPr>
          <w:rFonts w:ascii="Book Antiqua" w:hAnsi="Book Antiqua"/>
          <w:sz w:val="23"/>
          <w:szCs w:val="23"/>
          <w:lang w:val="en-GB"/>
        </w:rPr>
        <w:t xml:space="preserve">already in 2012 </w:t>
      </w:r>
      <w:r w:rsidRPr="003E3613">
        <w:rPr>
          <w:rFonts w:ascii="Book Antiqua" w:hAnsi="Book Antiqua"/>
          <w:sz w:val="23"/>
          <w:szCs w:val="23"/>
          <w:lang w:val="en-GB"/>
        </w:rPr>
        <w:t xml:space="preserve">the Venice Commission also found numerous positive aspects of </w:t>
      </w:r>
      <w:r w:rsidR="000C5B28" w:rsidRPr="003E3613">
        <w:rPr>
          <w:rFonts w:ascii="Book Antiqua" w:hAnsi="Book Antiqua"/>
          <w:sz w:val="23"/>
          <w:szCs w:val="23"/>
          <w:lang w:val="en-GB"/>
        </w:rPr>
        <w:t>the Acts in question</w:t>
      </w:r>
      <w:r w:rsidRPr="003E3613">
        <w:rPr>
          <w:rFonts w:ascii="Book Antiqua" w:hAnsi="Book Antiqua"/>
          <w:sz w:val="23"/>
          <w:szCs w:val="23"/>
          <w:lang w:val="en-GB"/>
        </w:rPr>
        <w:t>.</w:t>
      </w:r>
      <w:r w:rsidR="00C77D27" w:rsidRPr="003E3613">
        <w:rPr>
          <w:rStyle w:val="FootnoteReference"/>
          <w:rFonts w:ascii="Book Antiqua" w:hAnsi="Book Antiqua"/>
          <w:sz w:val="23"/>
          <w:szCs w:val="23"/>
          <w:lang w:val="en-GB"/>
        </w:rPr>
        <w:footnoteReference w:id="17"/>
      </w:r>
      <w:r w:rsidRPr="003E3613">
        <w:rPr>
          <w:rFonts w:ascii="Book Antiqua" w:hAnsi="Book Antiqua"/>
          <w:sz w:val="23"/>
          <w:szCs w:val="23"/>
          <w:lang w:val="en-GB"/>
        </w:rPr>
        <w:t xml:space="preserve"> It had been concluded that the general principles for the operation of prosecutors were in line with applicable standards for prosecutors in a democratic society. It was highlighted that most of the issues identified did not stem from the revision of the Acts under the new Fundamental Law but were remnants from the overarching powers of the prosecution services left before the democratic transition in Hungary. The Venice Commission also stated that taken on their own, most issues raised in its opinion did not threaten the rule of law</w:t>
      </w:r>
      <w:r w:rsidR="000C5B28" w:rsidRPr="003E3613">
        <w:rPr>
          <w:rFonts w:ascii="Book Antiqua" w:hAnsi="Book Antiqua"/>
          <w:sz w:val="23"/>
          <w:szCs w:val="23"/>
          <w:lang w:val="en-GB"/>
        </w:rPr>
        <w:t>, and that</w:t>
      </w:r>
      <w:r w:rsidRPr="003E3613">
        <w:rPr>
          <w:rFonts w:ascii="Book Antiqua" w:hAnsi="Book Antiqua"/>
          <w:sz w:val="23"/>
          <w:szCs w:val="23"/>
          <w:lang w:val="en-GB"/>
        </w:rPr>
        <w:t xml:space="preserve"> the recommendations were made in order to propose ways to improve the prosecution service.</w:t>
      </w:r>
    </w:p>
    <w:p w14:paraId="2D5E8CA1" w14:textId="77777777" w:rsidR="00916F3B" w:rsidRPr="003E3613" w:rsidRDefault="00916F3B" w:rsidP="00204696">
      <w:pPr>
        <w:spacing w:after="0"/>
        <w:jc w:val="both"/>
        <w:rPr>
          <w:rFonts w:ascii="Book Antiqua" w:hAnsi="Book Antiqua"/>
          <w:sz w:val="23"/>
          <w:szCs w:val="23"/>
          <w:lang w:val="en-GB"/>
        </w:rPr>
      </w:pPr>
    </w:p>
    <w:p w14:paraId="1F45D5E1" w14:textId="77777777" w:rsidR="00B77D50" w:rsidRPr="003E3613" w:rsidRDefault="00613CAA" w:rsidP="00204696">
      <w:pPr>
        <w:spacing w:after="0"/>
        <w:jc w:val="both"/>
        <w:rPr>
          <w:rFonts w:ascii="Book Antiqua" w:hAnsi="Book Antiqua"/>
          <w:sz w:val="23"/>
          <w:szCs w:val="23"/>
          <w:lang w:val="en-GB"/>
        </w:rPr>
      </w:pPr>
      <w:r w:rsidRPr="003E3613">
        <w:rPr>
          <w:rFonts w:ascii="Book Antiqua" w:hAnsi="Book Antiqua"/>
          <w:sz w:val="23"/>
          <w:szCs w:val="23"/>
          <w:lang w:val="en-GB"/>
        </w:rPr>
        <w:t>I</w:t>
      </w:r>
      <w:r w:rsidR="00B77D50" w:rsidRPr="003E3613">
        <w:rPr>
          <w:rFonts w:ascii="Book Antiqua" w:hAnsi="Book Antiqua"/>
          <w:sz w:val="23"/>
          <w:szCs w:val="23"/>
          <w:lang w:val="en-GB"/>
        </w:rPr>
        <w:t xml:space="preserve">t must be highlighted that the 2017 </w:t>
      </w:r>
      <w:r w:rsidR="002A3BC3" w:rsidRPr="003E3613">
        <w:rPr>
          <w:rFonts w:ascii="Book Antiqua" w:hAnsi="Book Antiqua"/>
          <w:sz w:val="23"/>
          <w:szCs w:val="23"/>
          <w:lang w:val="en-GB"/>
        </w:rPr>
        <w:t xml:space="preserve">GRECO Compliance Report (assessing the implementation of the 2015 recommendations) acknowledged that there has been progress </w:t>
      </w:r>
      <w:r w:rsidR="002A3BC3" w:rsidRPr="003E3613">
        <w:rPr>
          <w:rFonts w:ascii="Book Antiqua" w:hAnsi="Book Antiqua"/>
          <w:sz w:val="23"/>
          <w:szCs w:val="23"/>
          <w:lang w:val="en-GB"/>
        </w:rPr>
        <w:lastRenderedPageBreak/>
        <w:t xml:space="preserve">concerning prosecutors. As far as the independence of the prosecution service is concerned, the 2015 GRECO report drew only a very limited number </w:t>
      </w:r>
      <w:r w:rsidR="00327F85" w:rsidRPr="003E3613">
        <w:rPr>
          <w:rFonts w:ascii="Book Antiqua" w:hAnsi="Book Antiqua"/>
          <w:sz w:val="23"/>
          <w:szCs w:val="23"/>
          <w:lang w:val="en-GB"/>
        </w:rPr>
        <w:t xml:space="preserve">of </w:t>
      </w:r>
      <w:r w:rsidR="002A3BC3" w:rsidRPr="003E3613">
        <w:rPr>
          <w:rFonts w:ascii="Book Antiqua" w:hAnsi="Book Antiqua"/>
          <w:sz w:val="23"/>
          <w:szCs w:val="23"/>
          <w:lang w:val="en-GB"/>
        </w:rPr>
        <w:t>recommendations – the compliance with which is yet to be assessed – and use</w:t>
      </w:r>
      <w:r w:rsidR="00CC567C" w:rsidRPr="003E3613">
        <w:rPr>
          <w:rFonts w:ascii="Book Antiqua" w:hAnsi="Book Antiqua"/>
          <w:sz w:val="23"/>
          <w:szCs w:val="23"/>
          <w:lang w:val="en-GB"/>
        </w:rPr>
        <w:t>d</w:t>
      </w:r>
      <w:r w:rsidR="002A3BC3" w:rsidRPr="003E3613">
        <w:rPr>
          <w:rFonts w:ascii="Book Antiqua" w:hAnsi="Book Antiqua"/>
          <w:sz w:val="23"/>
          <w:szCs w:val="23"/>
          <w:lang w:val="en-GB"/>
        </w:rPr>
        <w:t xml:space="preserve"> the word ‘potential’ expressing that they refer only to theoretical and not factual situations, and </w:t>
      </w:r>
      <w:r w:rsidR="00327F85" w:rsidRPr="003E3613">
        <w:rPr>
          <w:rFonts w:ascii="Book Antiqua" w:hAnsi="Book Antiqua"/>
          <w:sz w:val="23"/>
          <w:szCs w:val="23"/>
          <w:lang w:val="en-GB"/>
        </w:rPr>
        <w:t xml:space="preserve">recommends </w:t>
      </w:r>
      <w:r w:rsidR="002A3BC3" w:rsidRPr="003E3613">
        <w:rPr>
          <w:rFonts w:ascii="Book Antiqua" w:hAnsi="Book Antiqua"/>
          <w:sz w:val="23"/>
          <w:szCs w:val="23"/>
          <w:lang w:val="en-GB"/>
        </w:rPr>
        <w:t xml:space="preserve">further steps </w:t>
      </w:r>
      <w:r w:rsidR="00327F85" w:rsidRPr="003E3613">
        <w:rPr>
          <w:rFonts w:ascii="Book Antiqua" w:hAnsi="Book Antiqua"/>
          <w:sz w:val="23"/>
          <w:szCs w:val="23"/>
          <w:lang w:val="en-GB"/>
        </w:rPr>
        <w:t>merely</w:t>
      </w:r>
      <w:r w:rsidR="002A3BC3" w:rsidRPr="003E3613">
        <w:rPr>
          <w:rFonts w:ascii="Book Antiqua" w:hAnsi="Book Antiqua"/>
          <w:sz w:val="23"/>
          <w:szCs w:val="23"/>
          <w:lang w:val="en-GB"/>
        </w:rPr>
        <w:t xml:space="preserve"> in order to pr</w:t>
      </w:r>
      <w:r w:rsidR="00327F85" w:rsidRPr="003E3613">
        <w:rPr>
          <w:rFonts w:ascii="Book Antiqua" w:hAnsi="Book Antiqua"/>
          <w:sz w:val="23"/>
          <w:szCs w:val="23"/>
          <w:lang w:val="en-GB"/>
        </w:rPr>
        <w:t>event such potential scenarios.</w:t>
      </w:r>
    </w:p>
    <w:p w14:paraId="552AE6F6" w14:textId="77777777" w:rsidR="0057580D" w:rsidRPr="003E3613" w:rsidRDefault="0057580D" w:rsidP="00204696">
      <w:pPr>
        <w:spacing w:after="0"/>
        <w:jc w:val="both"/>
        <w:rPr>
          <w:rFonts w:ascii="Book Antiqua" w:hAnsi="Book Antiqua"/>
          <w:sz w:val="23"/>
          <w:szCs w:val="23"/>
          <w:lang w:val="en-GB"/>
        </w:rPr>
      </w:pPr>
    </w:p>
    <w:p w14:paraId="6E4F090F" w14:textId="77777777" w:rsidR="00D932AC" w:rsidRPr="003E3613" w:rsidRDefault="001362CD"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disciplinary proceedings against ordinary prosecutors include appropriate guarantees, since there is a possibility of objection due to bias against the person from whom unbiased participation in the procedure cannot be expected, which is a proper guarantee for the objective, impartial conduct of </w:t>
      </w:r>
      <w:r w:rsidR="00FE091C" w:rsidRPr="003E3613">
        <w:rPr>
          <w:rFonts w:ascii="Book Antiqua" w:hAnsi="Book Antiqua"/>
          <w:sz w:val="23"/>
          <w:szCs w:val="23"/>
          <w:lang w:val="en-GB"/>
        </w:rPr>
        <w:t xml:space="preserve">the </w:t>
      </w:r>
      <w:r w:rsidRPr="003E3613">
        <w:rPr>
          <w:rFonts w:ascii="Book Antiqua" w:hAnsi="Book Antiqua"/>
          <w:sz w:val="23"/>
          <w:szCs w:val="23"/>
          <w:lang w:val="en-GB"/>
        </w:rPr>
        <w:t>procedure and a transparent decision</w:t>
      </w:r>
      <w:r w:rsidR="00FE091C" w:rsidRPr="003E3613">
        <w:rPr>
          <w:rFonts w:ascii="Book Antiqua" w:hAnsi="Book Antiqua"/>
          <w:sz w:val="23"/>
          <w:szCs w:val="23"/>
          <w:lang w:val="en-GB"/>
        </w:rPr>
        <w:t xml:space="preserve">. In addition, </w:t>
      </w:r>
      <w:r w:rsidRPr="003E3613">
        <w:rPr>
          <w:rFonts w:ascii="Book Antiqua" w:hAnsi="Book Antiqua"/>
          <w:sz w:val="23"/>
          <w:szCs w:val="23"/>
          <w:lang w:val="en-GB"/>
        </w:rPr>
        <w:t>judicial remedy</w:t>
      </w:r>
      <w:r w:rsidR="009047D1" w:rsidRPr="003E3613">
        <w:rPr>
          <w:rFonts w:ascii="Book Antiqua" w:hAnsi="Book Antiqua"/>
          <w:sz w:val="23"/>
          <w:szCs w:val="23"/>
          <w:lang w:val="en-GB"/>
        </w:rPr>
        <w:t xml:space="preserve"> </w:t>
      </w:r>
      <w:r w:rsidR="00FE091C" w:rsidRPr="003E3613">
        <w:rPr>
          <w:rFonts w:ascii="Book Antiqua" w:hAnsi="Book Antiqua"/>
          <w:sz w:val="23"/>
          <w:szCs w:val="23"/>
          <w:lang w:val="en-GB"/>
        </w:rPr>
        <w:t xml:space="preserve">is </w:t>
      </w:r>
      <w:r w:rsidRPr="003E3613">
        <w:rPr>
          <w:rFonts w:ascii="Book Antiqua" w:hAnsi="Book Antiqua"/>
          <w:sz w:val="23"/>
          <w:szCs w:val="23"/>
          <w:lang w:val="en-GB"/>
        </w:rPr>
        <w:t>also granted. The prosecution service changed its practice following the GRECO evaluation in a way that based on the possibility provided by the Act CLXIV of 2011 on the Status of the Prosecutor General, Prosecutors and other Prosecution Employees and the Prosecution Career, the person who has the disciplinary power, shall appoint a disciplinary commissioner in each disciplinary procedure.</w:t>
      </w:r>
      <w:r w:rsidR="00D932AC" w:rsidRPr="003E3613">
        <w:rPr>
          <w:rFonts w:ascii="Book Antiqua" w:hAnsi="Book Antiqua"/>
          <w:sz w:val="23"/>
          <w:szCs w:val="23"/>
          <w:lang w:val="en-GB"/>
        </w:rPr>
        <w:t xml:space="preserve"> GRECO welcomed the amendment making the involvement of a disciplinary commissioner in disciplinary proceeding</w:t>
      </w:r>
      <w:r w:rsidR="00974BAC" w:rsidRPr="003E3613">
        <w:rPr>
          <w:rFonts w:ascii="Book Antiqua" w:hAnsi="Book Antiqua"/>
          <w:sz w:val="23"/>
          <w:szCs w:val="23"/>
          <w:lang w:val="en-GB"/>
        </w:rPr>
        <w:t>s</w:t>
      </w:r>
      <w:r w:rsidR="00D932AC" w:rsidRPr="003E3613">
        <w:rPr>
          <w:rFonts w:ascii="Book Antiqua" w:hAnsi="Book Antiqua"/>
          <w:sz w:val="23"/>
          <w:szCs w:val="23"/>
          <w:lang w:val="en-GB"/>
        </w:rPr>
        <w:t xml:space="preserve"> against prosecutors compulsory.</w:t>
      </w:r>
    </w:p>
    <w:p w14:paraId="5EF0B585" w14:textId="77777777" w:rsidR="001362CD" w:rsidRPr="003E3613" w:rsidRDefault="001362CD" w:rsidP="00204696">
      <w:pPr>
        <w:spacing w:after="0"/>
        <w:jc w:val="both"/>
        <w:rPr>
          <w:rFonts w:ascii="Book Antiqua" w:hAnsi="Book Antiqua"/>
          <w:sz w:val="23"/>
          <w:szCs w:val="23"/>
          <w:lang w:val="en-GB"/>
        </w:rPr>
      </w:pPr>
    </w:p>
    <w:p w14:paraId="5370A0C2" w14:textId="77777777" w:rsidR="001362CD" w:rsidRPr="003E3613" w:rsidRDefault="001362CD"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Regarding the legal criteria of </w:t>
      </w:r>
      <w:r w:rsidR="00744F20" w:rsidRPr="003E3613">
        <w:rPr>
          <w:rFonts w:ascii="Book Antiqua" w:hAnsi="Book Antiqua"/>
          <w:sz w:val="23"/>
          <w:szCs w:val="23"/>
          <w:lang w:val="en-GB"/>
        </w:rPr>
        <w:t xml:space="preserve">transferring of </w:t>
      </w:r>
      <w:r w:rsidRPr="003E3613">
        <w:rPr>
          <w:rFonts w:ascii="Book Antiqua" w:hAnsi="Book Antiqua"/>
          <w:sz w:val="23"/>
          <w:szCs w:val="23"/>
          <w:lang w:val="en-GB"/>
        </w:rPr>
        <w:t xml:space="preserve">cases from one prosecutor to another it must be pointed out that Order No. 12/2012 (VI. 8.) of the Prosecutor General was amended in 2015 in a way that the officer of the prosecution service who is entitled to assign the cases – according to the rules of the </w:t>
      </w:r>
      <w:r w:rsidR="00BD0A8B" w:rsidRPr="003E3613">
        <w:rPr>
          <w:rFonts w:ascii="Book Antiqua" w:hAnsi="Book Antiqua"/>
          <w:sz w:val="23"/>
          <w:szCs w:val="23"/>
          <w:lang w:val="en-GB"/>
        </w:rPr>
        <w:t>organisation</w:t>
      </w:r>
      <w:r w:rsidRPr="003E3613">
        <w:rPr>
          <w:rFonts w:ascii="Book Antiqua" w:hAnsi="Book Antiqua"/>
          <w:sz w:val="23"/>
          <w:szCs w:val="23"/>
          <w:lang w:val="en-GB"/>
        </w:rPr>
        <w:t xml:space="preserve"> and operation of the prosecution service – shall assign the file from one case handler to another, and shall include the reason for moving the case</w:t>
      </w:r>
      <w:r w:rsidR="00B9629E" w:rsidRPr="003E3613">
        <w:rPr>
          <w:rFonts w:ascii="Book Antiqua" w:hAnsi="Book Antiqua"/>
          <w:sz w:val="23"/>
          <w:szCs w:val="23"/>
          <w:lang w:val="en-GB"/>
        </w:rPr>
        <w:t xml:space="preserve"> in the file</w:t>
      </w:r>
      <w:r w:rsidRPr="003E3613">
        <w:rPr>
          <w:rFonts w:ascii="Book Antiqua" w:hAnsi="Book Antiqua"/>
          <w:sz w:val="23"/>
          <w:szCs w:val="23"/>
          <w:lang w:val="en-GB"/>
        </w:rPr>
        <w:t>.</w:t>
      </w:r>
    </w:p>
    <w:p w14:paraId="22D40C78" w14:textId="77777777" w:rsidR="00916F3B" w:rsidRPr="003E3613" w:rsidRDefault="00916F3B" w:rsidP="00204696">
      <w:pPr>
        <w:spacing w:after="0"/>
        <w:jc w:val="both"/>
        <w:rPr>
          <w:rFonts w:ascii="Book Antiqua" w:hAnsi="Book Antiqua"/>
          <w:sz w:val="23"/>
          <w:szCs w:val="23"/>
          <w:lang w:val="en-GB"/>
        </w:rPr>
      </w:pPr>
    </w:p>
    <w:p w14:paraId="3BEF10D7" w14:textId="77777777" w:rsidR="0003383B" w:rsidRPr="003E3613" w:rsidRDefault="00916F3B"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In this context it should be noted </w:t>
      </w:r>
      <w:r w:rsidR="007A1D58" w:rsidRPr="003E3613">
        <w:rPr>
          <w:rFonts w:ascii="Book Antiqua" w:hAnsi="Book Antiqua"/>
          <w:sz w:val="23"/>
          <w:szCs w:val="23"/>
          <w:lang w:val="en-GB"/>
        </w:rPr>
        <w:t xml:space="preserve">that </w:t>
      </w:r>
      <w:r w:rsidRPr="003E3613">
        <w:rPr>
          <w:rFonts w:ascii="Book Antiqua" w:hAnsi="Book Antiqua"/>
          <w:sz w:val="23"/>
          <w:szCs w:val="23"/>
          <w:lang w:val="en-GB"/>
        </w:rPr>
        <w:t xml:space="preserve">the Commission in its </w:t>
      </w:r>
      <w:r w:rsidR="00B024C3" w:rsidRPr="003E3613">
        <w:rPr>
          <w:rFonts w:ascii="Book Antiqua" w:hAnsi="Book Antiqua"/>
          <w:sz w:val="23"/>
          <w:szCs w:val="23"/>
          <w:lang w:val="en-GB"/>
        </w:rPr>
        <w:t xml:space="preserve">2018 and </w:t>
      </w:r>
      <w:r w:rsidR="00543E82" w:rsidRPr="003E3613">
        <w:rPr>
          <w:rFonts w:ascii="Book Antiqua" w:hAnsi="Book Antiqua"/>
          <w:sz w:val="23"/>
          <w:szCs w:val="23"/>
          <w:lang w:val="en-GB"/>
        </w:rPr>
        <w:t>2019</w:t>
      </w:r>
      <w:r w:rsidR="00284335" w:rsidRPr="003E3613">
        <w:rPr>
          <w:rFonts w:ascii="Book Antiqua" w:hAnsi="Book Antiqua"/>
          <w:sz w:val="23"/>
          <w:szCs w:val="23"/>
          <w:lang w:val="en-GB"/>
        </w:rPr>
        <w:t xml:space="preserve"> Justice Scoreboard</w:t>
      </w:r>
      <w:r w:rsidR="00543E82" w:rsidRPr="003E3613">
        <w:rPr>
          <w:rStyle w:val="FootnoteReference"/>
          <w:rFonts w:ascii="Book Antiqua" w:hAnsi="Book Antiqua"/>
          <w:sz w:val="23"/>
          <w:szCs w:val="23"/>
          <w:lang w:val="en-GB"/>
        </w:rPr>
        <w:footnoteReference w:id="18"/>
      </w:r>
      <w:r w:rsidR="00284335" w:rsidRPr="003E3613">
        <w:rPr>
          <w:rFonts w:ascii="Book Antiqua" w:hAnsi="Book Antiqua"/>
          <w:sz w:val="23"/>
          <w:szCs w:val="23"/>
          <w:lang w:val="en-GB"/>
        </w:rPr>
        <w:t xml:space="preserve"> </w:t>
      </w:r>
      <w:r w:rsidR="007A1D58" w:rsidRPr="003E3613">
        <w:rPr>
          <w:rFonts w:ascii="Book Antiqua" w:hAnsi="Book Antiqua"/>
          <w:sz w:val="23"/>
          <w:szCs w:val="23"/>
          <w:lang w:val="en-GB"/>
        </w:rPr>
        <w:t xml:space="preserve">claims </w:t>
      </w:r>
      <w:r w:rsidR="00284335" w:rsidRPr="003E3613">
        <w:rPr>
          <w:rFonts w:ascii="Book Antiqua" w:hAnsi="Book Antiqua"/>
          <w:sz w:val="23"/>
          <w:szCs w:val="23"/>
          <w:lang w:val="en-GB"/>
        </w:rPr>
        <w:t xml:space="preserve">that Hungary is among the Member States where the management power of the prosecution services belongs solely to the Prosecutor General. </w:t>
      </w:r>
      <w:r w:rsidR="005B4870" w:rsidRPr="003E3613">
        <w:rPr>
          <w:rFonts w:ascii="Book Antiqua" w:hAnsi="Book Antiqua"/>
          <w:sz w:val="23"/>
          <w:szCs w:val="23"/>
          <w:lang w:val="en-GB"/>
        </w:rPr>
        <w:t>T</w:t>
      </w:r>
      <w:r w:rsidR="00284335" w:rsidRPr="003E3613">
        <w:rPr>
          <w:rFonts w:ascii="Book Antiqua" w:hAnsi="Book Antiqua"/>
          <w:sz w:val="23"/>
          <w:szCs w:val="23"/>
          <w:lang w:val="en-GB"/>
        </w:rPr>
        <w:t>he executive does not have power to decide on a disciplinary measure regarding a prosecutor, the power to transfer prosecutors without their consent or the power to evaluate and promote a prosecutor. In Hungary neither the executive nor the parliament have the possibility to give general guidance on crime policy or instructions on prosecution in individual cases</w:t>
      </w:r>
      <w:r w:rsidRPr="003E3613">
        <w:rPr>
          <w:rFonts w:ascii="Book Antiqua" w:hAnsi="Book Antiqua"/>
          <w:sz w:val="23"/>
          <w:szCs w:val="23"/>
          <w:lang w:val="en-GB"/>
        </w:rPr>
        <w:t>.</w:t>
      </w:r>
    </w:p>
    <w:p w14:paraId="5D65D940" w14:textId="77777777" w:rsidR="005435DA" w:rsidRPr="003E3613" w:rsidRDefault="005435DA" w:rsidP="00204696">
      <w:pPr>
        <w:spacing w:after="0"/>
        <w:jc w:val="both"/>
        <w:rPr>
          <w:rFonts w:ascii="Book Antiqua" w:hAnsi="Book Antiqua"/>
          <w:i/>
          <w:sz w:val="23"/>
          <w:szCs w:val="23"/>
          <w:lang w:val="en-GB"/>
        </w:rPr>
      </w:pPr>
    </w:p>
    <w:p w14:paraId="274C6197" w14:textId="77777777" w:rsidR="00FE58EF" w:rsidRPr="003E3613" w:rsidRDefault="00FE58EF" w:rsidP="00204696">
      <w:pPr>
        <w:spacing w:after="0"/>
        <w:jc w:val="both"/>
        <w:rPr>
          <w:rFonts w:ascii="Book Antiqua" w:hAnsi="Book Antiqua"/>
          <w:b/>
          <w:sz w:val="23"/>
          <w:szCs w:val="23"/>
          <w:lang w:val="en-GB"/>
        </w:rPr>
      </w:pPr>
      <w:r w:rsidRPr="003E3613">
        <w:rPr>
          <w:rFonts w:ascii="Book Antiqua" w:hAnsi="Book Antiqua"/>
          <w:b/>
          <w:sz w:val="23"/>
          <w:szCs w:val="23"/>
          <w:lang w:val="en-GB"/>
        </w:rPr>
        <w:t>The Fundamental Law of Hungary and the other pieces of legislation fully ensure the independence of the courts and judges in Hungary. Therefore, it is not justified to mention the elements of recitals 12-19 in a reasoned proposal requesting the Council to determine, pursuant to Article 7(1) of the Treaty on European Union, the existence of a clear risk of a serious breach by Hungary of the values on which the Union is founded.</w:t>
      </w:r>
    </w:p>
    <w:p w14:paraId="3848A291" w14:textId="77777777" w:rsidR="00884ADF" w:rsidRPr="003E3613" w:rsidRDefault="00884ADF" w:rsidP="00204696">
      <w:pPr>
        <w:spacing w:after="0"/>
        <w:jc w:val="both"/>
        <w:rPr>
          <w:rFonts w:ascii="Book Antiqua" w:hAnsi="Book Antiqua"/>
          <w:b/>
          <w:sz w:val="23"/>
          <w:szCs w:val="23"/>
          <w:lang w:val="en-GB"/>
        </w:rPr>
      </w:pPr>
    </w:p>
    <w:p w14:paraId="55915DCE" w14:textId="77777777" w:rsidR="00507F12" w:rsidRPr="003E3613" w:rsidRDefault="00057BA9" w:rsidP="00204696">
      <w:pPr>
        <w:pStyle w:val="Heading1"/>
        <w:keepNext w:val="0"/>
        <w:keepLines w:val="0"/>
        <w:pBdr>
          <w:top w:val="single" w:sz="4" w:space="1" w:color="auto"/>
          <w:left w:val="single" w:sz="4" w:space="4" w:color="auto"/>
          <w:bottom w:val="single" w:sz="4" w:space="1" w:color="auto"/>
          <w:right w:val="single" w:sz="4" w:space="4" w:color="auto"/>
        </w:pBdr>
        <w:shd w:val="clear" w:color="auto" w:fill="C6D9F1" w:themeFill="text2" w:themeFillTint="33"/>
        <w:spacing w:before="0"/>
        <w:rPr>
          <w:rFonts w:ascii="Book Antiqua" w:hAnsi="Book Antiqua"/>
          <w:color w:val="auto"/>
          <w:sz w:val="23"/>
          <w:szCs w:val="23"/>
          <w:lang w:val="en-GB"/>
        </w:rPr>
      </w:pPr>
      <w:bookmarkStart w:id="16" w:name="_Toc19120777"/>
      <w:r w:rsidRPr="003E3613">
        <w:rPr>
          <w:rFonts w:ascii="Book Antiqua" w:hAnsi="Book Antiqua"/>
          <w:bCs w:val="0"/>
          <w:color w:val="000000" w:themeColor="text1"/>
          <w:sz w:val="23"/>
          <w:szCs w:val="23"/>
          <w:lang w:val="en-GB"/>
        </w:rPr>
        <w:t>Corruption and conflicts of interest</w:t>
      </w:r>
      <w:bookmarkEnd w:id="16"/>
      <w:r w:rsidR="002E561C" w:rsidRPr="003E3613">
        <w:rPr>
          <w:rFonts w:ascii="Book Antiqua" w:hAnsi="Book Antiqua"/>
          <w:color w:val="auto"/>
          <w:sz w:val="23"/>
          <w:szCs w:val="23"/>
          <w:lang w:val="en-GB"/>
        </w:rPr>
        <w:t xml:space="preserve"> </w:t>
      </w:r>
    </w:p>
    <w:p w14:paraId="44C88C77" w14:textId="77777777" w:rsidR="00507F12" w:rsidRPr="003E3613" w:rsidRDefault="00507F12" w:rsidP="00204696">
      <w:pPr>
        <w:spacing w:after="0"/>
        <w:jc w:val="both"/>
        <w:rPr>
          <w:rFonts w:ascii="Book Antiqua" w:hAnsi="Book Antiqua"/>
          <w:b/>
          <w:sz w:val="23"/>
          <w:szCs w:val="23"/>
          <w:lang w:val="en-GB"/>
        </w:rPr>
      </w:pPr>
    </w:p>
    <w:p w14:paraId="5CC188E5" w14:textId="77777777" w:rsidR="00FC3B90" w:rsidRPr="003E3613" w:rsidRDefault="00F94F05" w:rsidP="00204696">
      <w:pPr>
        <w:jc w:val="both"/>
        <w:rPr>
          <w:rFonts w:ascii="Book Antiqua" w:hAnsi="Book Antiqua"/>
          <w:sz w:val="23"/>
          <w:szCs w:val="23"/>
          <w:lang w:val="en-GB"/>
        </w:rPr>
      </w:pPr>
      <w:r w:rsidRPr="003E3613">
        <w:rPr>
          <w:rFonts w:ascii="Book Antiqua" w:hAnsi="Book Antiqua"/>
          <w:sz w:val="23"/>
          <w:szCs w:val="23"/>
          <w:lang w:val="en-GB"/>
        </w:rPr>
        <w:lastRenderedPageBreak/>
        <w:t>The title of this chapter proves again a deeply bias</w:t>
      </w:r>
      <w:r w:rsidR="0058327A" w:rsidRPr="003E3613">
        <w:rPr>
          <w:rFonts w:ascii="Book Antiqua" w:hAnsi="Book Antiqua"/>
          <w:sz w:val="23"/>
          <w:szCs w:val="23"/>
          <w:lang w:val="en-GB"/>
        </w:rPr>
        <w:t>ed</w:t>
      </w:r>
      <w:r w:rsidRPr="003E3613">
        <w:rPr>
          <w:rFonts w:ascii="Book Antiqua" w:hAnsi="Book Antiqua"/>
          <w:sz w:val="23"/>
          <w:szCs w:val="23"/>
          <w:lang w:val="en-GB"/>
        </w:rPr>
        <w:t xml:space="preserve"> approach of those who drafted the </w:t>
      </w:r>
      <w:r w:rsidR="0058327A" w:rsidRPr="003E3613">
        <w:rPr>
          <w:rFonts w:ascii="Book Antiqua" w:hAnsi="Book Antiqua"/>
          <w:sz w:val="23"/>
          <w:szCs w:val="23"/>
          <w:lang w:val="en-GB"/>
        </w:rPr>
        <w:t>reasoned proposal</w:t>
      </w:r>
      <w:r w:rsidRPr="003E3613">
        <w:rPr>
          <w:rFonts w:ascii="Book Antiqua" w:hAnsi="Book Antiqua"/>
          <w:sz w:val="23"/>
          <w:szCs w:val="23"/>
          <w:lang w:val="en-GB"/>
        </w:rPr>
        <w:t xml:space="preserve">. The title </w:t>
      </w:r>
      <w:r w:rsidR="0058327A" w:rsidRPr="003E3613">
        <w:rPr>
          <w:rFonts w:ascii="Book Antiqua" w:hAnsi="Book Antiqua"/>
          <w:sz w:val="23"/>
          <w:szCs w:val="23"/>
          <w:lang w:val="en-GB"/>
        </w:rPr>
        <w:t>suggests</w:t>
      </w:r>
      <w:r w:rsidRPr="003E3613">
        <w:rPr>
          <w:rFonts w:ascii="Book Antiqua" w:hAnsi="Book Antiqua"/>
          <w:sz w:val="23"/>
          <w:szCs w:val="23"/>
          <w:lang w:val="en-GB"/>
        </w:rPr>
        <w:t xml:space="preserve"> </w:t>
      </w:r>
      <w:r w:rsidR="0058327A" w:rsidRPr="003E3613">
        <w:rPr>
          <w:rFonts w:ascii="Book Antiqua" w:hAnsi="Book Antiqua"/>
          <w:sz w:val="23"/>
          <w:szCs w:val="23"/>
          <w:lang w:val="en-GB"/>
        </w:rPr>
        <w:t xml:space="preserve">as if </w:t>
      </w:r>
      <w:r w:rsidRPr="003E3613">
        <w:rPr>
          <w:rFonts w:ascii="Book Antiqua" w:hAnsi="Book Antiqua"/>
          <w:sz w:val="23"/>
          <w:szCs w:val="23"/>
          <w:lang w:val="en-GB"/>
        </w:rPr>
        <w:t xml:space="preserve">there </w:t>
      </w:r>
      <w:r w:rsidR="0058327A" w:rsidRPr="003E3613">
        <w:rPr>
          <w:rFonts w:ascii="Book Antiqua" w:hAnsi="Book Antiqua"/>
          <w:sz w:val="23"/>
          <w:szCs w:val="23"/>
          <w:lang w:val="en-GB"/>
        </w:rPr>
        <w:t xml:space="preserve">would be </w:t>
      </w:r>
      <w:r w:rsidRPr="003E3613">
        <w:rPr>
          <w:rFonts w:ascii="Book Antiqua" w:hAnsi="Book Antiqua"/>
          <w:sz w:val="23"/>
          <w:szCs w:val="23"/>
          <w:lang w:val="en-GB"/>
        </w:rPr>
        <w:t>serious problems in this field in Hungar</w:t>
      </w:r>
      <w:r w:rsidR="0058327A" w:rsidRPr="003E3613">
        <w:rPr>
          <w:rFonts w:ascii="Book Antiqua" w:hAnsi="Book Antiqua"/>
          <w:sz w:val="23"/>
          <w:szCs w:val="23"/>
          <w:lang w:val="en-GB"/>
        </w:rPr>
        <w:t>y</w:t>
      </w:r>
      <w:r w:rsidRPr="003E3613">
        <w:rPr>
          <w:rFonts w:ascii="Book Antiqua" w:hAnsi="Book Antiqua"/>
          <w:sz w:val="23"/>
          <w:szCs w:val="23"/>
          <w:lang w:val="en-GB"/>
        </w:rPr>
        <w:t xml:space="preserve">. </w:t>
      </w:r>
      <w:r w:rsidR="0058327A" w:rsidRPr="003E3613">
        <w:rPr>
          <w:rFonts w:ascii="Book Antiqua" w:hAnsi="Book Antiqua"/>
          <w:sz w:val="23"/>
          <w:szCs w:val="23"/>
          <w:lang w:val="en-GB"/>
        </w:rPr>
        <w:t>T</w:t>
      </w:r>
      <w:r w:rsidRPr="003E3613">
        <w:rPr>
          <w:rFonts w:ascii="Book Antiqua" w:hAnsi="Book Antiqua"/>
          <w:sz w:val="23"/>
          <w:szCs w:val="23"/>
          <w:lang w:val="en-GB"/>
        </w:rPr>
        <w:t xml:space="preserve">he detailed text of the </w:t>
      </w:r>
      <w:r w:rsidR="00BE1E50" w:rsidRPr="003E3613">
        <w:rPr>
          <w:rFonts w:ascii="Book Antiqua" w:hAnsi="Book Antiqua"/>
          <w:sz w:val="23"/>
          <w:szCs w:val="23"/>
          <w:lang w:val="en-GB"/>
        </w:rPr>
        <w:t xml:space="preserve">reasoned </w:t>
      </w:r>
      <w:r w:rsidR="0058327A" w:rsidRPr="003E3613">
        <w:rPr>
          <w:rFonts w:ascii="Book Antiqua" w:hAnsi="Book Antiqua"/>
          <w:sz w:val="23"/>
          <w:szCs w:val="23"/>
          <w:lang w:val="en-GB"/>
        </w:rPr>
        <w:t xml:space="preserve">proposal, however, </w:t>
      </w:r>
      <w:r w:rsidRPr="003E3613">
        <w:rPr>
          <w:rFonts w:ascii="Book Antiqua" w:hAnsi="Book Antiqua"/>
          <w:sz w:val="23"/>
          <w:szCs w:val="23"/>
          <w:lang w:val="en-GB"/>
        </w:rPr>
        <w:t>does not refer to any hard facts as regards corruption</w:t>
      </w:r>
      <w:r w:rsidR="00106710" w:rsidRPr="003E3613">
        <w:rPr>
          <w:rFonts w:ascii="Book Antiqua" w:hAnsi="Book Antiqua"/>
          <w:sz w:val="23"/>
          <w:szCs w:val="23"/>
          <w:lang w:val="en-GB"/>
        </w:rPr>
        <w:t xml:space="preserve">. </w:t>
      </w:r>
      <w:r w:rsidR="00D10B26" w:rsidRPr="003E3613">
        <w:rPr>
          <w:rFonts w:ascii="Book Antiqua" w:hAnsi="Book Antiqua"/>
          <w:sz w:val="23"/>
          <w:szCs w:val="23"/>
          <w:lang w:val="en-GB"/>
        </w:rPr>
        <w:t xml:space="preserve">International </w:t>
      </w:r>
      <w:r w:rsidR="00BD0A8B" w:rsidRPr="003E3613">
        <w:rPr>
          <w:rFonts w:ascii="Book Antiqua" w:hAnsi="Book Antiqua"/>
          <w:sz w:val="23"/>
          <w:szCs w:val="23"/>
          <w:lang w:val="en-GB"/>
        </w:rPr>
        <w:t>organisation</w:t>
      </w:r>
      <w:r w:rsidR="00D10B26" w:rsidRPr="003E3613">
        <w:rPr>
          <w:rFonts w:ascii="Book Antiqua" w:hAnsi="Book Antiqua"/>
          <w:sz w:val="23"/>
          <w:szCs w:val="23"/>
          <w:lang w:val="en-GB"/>
        </w:rPr>
        <w:t xml:space="preserve">s or NGOs do not necessarily provide objective analysis and they tend to present their findings without any international benchmarks. </w:t>
      </w:r>
    </w:p>
    <w:p w14:paraId="07ADA6F7" w14:textId="77777777" w:rsidR="00F7248B" w:rsidRPr="003E3613" w:rsidRDefault="00106710" w:rsidP="00204696">
      <w:pPr>
        <w:jc w:val="both"/>
        <w:rPr>
          <w:lang w:val="en-GB"/>
        </w:rPr>
      </w:pPr>
      <w:r w:rsidRPr="003E3613">
        <w:rPr>
          <w:rFonts w:ascii="Book Antiqua" w:hAnsi="Book Antiqua"/>
          <w:sz w:val="23"/>
          <w:szCs w:val="23"/>
          <w:lang w:val="en-GB"/>
        </w:rPr>
        <w:t>T</w:t>
      </w:r>
      <w:r w:rsidR="00F94F05" w:rsidRPr="003E3613">
        <w:rPr>
          <w:rFonts w:ascii="Book Antiqua" w:hAnsi="Book Antiqua"/>
          <w:sz w:val="23"/>
          <w:szCs w:val="23"/>
          <w:lang w:val="en-GB"/>
        </w:rPr>
        <w:t xml:space="preserve">he Hungarian rules eliminating the conflict of interest are strict and comprehensive even in a European comparison. Corruption as such is a serious allegation, which should be proved </w:t>
      </w:r>
      <w:r w:rsidR="006157BB" w:rsidRPr="003E3613">
        <w:rPr>
          <w:rFonts w:ascii="Book Antiqua" w:hAnsi="Book Antiqua"/>
          <w:sz w:val="23"/>
          <w:szCs w:val="23"/>
          <w:lang w:val="en-GB"/>
        </w:rPr>
        <w:t xml:space="preserve">more seriously </w:t>
      </w:r>
      <w:r w:rsidR="00F82F3E" w:rsidRPr="003E3613">
        <w:rPr>
          <w:rFonts w:ascii="Book Antiqua" w:hAnsi="Book Antiqua"/>
          <w:sz w:val="23"/>
          <w:szCs w:val="23"/>
          <w:lang w:val="en-GB"/>
        </w:rPr>
        <w:t>than only m</w:t>
      </w:r>
      <w:r w:rsidR="00F94F05" w:rsidRPr="003E3613">
        <w:rPr>
          <w:rFonts w:ascii="Book Antiqua" w:hAnsi="Book Antiqua"/>
          <w:sz w:val="23"/>
          <w:szCs w:val="23"/>
          <w:lang w:val="en-GB"/>
        </w:rPr>
        <w:t xml:space="preserve">entioning reports, perceptions and </w:t>
      </w:r>
      <w:r w:rsidR="00F82F3E" w:rsidRPr="003E3613">
        <w:rPr>
          <w:rFonts w:ascii="Book Antiqua" w:hAnsi="Book Antiqua"/>
          <w:sz w:val="23"/>
          <w:szCs w:val="23"/>
          <w:lang w:val="en-GB"/>
        </w:rPr>
        <w:t xml:space="preserve">the general </w:t>
      </w:r>
      <w:r w:rsidR="00F94F05" w:rsidRPr="003E3613">
        <w:rPr>
          <w:rFonts w:ascii="Book Antiqua" w:hAnsi="Book Antiqua"/>
          <w:sz w:val="23"/>
          <w:szCs w:val="23"/>
          <w:lang w:val="en-GB"/>
        </w:rPr>
        <w:t xml:space="preserve">feelings about </w:t>
      </w:r>
      <w:r w:rsidR="00F82F3E" w:rsidRPr="003E3613">
        <w:rPr>
          <w:rFonts w:ascii="Book Antiqua" w:hAnsi="Book Antiqua"/>
          <w:sz w:val="23"/>
          <w:szCs w:val="23"/>
          <w:lang w:val="en-GB"/>
        </w:rPr>
        <w:t>it</w:t>
      </w:r>
      <w:r w:rsidR="00F94F05" w:rsidRPr="003E3613">
        <w:rPr>
          <w:rFonts w:ascii="Book Antiqua" w:hAnsi="Book Antiqua"/>
          <w:sz w:val="23"/>
          <w:szCs w:val="23"/>
          <w:lang w:val="en-GB"/>
        </w:rPr>
        <w:t xml:space="preserve">. Corruption is a phenomenon </w:t>
      </w:r>
      <w:r w:rsidR="0058327A" w:rsidRPr="003E3613">
        <w:rPr>
          <w:rFonts w:ascii="Book Antiqua" w:hAnsi="Book Antiqua"/>
          <w:sz w:val="23"/>
          <w:szCs w:val="23"/>
          <w:lang w:val="en-GB"/>
        </w:rPr>
        <w:t xml:space="preserve">against which </w:t>
      </w:r>
      <w:r w:rsidR="00F94F05" w:rsidRPr="003E3613">
        <w:rPr>
          <w:rFonts w:ascii="Book Antiqua" w:hAnsi="Book Antiqua"/>
          <w:sz w:val="23"/>
          <w:szCs w:val="23"/>
          <w:lang w:val="en-GB"/>
        </w:rPr>
        <w:t>all EU Member States are fighting</w:t>
      </w:r>
      <w:r w:rsidR="001B3775" w:rsidRPr="003E3613">
        <w:rPr>
          <w:rFonts w:ascii="Book Antiqua" w:hAnsi="Book Antiqua"/>
          <w:sz w:val="23"/>
          <w:szCs w:val="23"/>
          <w:lang w:val="en-GB"/>
        </w:rPr>
        <w:t xml:space="preserve"> and even the EU institutions are vulnerable to corruption with the growing trend of drawing up laws behind closed doors, and the ‘revolving door’ of EU lawmakers</w:t>
      </w:r>
      <w:r w:rsidR="00F94F05" w:rsidRPr="003E3613">
        <w:rPr>
          <w:rFonts w:ascii="Book Antiqua" w:hAnsi="Book Antiqua"/>
          <w:sz w:val="23"/>
          <w:szCs w:val="23"/>
          <w:lang w:val="en-GB"/>
        </w:rPr>
        <w:t xml:space="preserve">. Drawing conclusions from one case picked up </w:t>
      </w:r>
      <w:r w:rsidR="0058327A" w:rsidRPr="003E3613">
        <w:rPr>
          <w:rFonts w:ascii="Book Antiqua" w:hAnsi="Book Antiqua"/>
          <w:sz w:val="23"/>
          <w:szCs w:val="23"/>
          <w:lang w:val="en-GB"/>
        </w:rPr>
        <w:t xml:space="preserve">in </w:t>
      </w:r>
      <w:r w:rsidR="00F94F05" w:rsidRPr="003E3613">
        <w:rPr>
          <w:rFonts w:ascii="Book Antiqua" w:hAnsi="Book Antiqua"/>
          <w:sz w:val="23"/>
          <w:szCs w:val="23"/>
          <w:lang w:val="en-GB"/>
        </w:rPr>
        <w:t xml:space="preserve">the media is not the right way to assess any situation. Hungary is clearly committed against corruption which is stipulated in all </w:t>
      </w:r>
      <w:r w:rsidR="0058327A" w:rsidRPr="003E3613">
        <w:rPr>
          <w:rFonts w:ascii="Book Antiqua" w:hAnsi="Book Antiqua"/>
          <w:sz w:val="23"/>
          <w:szCs w:val="23"/>
          <w:lang w:val="en-GB"/>
        </w:rPr>
        <w:t xml:space="preserve">the </w:t>
      </w:r>
      <w:r w:rsidR="00F94F05" w:rsidRPr="003E3613">
        <w:rPr>
          <w:rFonts w:ascii="Book Antiqua" w:hAnsi="Book Antiqua"/>
          <w:sz w:val="23"/>
          <w:szCs w:val="23"/>
          <w:lang w:val="en-GB"/>
        </w:rPr>
        <w:t>relevant legislation.</w:t>
      </w:r>
    </w:p>
    <w:p w14:paraId="2BEB092E" w14:textId="0BFF5C22" w:rsidR="001B3775" w:rsidRPr="003E3613" w:rsidRDefault="001B3775" w:rsidP="00204696">
      <w:pPr>
        <w:spacing w:after="0"/>
        <w:jc w:val="both"/>
        <w:rPr>
          <w:rFonts w:ascii="Book Antiqua" w:hAnsi="Book Antiqua"/>
          <w:sz w:val="23"/>
          <w:szCs w:val="23"/>
          <w:lang w:val="en-GB"/>
        </w:rPr>
      </w:pPr>
      <w:r w:rsidRPr="003E3613">
        <w:rPr>
          <w:rFonts w:ascii="Book Antiqua" w:hAnsi="Book Antiqua"/>
          <w:sz w:val="23"/>
          <w:szCs w:val="23"/>
          <w:lang w:val="en-GB"/>
        </w:rPr>
        <w:t>It must be pointed out that by joining the European Union</w:t>
      </w:r>
      <w:r w:rsidR="00974BAC" w:rsidRPr="003E3613">
        <w:rPr>
          <w:rFonts w:ascii="Book Antiqua" w:hAnsi="Book Antiqua"/>
          <w:sz w:val="23"/>
          <w:szCs w:val="23"/>
          <w:lang w:val="en-GB"/>
        </w:rPr>
        <w:t>,</w:t>
      </w:r>
      <w:r w:rsidRPr="003E3613">
        <w:rPr>
          <w:rFonts w:ascii="Book Antiqua" w:hAnsi="Book Antiqua"/>
          <w:sz w:val="23"/>
          <w:szCs w:val="23"/>
          <w:lang w:val="en-GB"/>
        </w:rPr>
        <w:t xml:space="preserve"> Hungary undertook an obligation to transpose the international anti-corruption treaties into the Hungarian legislation and to strengthen the transparency of the operation of the state.</w:t>
      </w:r>
      <w:r w:rsidR="001F6F2B" w:rsidRPr="003E3613">
        <w:rPr>
          <w:rFonts w:ascii="Book Antiqua" w:hAnsi="Book Antiqua"/>
          <w:sz w:val="23"/>
          <w:szCs w:val="23"/>
          <w:lang w:val="en-GB"/>
        </w:rPr>
        <w:t xml:space="preserve"> </w:t>
      </w:r>
      <w:r w:rsidRPr="003E3613">
        <w:rPr>
          <w:rFonts w:ascii="Book Antiqua" w:hAnsi="Book Antiqua"/>
          <w:sz w:val="23"/>
          <w:szCs w:val="23"/>
          <w:lang w:val="en-GB"/>
        </w:rPr>
        <w:t xml:space="preserve">We have always been cooperating with the Venice Commission in the last 10 years, their opinion have always been taken into account. Nevertheless, we stress that the Venice Commission is an advisory body, and non-compliance with its opinion cannot be the basis of an infringement procedure, let alone an Article 7 procedure. If Venice Commission and GRECO opinions were obligatory, then each and every Member State could be condemned. As regards GRECO recommendations, 15 out of 47 GRECO Member States are the subjects of a </w:t>
      </w:r>
      <w:r w:rsidR="009C269D" w:rsidRPr="003E3613">
        <w:rPr>
          <w:rFonts w:ascii="Book Antiqua" w:hAnsi="Book Antiqua"/>
          <w:sz w:val="23"/>
          <w:szCs w:val="23"/>
          <w:lang w:val="en-GB"/>
        </w:rPr>
        <w:t>non-</w:t>
      </w:r>
      <w:r w:rsidRPr="003E3613">
        <w:rPr>
          <w:rFonts w:ascii="Book Antiqua" w:hAnsi="Book Antiqua"/>
          <w:sz w:val="23"/>
          <w:szCs w:val="23"/>
          <w:lang w:val="en-GB"/>
        </w:rPr>
        <w:t xml:space="preserve">compliance </w:t>
      </w:r>
      <w:r w:rsidR="009C269D" w:rsidRPr="003E3613">
        <w:rPr>
          <w:rFonts w:ascii="Book Antiqua" w:hAnsi="Book Antiqua"/>
          <w:sz w:val="23"/>
          <w:szCs w:val="23"/>
          <w:lang w:val="en-GB"/>
        </w:rPr>
        <w:t>procedure</w:t>
      </w:r>
      <w:r w:rsidRPr="003E3613">
        <w:rPr>
          <w:rFonts w:ascii="Book Antiqua" w:hAnsi="Book Antiqua"/>
          <w:sz w:val="23"/>
          <w:szCs w:val="23"/>
          <w:lang w:val="en-GB"/>
        </w:rPr>
        <w:t>.</w:t>
      </w:r>
    </w:p>
    <w:p w14:paraId="72CBED12" w14:textId="77777777" w:rsidR="00F94F05" w:rsidRPr="003E3613" w:rsidRDefault="00F94F05" w:rsidP="00204696">
      <w:pPr>
        <w:pStyle w:val="Heading2"/>
        <w:keepNext w:val="0"/>
        <w:keepLines w:val="0"/>
        <w:spacing w:before="0"/>
        <w:rPr>
          <w:rFonts w:ascii="Book Antiqua" w:hAnsi="Book Antiqua"/>
          <w:color w:val="auto"/>
          <w:sz w:val="23"/>
          <w:szCs w:val="23"/>
          <w:lang w:val="en-GB"/>
        </w:rPr>
      </w:pPr>
    </w:p>
    <w:p w14:paraId="1209B1AC" w14:textId="77777777" w:rsidR="009E488F" w:rsidRDefault="009E488F">
      <w:pPr>
        <w:rPr>
          <w:rFonts w:ascii="Book Antiqua" w:eastAsiaTheme="majorEastAsia" w:hAnsi="Book Antiqua" w:cstheme="majorBidi"/>
          <w:b/>
          <w:bCs/>
          <w:sz w:val="23"/>
          <w:szCs w:val="23"/>
          <w:lang w:val="en-GB"/>
        </w:rPr>
      </w:pPr>
      <w:r>
        <w:rPr>
          <w:rFonts w:ascii="Book Antiqua" w:hAnsi="Book Antiqua"/>
          <w:sz w:val="23"/>
          <w:szCs w:val="23"/>
          <w:lang w:val="en-GB"/>
        </w:rPr>
        <w:br w:type="page"/>
      </w:r>
    </w:p>
    <w:p w14:paraId="1452B0B2" w14:textId="2441F967" w:rsidR="00A320F0" w:rsidRPr="003E3613" w:rsidRDefault="00A320F0" w:rsidP="00204696">
      <w:pPr>
        <w:pStyle w:val="Heading2"/>
        <w:keepNext w:val="0"/>
        <w:keepLines w:val="0"/>
        <w:spacing w:before="0"/>
        <w:rPr>
          <w:rFonts w:ascii="Book Antiqua" w:hAnsi="Book Antiqua"/>
          <w:color w:val="auto"/>
          <w:sz w:val="23"/>
          <w:szCs w:val="23"/>
          <w:lang w:val="en-GB"/>
        </w:rPr>
      </w:pPr>
      <w:bookmarkStart w:id="17" w:name="_Toc19120778"/>
      <w:r w:rsidRPr="003E3613">
        <w:rPr>
          <w:rFonts w:ascii="Book Antiqua" w:hAnsi="Book Antiqua"/>
          <w:color w:val="auto"/>
          <w:sz w:val="23"/>
          <w:szCs w:val="23"/>
          <w:lang w:val="en-GB"/>
        </w:rPr>
        <w:lastRenderedPageBreak/>
        <w:t>Conflicts of interest of members of the Hungarian Parliament</w:t>
      </w:r>
      <w:bookmarkEnd w:id="17"/>
    </w:p>
    <w:p w14:paraId="43515888" w14:textId="77777777" w:rsidR="00A320F0" w:rsidRPr="003E3613" w:rsidRDefault="00A320F0" w:rsidP="00204696">
      <w:pPr>
        <w:spacing w:after="0"/>
        <w:jc w:val="both"/>
        <w:rPr>
          <w:rFonts w:ascii="Book Antiqua" w:hAnsi="Book Antiqua"/>
          <w:b/>
          <w:sz w:val="23"/>
          <w:szCs w:val="23"/>
          <w:lang w:val="en-GB"/>
        </w:rPr>
      </w:pPr>
    </w:p>
    <w:p w14:paraId="22BE3845" w14:textId="77777777" w:rsidR="00507F12" w:rsidRPr="003E3613" w:rsidRDefault="00507F12"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C63027" w:rsidRPr="003E3613">
        <w:rPr>
          <w:rFonts w:ascii="Book Antiqua" w:hAnsi="Book Antiqua"/>
          <w:i/>
          <w:sz w:val="23"/>
          <w:szCs w:val="23"/>
          <w:lang w:val="en-GB"/>
        </w:rPr>
        <w:t>20</w:t>
      </w:r>
      <w:r w:rsidRPr="003E3613">
        <w:rPr>
          <w:rFonts w:ascii="Book Antiqua" w:hAnsi="Book Antiqua"/>
          <w:i/>
          <w:sz w:val="23"/>
          <w:szCs w:val="23"/>
          <w:lang w:val="en-GB"/>
        </w:rPr>
        <w:t>) In its report adopted on 27 March 2015, GRECO called for the establishment of codes of conduct for members of the Hungarian Parliament (MPs) concerning guidance for cases of conflicts of interest. Furthermore, MPs should also be obliged to report conflicts of interest</w:t>
      </w:r>
      <w:r w:rsidR="00C63027" w:rsidRPr="003E3613">
        <w:rPr>
          <w:rFonts w:ascii="Book Antiqua" w:hAnsi="Book Antiqua"/>
          <w:i/>
          <w:sz w:val="23"/>
          <w:szCs w:val="23"/>
          <w:lang w:val="en-GB"/>
        </w:rPr>
        <w:t xml:space="preserve"> which arise</w:t>
      </w:r>
      <w:r w:rsidRPr="003E3613">
        <w:rPr>
          <w:rFonts w:ascii="Book Antiqua" w:hAnsi="Book Antiqua"/>
          <w:i/>
          <w:sz w:val="23"/>
          <w:szCs w:val="23"/>
          <w:lang w:val="en-GB"/>
        </w:rPr>
        <w:t xml:space="preserve"> in an ad hoc manner and this should be accompanied by a more robust obligation to submit asset declarations. This should also be accompanied by provisions that allow for sanctions for submitting inaccurate asset declarations.</w:t>
      </w:r>
      <w:r w:rsidR="00C63027" w:rsidRPr="003E3613">
        <w:rPr>
          <w:rFonts w:ascii="Book Antiqua" w:hAnsi="Book Antiqua"/>
          <w:i/>
          <w:sz w:val="23"/>
          <w:szCs w:val="23"/>
          <w:lang w:val="en-GB"/>
        </w:rPr>
        <w:t xml:space="preserve"> Moreover, asset declarations should be made public online to allow for genuine popular oversight. A standard electronic database should be put in place to allow for all declarations and modifications thereto to be accessible in a transparent manner.</w:t>
      </w:r>
    </w:p>
    <w:p w14:paraId="768160E4" w14:textId="77777777" w:rsidR="00725816" w:rsidRPr="003E3613" w:rsidRDefault="00725816" w:rsidP="00204696">
      <w:pPr>
        <w:spacing w:after="0"/>
        <w:jc w:val="both"/>
        <w:rPr>
          <w:rFonts w:ascii="Book Antiqua" w:hAnsi="Book Antiqua"/>
          <w:sz w:val="23"/>
          <w:szCs w:val="23"/>
          <w:lang w:val="en-GB"/>
        </w:rPr>
      </w:pPr>
    </w:p>
    <w:p w14:paraId="5C6F0303" w14:textId="77777777" w:rsidR="00474A43" w:rsidRPr="003E3613" w:rsidRDefault="00725816" w:rsidP="00204696">
      <w:pPr>
        <w:spacing w:after="0"/>
        <w:jc w:val="both"/>
        <w:rPr>
          <w:rFonts w:ascii="Book Antiqua" w:hAnsi="Book Antiqua"/>
          <w:sz w:val="23"/>
          <w:szCs w:val="23"/>
          <w:lang w:val="en-GB"/>
        </w:rPr>
      </w:pPr>
      <w:r w:rsidRPr="003E3613">
        <w:rPr>
          <w:rFonts w:ascii="Book Antiqua" w:hAnsi="Book Antiqua"/>
          <w:sz w:val="23"/>
          <w:szCs w:val="23"/>
          <w:lang w:val="en-GB"/>
        </w:rPr>
        <w:t>The Act XXXVI of 2012 on the National Assembly (here</w:t>
      </w:r>
      <w:r w:rsidR="000C5B28" w:rsidRPr="003E3613">
        <w:rPr>
          <w:rFonts w:ascii="Book Antiqua" w:hAnsi="Book Antiqua"/>
          <w:sz w:val="23"/>
          <w:szCs w:val="23"/>
          <w:lang w:val="en-GB"/>
        </w:rPr>
        <w:t>in</w:t>
      </w:r>
      <w:r w:rsidRPr="003E3613">
        <w:rPr>
          <w:rFonts w:ascii="Book Antiqua" w:hAnsi="Book Antiqua"/>
          <w:sz w:val="23"/>
          <w:szCs w:val="23"/>
          <w:lang w:val="en-GB"/>
        </w:rPr>
        <w:t>after: ANA)</w:t>
      </w:r>
      <w:r w:rsidR="00474A43" w:rsidRPr="003E3613">
        <w:rPr>
          <w:rFonts w:ascii="Book Antiqua" w:hAnsi="Book Antiqua"/>
          <w:sz w:val="23"/>
          <w:szCs w:val="23"/>
          <w:lang w:val="en-GB"/>
        </w:rPr>
        <w:t>, together with other pieces of legislation, establishes strict rules about conflict of interest for MPs. The goal of these regulations is to guarantee the independence of the legislative work an</w:t>
      </w:r>
      <w:r w:rsidR="00650522" w:rsidRPr="003E3613">
        <w:rPr>
          <w:rFonts w:ascii="Book Antiqua" w:hAnsi="Book Antiqua"/>
          <w:sz w:val="23"/>
          <w:szCs w:val="23"/>
          <w:lang w:val="en-GB"/>
        </w:rPr>
        <w:t>d to avoid unwanted influencing</w:t>
      </w:r>
      <w:r w:rsidR="00474A43" w:rsidRPr="003E3613">
        <w:rPr>
          <w:rFonts w:ascii="Book Antiqua" w:hAnsi="Book Antiqua"/>
          <w:sz w:val="23"/>
          <w:szCs w:val="23"/>
          <w:lang w:val="en-GB"/>
        </w:rPr>
        <w:t xml:space="preserve"> </w:t>
      </w:r>
      <w:r w:rsidR="00650522" w:rsidRPr="003E3613">
        <w:rPr>
          <w:rFonts w:ascii="Book Antiqua" w:hAnsi="Book Antiqua"/>
          <w:sz w:val="23"/>
          <w:szCs w:val="23"/>
          <w:lang w:val="en-GB"/>
        </w:rPr>
        <w:t xml:space="preserve">and </w:t>
      </w:r>
      <w:r w:rsidR="00474A43" w:rsidRPr="003E3613">
        <w:rPr>
          <w:rFonts w:ascii="Book Antiqua" w:hAnsi="Book Antiqua"/>
          <w:sz w:val="23"/>
          <w:szCs w:val="23"/>
          <w:lang w:val="en-GB"/>
        </w:rPr>
        <w:t xml:space="preserve">the concentration of positions and appointments. The rules created by the </w:t>
      </w:r>
      <w:r w:rsidRPr="003E3613">
        <w:rPr>
          <w:rFonts w:ascii="Book Antiqua" w:hAnsi="Book Antiqua"/>
          <w:sz w:val="23"/>
          <w:szCs w:val="23"/>
          <w:lang w:val="en-GB"/>
        </w:rPr>
        <w:t>ANA</w:t>
      </w:r>
      <w:r w:rsidR="00474A43" w:rsidRPr="003E3613">
        <w:rPr>
          <w:rFonts w:ascii="Book Antiqua" w:hAnsi="Book Antiqua"/>
          <w:sz w:val="23"/>
          <w:szCs w:val="23"/>
          <w:lang w:val="en-GB"/>
        </w:rPr>
        <w:t xml:space="preserve"> concerning conflict of interest, which have been in effect since the beginning of the 2014-18 parliamentary term, are stricter</w:t>
      </w:r>
      <w:r w:rsidR="009E3488" w:rsidRPr="003E3613">
        <w:rPr>
          <w:rFonts w:ascii="Book Antiqua" w:hAnsi="Book Antiqua"/>
          <w:sz w:val="23"/>
          <w:szCs w:val="23"/>
          <w:lang w:val="en-GB"/>
        </w:rPr>
        <w:t xml:space="preserve"> than the previous ones (also in force at the time of Hungary’s accession to the EU)</w:t>
      </w:r>
      <w:r w:rsidR="00474A43" w:rsidRPr="003E3613">
        <w:rPr>
          <w:rFonts w:ascii="Book Antiqua" w:hAnsi="Book Antiqua"/>
          <w:sz w:val="23"/>
          <w:szCs w:val="23"/>
          <w:lang w:val="en-GB"/>
        </w:rPr>
        <w:t xml:space="preserve">. The MP </w:t>
      </w:r>
      <w:r w:rsidR="009E3488" w:rsidRPr="003E3613">
        <w:rPr>
          <w:rFonts w:ascii="Book Antiqua" w:hAnsi="Book Antiqua"/>
          <w:sz w:val="23"/>
          <w:szCs w:val="23"/>
          <w:lang w:val="en-GB"/>
        </w:rPr>
        <w:t xml:space="preserve">status </w:t>
      </w:r>
      <w:r w:rsidR="00474A43" w:rsidRPr="003E3613">
        <w:rPr>
          <w:rFonts w:ascii="Book Antiqua" w:hAnsi="Book Antiqua"/>
          <w:sz w:val="23"/>
          <w:szCs w:val="23"/>
          <w:lang w:val="en-GB"/>
        </w:rPr>
        <w:t xml:space="preserve">is not compatible with any other national or local public administrative position or any business-related appointment. The MPs cannot </w:t>
      </w:r>
      <w:r w:rsidR="00AB38F5" w:rsidRPr="003E3613">
        <w:rPr>
          <w:rFonts w:ascii="Book Antiqua" w:hAnsi="Book Antiqua"/>
          <w:sz w:val="23"/>
          <w:szCs w:val="23"/>
          <w:lang w:val="en-GB"/>
        </w:rPr>
        <w:t xml:space="preserve">engage in </w:t>
      </w:r>
      <w:r w:rsidR="00474A43" w:rsidRPr="003E3613">
        <w:rPr>
          <w:rFonts w:ascii="Book Antiqua" w:hAnsi="Book Antiqua"/>
          <w:sz w:val="23"/>
          <w:szCs w:val="23"/>
          <w:lang w:val="en-GB"/>
        </w:rPr>
        <w:t xml:space="preserve">any income-providing activity and cannot accept remuneration for any other activity, </w:t>
      </w:r>
      <w:r w:rsidR="00AB38F5" w:rsidRPr="003E3613">
        <w:rPr>
          <w:rFonts w:ascii="Book Antiqua" w:hAnsi="Book Antiqua"/>
          <w:sz w:val="23"/>
          <w:szCs w:val="23"/>
          <w:lang w:val="en-GB"/>
        </w:rPr>
        <w:t>except</w:t>
      </w:r>
      <w:r w:rsidR="00474A43" w:rsidRPr="003E3613">
        <w:rPr>
          <w:rFonts w:ascii="Book Antiqua" w:hAnsi="Book Antiqua"/>
          <w:sz w:val="23"/>
          <w:szCs w:val="23"/>
          <w:lang w:val="en-GB"/>
        </w:rPr>
        <w:t xml:space="preserve"> academic, research-related, artistic, revise-related or editorial work, </w:t>
      </w:r>
      <w:r w:rsidR="00AB38F5" w:rsidRPr="003E3613">
        <w:rPr>
          <w:rFonts w:ascii="Book Antiqua" w:hAnsi="Book Antiqua"/>
          <w:sz w:val="23"/>
          <w:szCs w:val="23"/>
          <w:lang w:val="en-GB"/>
        </w:rPr>
        <w:t xml:space="preserve">as well as </w:t>
      </w:r>
      <w:r w:rsidR="00474A43" w:rsidRPr="003E3613">
        <w:rPr>
          <w:rFonts w:ascii="Book Antiqua" w:hAnsi="Book Antiqua"/>
          <w:sz w:val="23"/>
          <w:szCs w:val="23"/>
          <w:lang w:val="en-GB"/>
        </w:rPr>
        <w:t xml:space="preserve">any intellectual activity regulated by specific legislation or any activity carried out as a foster parent. The </w:t>
      </w:r>
      <w:r w:rsidR="009E3488" w:rsidRPr="003E3613">
        <w:rPr>
          <w:rFonts w:ascii="Book Antiqua" w:hAnsi="Book Antiqua"/>
          <w:sz w:val="23"/>
          <w:szCs w:val="23"/>
          <w:lang w:val="en-GB"/>
        </w:rPr>
        <w:t xml:space="preserve">ANA </w:t>
      </w:r>
      <w:r w:rsidR="00474A43" w:rsidRPr="003E3613">
        <w:rPr>
          <w:rFonts w:ascii="Book Antiqua" w:hAnsi="Book Antiqua"/>
          <w:sz w:val="23"/>
          <w:szCs w:val="23"/>
          <w:lang w:val="en-GB"/>
        </w:rPr>
        <w:t xml:space="preserve">does not cover conflict of interest in terms of what positions or appointments are not allowed during parliamentary service but </w:t>
      </w:r>
      <w:r w:rsidR="00E10668" w:rsidRPr="003E3613">
        <w:rPr>
          <w:rFonts w:ascii="Book Antiqua" w:hAnsi="Book Antiqua"/>
          <w:sz w:val="23"/>
          <w:szCs w:val="23"/>
          <w:lang w:val="en-GB"/>
        </w:rPr>
        <w:t xml:space="preserve">it </w:t>
      </w:r>
      <w:r w:rsidR="00474A43" w:rsidRPr="003E3613">
        <w:rPr>
          <w:rFonts w:ascii="Book Antiqua" w:hAnsi="Book Antiqua"/>
          <w:sz w:val="23"/>
          <w:szCs w:val="23"/>
          <w:lang w:val="en-GB"/>
        </w:rPr>
        <w:t>rather presents the very limited list of the ones which are</w:t>
      </w:r>
      <w:r w:rsidR="002D4072" w:rsidRPr="003E3613">
        <w:rPr>
          <w:rFonts w:ascii="Book Antiqua" w:hAnsi="Book Antiqua"/>
          <w:sz w:val="23"/>
          <w:szCs w:val="23"/>
          <w:lang w:val="en-GB"/>
        </w:rPr>
        <w:t xml:space="preserve"> </w:t>
      </w:r>
      <w:r w:rsidR="00AB38F5" w:rsidRPr="003E3613">
        <w:rPr>
          <w:rFonts w:ascii="Book Antiqua" w:hAnsi="Book Antiqua"/>
          <w:sz w:val="23"/>
          <w:szCs w:val="23"/>
          <w:lang w:val="en-GB"/>
        </w:rPr>
        <w:t>compatible</w:t>
      </w:r>
      <w:r w:rsidR="00474A43" w:rsidRPr="003E3613">
        <w:rPr>
          <w:rFonts w:ascii="Book Antiqua" w:hAnsi="Book Antiqua"/>
          <w:sz w:val="23"/>
          <w:szCs w:val="23"/>
          <w:lang w:val="en-GB"/>
        </w:rPr>
        <w:t>. An MP can hold a high-level government position (prime minister, minister, state secretary). Following the 2014 local administrative elections, an MP can no longer be</w:t>
      </w:r>
      <w:r w:rsidR="00E10668" w:rsidRPr="003E3613">
        <w:rPr>
          <w:rFonts w:ascii="Book Antiqua" w:hAnsi="Book Antiqua"/>
          <w:sz w:val="23"/>
          <w:szCs w:val="23"/>
          <w:lang w:val="en-GB"/>
        </w:rPr>
        <w:t>come</w:t>
      </w:r>
      <w:r w:rsidR="00474A43" w:rsidRPr="003E3613">
        <w:rPr>
          <w:rFonts w:ascii="Book Antiqua" w:hAnsi="Book Antiqua"/>
          <w:sz w:val="23"/>
          <w:szCs w:val="23"/>
          <w:lang w:val="en-GB"/>
        </w:rPr>
        <w:t xml:space="preserve"> member of the local government, e.g. mayor. The </w:t>
      </w:r>
      <w:r w:rsidR="008C0B24" w:rsidRPr="003E3613">
        <w:rPr>
          <w:rFonts w:ascii="Book Antiqua" w:hAnsi="Book Antiqua"/>
          <w:sz w:val="23"/>
          <w:szCs w:val="23"/>
          <w:lang w:val="en-GB"/>
        </w:rPr>
        <w:t>ANA</w:t>
      </w:r>
      <w:r w:rsidR="00474A43" w:rsidRPr="003E3613">
        <w:rPr>
          <w:rFonts w:ascii="Book Antiqua" w:hAnsi="Book Antiqua"/>
          <w:sz w:val="23"/>
          <w:szCs w:val="23"/>
          <w:lang w:val="en-GB"/>
        </w:rPr>
        <w:t xml:space="preserve"> established a tougher set of rules in the area of economic conflict of interest</w:t>
      </w:r>
      <w:r w:rsidR="00E10668" w:rsidRPr="003E3613">
        <w:rPr>
          <w:rFonts w:ascii="Book Antiqua" w:hAnsi="Book Antiqua"/>
          <w:sz w:val="23"/>
          <w:szCs w:val="23"/>
          <w:lang w:val="en-GB"/>
        </w:rPr>
        <w:t>,</w:t>
      </w:r>
      <w:r w:rsidR="00474A43" w:rsidRPr="003E3613">
        <w:rPr>
          <w:rFonts w:ascii="Book Antiqua" w:hAnsi="Book Antiqua"/>
          <w:sz w:val="23"/>
          <w:szCs w:val="23"/>
          <w:lang w:val="en-GB"/>
        </w:rPr>
        <w:t xml:space="preserve"> too. It also strictly defines the cases when an MP becomes unworthy of holding their office, e.g. if they are banned from public affairs or they are serving a prison sentence. Furthermore, the </w:t>
      </w:r>
      <w:r w:rsidR="008C0B24" w:rsidRPr="003E3613">
        <w:rPr>
          <w:rFonts w:ascii="Book Antiqua" w:hAnsi="Book Antiqua"/>
          <w:sz w:val="23"/>
          <w:szCs w:val="23"/>
          <w:lang w:val="en-GB"/>
        </w:rPr>
        <w:t xml:space="preserve">ANA </w:t>
      </w:r>
      <w:r w:rsidR="00474A43" w:rsidRPr="003E3613">
        <w:rPr>
          <w:rFonts w:ascii="Book Antiqua" w:hAnsi="Book Antiqua"/>
          <w:sz w:val="23"/>
          <w:szCs w:val="23"/>
          <w:lang w:val="en-GB"/>
        </w:rPr>
        <w:t>lists several other activities which are incompatible with holding the office of an MP: e.g. exerting influence in business-related matters using his parliamentary status or acquiring and utilizing confidential information without authorisation. In case an MP is found to have a conflict of interest</w:t>
      </w:r>
      <w:r w:rsidR="00E10668" w:rsidRPr="003E3613">
        <w:rPr>
          <w:rFonts w:ascii="Book Antiqua" w:hAnsi="Book Antiqua"/>
          <w:sz w:val="23"/>
          <w:szCs w:val="23"/>
          <w:lang w:val="en-GB"/>
        </w:rPr>
        <w:t>,</w:t>
      </w:r>
      <w:r w:rsidR="00474A43" w:rsidRPr="003E3613">
        <w:rPr>
          <w:rFonts w:ascii="Book Antiqua" w:hAnsi="Book Antiqua"/>
          <w:sz w:val="23"/>
          <w:szCs w:val="23"/>
          <w:lang w:val="en-GB"/>
        </w:rPr>
        <w:t xml:space="preserve"> they have to clear themselves of it within a limited timeframe</w:t>
      </w:r>
      <w:r w:rsidR="00E10668" w:rsidRPr="003E3613">
        <w:rPr>
          <w:rFonts w:ascii="Book Antiqua" w:hAnsi="Book Antiqua"/>
          <w:sz w:val="23"/>
          <w:szCs w:val="23"/>
          <w:lang w:val="en-GB"/>
        </w:rPr>
        <w:t>;</w:t>
      </w:r>
      <w:r w:rsidR="00474A43" w:rsidRPr="003E3613">
        <w:rPr>
          <w:rFonts w:ascii="Book Antiqua" w:hAnsi="Book Antiqua"/>
          <w:sz w:val="23"/>
          <w:szCs w:val="23"/>
          <w:lang w:val="en-GB"/>
        </w:rPr>
        <w:t xml:space="preserve"> failure to do so may lead to them being stripped of their parliamentary duty by the National Assembly.</w:t>
      </w:r>
    </w:p>
    <w:p w14:paraId="29D3716B" w14:textId="77777777" w:rsidR="00CE5082" w:rsidRPr="003E3613" w:rsidRDefault="00CE5082" w:rsidP="00204696">
      <w:pPr>
        <w:spacing w:after="0"/>
        <w:jc w:val="both"/>
        <w:rPr>
          <w:rFonts w:ascii="Book Antiqua" w:hAnsi="Book Antiqua"/>
          <w:sz w:val="23"/>
          <w:szCs w:val="23"/>
          <w:lang w:val="en-GB"/>
        </w:rPr>
      </w:pPr>
    </w:p>
    <w:p w14:paraId="2FB2DBDB" w14:textId="77777777" w:rsidR="002A7A2C" w:rsidRPr="003E3613" w:rsidRDefault="00CE5082"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Hungary has in place a system of asset declarations in respect of </w:t>
      </w:r>
      <w:r w:rsidR="005E4BA9" w:rsidRPr="003E3613">
        <w:rPr>
          <w:rFonts w:ascii="Book Antiqua" w:hAnsi="Book Antiqua"/>
          <w:sz w:val="23"/>
          <w:szCs w:val="23"/>
          <w:lang w:val="en-GB"/>
        </w:rPr>
        <w:t xml:space="preserve">an </w:t>
      </w:r>
      <w:r w:rsidRPr="003E3613">
        <w:rPr>
          <w:rFonts w:ascii="Book Antiqua" w:hAnsi="Book Antiqua"/>
          <w:sz w:val="23"/>
          <w:szCs w:val="23"/>
          <w:lang w:val="en-GB"/>
        </w:rPr>
        <w:t>MP</w:t>
      </w:r>
      <w:r w:rsidR="00AF12FC" w:rsidRPr="003E3613">
        <w:rPr>
          <w:rFonts w:ascii="Book Antiqua" w:hAnsi="Book Antiqua"/>
          <w:sz w:val="23"/>
          <w:szCs w:val="23"/>
          <w:lang w:val="en-GB"/>
        </w:rPr>
        <w:t xml:space="preserve"> </w:t>
      </w:r>
      <w:r w:rsidRPr="003E3613">
        <w:rPr>
          <w:rFonts w:ascii="Book Antiqua" w:hAnsi="Book Antiqua"/>
          <w:sz w:val="23"/>
          <w:szCs w:val="23"/>
          <w:lang w:val="en-GB"/>
        </w:rPr>
        <w:t>as well as their close family members</w:t>
      </w:r>
      <w:r w:rsidR="00A90BD3" w:rsidRPr="003E3613">
        <w:rPr>
          <w:rFonts w:ascii="Book Antiqua" w:hAnsi="Book Antiqua"/>
          <w:sz w:val="23"/>
          <w:szCs w:val="23"/>
          <w:lang w:val="en-GB"/>
        </w:rPr>
        <w:t xml:space="preserve"> (such obligation is in force for decades, it was introduced by Act LV of 1990)</w:t>
      </w:r>
      <w:r w:rsidRPr="003E3613">
        <w:rPr>
          <w:rFonts w:ascii="Book Antiqua" w:hAnsi="Book Antiqua"/>
          <w:sz w:val="23"/>
          <w:szCs w:val="23"/>
          <w:lang w:val="en-GB"/>
        </w:rPr>
        <w:t xml:space="preserve">. </w:t>
      </w:r>
      <w:r w:rsidR="002A7A2C" w:rsidRPr="003E3613">
        <w:rPr>
          <w:rFonts w:ascii="Book Antiqua" w:hAnsi="Book Antiqua"/>
          <w:sz w:val="23"/>
          <w:szCs w:val="23"/>
          <w:lang w:val="en-GB"/>
        </w:rPr>
        <w:t xml:space="preserve">The </w:t>
      </w:r>
      <w:r w:rsidRPr="003E3613">
        <w:rPr>
          <w:rFonts w:ascii="Book Antiqua" w:hAnsi="Book Antiqua"/>
          <w:sz w:val="23"/>
          <w:szCs w:val="23"/>
          <w:lang w:val="en-GB"/>
        </w:rPr>
        <w:t xml:space="preserve">ANA provides that each MP </w:t>
      </w:r>
      <w:r w:rsidR="00C073B9" w:rsidRPr="003E3613">
        <w:rPr>
          <w:rFonts w:ascii="Book Antiqua" w:hAnsi="Book Antiqua"/>
          <w:sz w:val="23"/>
          <w:szCs w:val="23"/>
          <w:lang w:val="en-GB"/>
        </w:rPr>
        <w:t>is</w:t>
      </w:r>
      <w:r w:rsidRPr="003E3613">
        <w:rPr>
          <w:rFonts w:ascii="Book Antiqua" w:hAnsi="Book Antiqua"/>
          <w:sz w:val="23"/>
          <w:szCs w:val="23"/>
          <w:lang w:val="en-GB"/>
        </w:rPr>
        <w:t xml:space="preserve"> to file an asset declaration in accordance with a precise form, which is attached to the law, within thirty days upon the establishment of their mandate and then every year by 31 January as well as within 30 days upon the termination of the mandate. If an MP does not follow this rule, s/he is not allowed to exercise </w:t>
      </w:r>
      <w:r w:rsidR="003C0E12" w:rsidRPr="003E3613">
        <w:rPr>
          <w:rFonts w:ascii="Book Antiqua" w:hAnsi="Book Antiqua"/>
          <w:sz w:val="23"/>
          <w:szCs w:val="23"/>
          <w:lang w:val="en-GB"/>
        </w:rPr>
        <w:t>her</w:t>
      </w:r>
      <w:r w:rsidRPr="003E3613">
        <w:rPr>
          <w:rFonts w:ascii="Book Antiqua" w:hAnsi="Book Antiqua"/>
          <w:sz w:val="23"/>
          <w:szCs w:val="23"/>
          <w:lang w:val="en-GB"/>
        </w:rPr>
        <w:t>/</w:t>
      </w:r>
      <w:r w:rsidR="003C0E12" w:rsidRPr="003E3613">
        <w:rPr>
          <w:rFonts w:ascii="Book Antiqua" w:hAnsi="Book Antiqua"/>
          <w:sz w:val="23"/>
          <w:szCs w:val="23"/>
          <w:lang w:val="en-GB"/>
        </w:rPr>
        <w:t xml:space="preserve">his </w:t>
      </w:r>
      <w:r w:rsidRPr="003E3613">
        <w:rPr>
          <w:rFonts w:ascii="Book Antiqua" w:hAnsi="Book Antiqua"/>
          <w:sz w:val="23"/>
          <w:szCs w:val="23"/>
          <w:lang w:val="en-GB"/>
        </w:rPr>
        <w:t>rights as a member and will not receive remuneration (Section 90</w:t>
      </w:r>
      <w:r w:rsidR="00C05166" w:rsidRPr="003E3613">
        <w:rPr>
          <w:rFonts w:ascii="Book Antiqua" w:hAnsi="Book Antiqua"/>
          <w:sz w:val="23"/>
          <w:szCs w:val="23"/>
          <w:lang w:val="en-GB"/>
        </w:rPr>
        <w:t xml:space="preserve"> </w:t>
      </w:r>
      <w:r w:rsidRPr="003E3613">
        <w:rPr>
          <w:rFonts w:ascii="Book Antiqua" w:hAnsi="Book Antiqua"/>
          <w:sz w:val="23"/>
          <w:szCs w:val="23"/>
          <w:lang w:val="en-GB"/>
        </w:rPr>
        <w:t>(3)</w:t>
      </w:r>
      <w:r w:rsidR="005B107F" w:rsidRPr="003E3613">
        <w:rPr>
          <w:rFonts w:ascii="Book Antiqua" w:hAnsi="Book Antiqua"/>
          <w:sz w:val="23"/>
          <w:szCs w:val="23"/>
          <w:lang w:val="en-GB"/>
        </w:rPr>
        <w:t xml:space="preserve"> of the</w:t>
      </w:r>
      <w:r w:rsidRPr="003E3613">
        <w:rPr>
          <w:rFonts w:ascii="Book Antiqua" w:hAnsi="Book Antiqua"/>
          <w:sz w:val="23"/>
          <w:szCs w:val="23"/>
          <w:lang w:val="en-GB"/>
        </w:rPr>
        <w:t xml:space="preserve"> ANA). Furthermore, the </w:t>
      </w:r>
      <w:r w:rsidRPr="003E3613">
        <w:rPr>
          <w:rFonts w:ascii="Book Antiqua" w:hAnsi="Book Antiqua"/>
          <w:sz w:val="23"/>
          <w:szCs w:val="23"/>
          <w:lang w:val="en-GB"/>
        </w:rPr>
        <w:lastRenderedPageBreak/>
        <w:t>members are obliged to attach a declaration on property of the same content as their own, in respect of family members (i.e. spouse or common law spouse and children living in a common household). The declarations of property are to be filed with the Committee on Immunity. It follows from Section 94</w:t>
      </w:r>
      <w:r w:rsidR="005B107F" w:rsidRPr="003E3613">
        <w:rPr>
          <w:rFonts w:ascii="Book Antiqua" w:hAnsi="Book Antiqua"/>
          <w:sz w:val="23"/>
          <w:szCs w:val="23"/>
          <w:lang w:val="en-GB"/>
        </w:rPr>
        <w:t xml:space="preserve"> of the</w:t>
      </w:r>
      <w:r w:rsidRPr="003E3613">
        <w:rPr>
          <w:rFonts w:ascii="Book Antiqua" w:hAnsi="Book Antiqua"/>
          <w:sz w:val="23"/>
          <w:szCs w:val="23"/>
          <w:lang w:val="en-GB"/>
        </w:rPr>
        <w:t xml:space="preserve"> ANA that the declaration of assets of the MP is a public document, contrary to those relating to family members. The former are to be published without delay on the website of the National</w:t>
      </w:r>
      <w:r w:rsidR="00C073B9" w:rsidRPr="003E3613">
        <w:rPr>
          <w:rFonts w:ascii="Book Antiqua" w:hAnsi="Book Antiqua"/>
          <w:sz w:val="23"/>
          <w:szCs w:val="23"/>
          <w:lang w:val="en-GB"/>
        </w:rPr>
        <w:t xml:space="preserve"> </w:t>
      </w:r>
      <w:r w:rsidRPr="003E3613">
        <w:rPr>
          <w:rFonts w:ascii="Book Antiqua" w:hAnsi="Book Antiqua"/>
          <w:sz w:val="23"/>
          <w:szCs w:val="23"/>
          <w:lang w:val="en-GB"/>
        </w:rPr>
        <w:t>Assembly, by the Committee on Immunity.</w:t>
      </w:r>
      <w:r w:rsidR="002E7D2C" w:rsidRPr="003E3613">
        <w:rPr>
          <w:rFonts w:ascii="Book Antiqua" w:hAnsi="Book Antiqua"/>
          <w:sz w:val="23"/>
          <w:szCs w:val="23"/>
          <w:lang w:val="en-GB"/>
        </w:rPr>
        <w:t xml:space="preserve"> The rules concerning the conflict of interest and asset declarations of the </w:t>
      </w:r>
      <w:r w:rsidR="00AF12FC" w:rsidRPr="003E3613">
        <w:rPr>
          <w:rFonts w:ascii="Book Antiqua" w:hAnsi="Book Antiqua"/>
          <w:sz w:val="23"/>
          <w:szCs w:val="23"/>
          <w:lang w:val="en-GB"/>
        </w:rPr>
        <w:t>MPs</w:t>
      </w:r>
      <w:r w:rsidR="002E7D2C" w:rsidRPr="003E3613">
        <w:rPr>
          <w:rFonts w:ascii="Book Antiqua" w:hAnsi="Book Antiqua"/>
          <w:sz w:val="23"/>
          <w:szCs w:val="23"/>
          <w:lang w:val="en-GB"/>
        </w:rPr>
        <w:t xml:space="preserve"> are one of the strictest in the European Union. In some other member countries for example</w:t>
      </w:r>
      <w:r w:rsidR="00AF12FC" w:rsidRPr="003E3613">
        <w:rPr>
          <w:rFonts w:ascii="Book Antiqua" w:hAnsi="Book Antiqua"/>
          <w:sz w:val="23"/>
          <w:szCs w:val="23"/>
          <w:lang w:val="en-GB"/>
        </w:rPr>
        <w:t>,</w:t>
      </w:r>
      <w:r w:rsidR="002E7D2C" w:rsidRPr="003E3613">
        <w:rPr>
          <w:rFonts w:ascii="Book Antiqua" w:hAnsi="Book Antiqua"/>
          <w:sz w:val="23"/>
          <w:szCs w:val="23"/>
          <w:lang w:val="en-GB"/>
        </w:rPr>
        <w:t xml:space="preserve"> asset declarations may only relate to income or income and interest but do not cover property declarations as in the Hungarian case. Also in some states it is not compulsory to provide the asset declarations of relatives.</w:t>
      </w:r>
      <w:r w:rsidR="00554D9C" w:rsidRPr="003E3613">
        <w:rPr>
          <w:rFonts w:ascii="Book Antiqua" w:hAnsi="Book Antiqua"/>
          <w:sz w:val="23"/>
          <w:szCs w:val="23"/>
          <w:lang w:val="en-GB"/>
        </w:rPr>
        <w:t xml:space="preserve"> </w:t>
      </w:r>
      <w:r w:rsidR="002A7A2C" w:rsidRPr="003E3613">
        <w:rPr>
          <w:rFonts w:ascii="Book Antiqua" w:hAnsi="Book Antiqua"/>
          <w:sz w:val="23"/>
          <w:szCs w:val="23"/>
          <w:lang w:val="en-GB"/>
        </w:rPr>
        <w:t>In</w:t>
      </w:r>
      <w:r w:rsidR="00A70A90" w:rsidRPr="003E3613">
        <w:rPr>
          <w:rFonts w:ascii="Book Antiqua" w:hAnsi="Book Antiqua"/>
          <w:sz w:val="23"/>
          <w:szCs w:val="23"/>
          <w:lang w:val="en-GB"/>
        </w:rPr>
        <w:t>deed</w:t>
      </w:r>
      <w:r w:rsidR="002A7A2C" w:rsidRPr="003E3613">
        <w:rPr>
          <w:rFonts w:ascii="Book Antiqua" w:hAnsi="Book Antiqua"/>
          <w:sz w:val="23"/>
          <w:szCs w:val="23"/>
          <w:lang w:val="en-GB"/>
        </w:rPr>
        <w:t>, the GRECO did not recommend the online publication of the asset declarations of the Members of Parliament due to the fact these asset declarations are already publicly available via the homepage of the Hungarian Parliament.</w:t>
      </w:r>
    </w:p>
    <w:p w14:paraId="7BA92D0F" w14:textId="77777777" w:rsidR="002A7A2C" w:rsidRPr="003E3613" w:rsidRDefault="002A7A2C" w:rsidP="00204696">
      <w:pPr>
        <w:rPr>
          <w:rFonts w:ascii="Book Antiqua" w:hAnsi="Book Antiqua"/>
          <w:sz w:val="23"/>
          <w:szCs w:val="23"/>
          <w:lang w:val="en-GB"/>
        </w:rPr>
      </w:pPr>
    </w:p>
    <w:p w14:paraId="243283C0" w14:textId="77777777" w:rsidR="00A320F0" w:rsidRPr="003E3613" w:rsidRDefault="00A320F0" w:rsidP="00204696">
      <w:pPr>
        <w:pStyle w:val="Heading2"/>
        <w:keepNext w:val="0"/>
        <w:keepLines w:val="0"/>
        <w:spacing w:before="0"/>
        <w:rPr>
          <w:rFonts w:ascii="Book Antiqua" w:hAnsi="Book Antiqua"/>
          <w:color w:val="auto"/>
          <w:sz w:val="23"/>
          <w:szCs w:val="23"/>
          <w:lang w:val="en-GB"/>
        </w:rPr>
      </w:pPr>
      <w:bookmarkStart w:id="18" w:name="_Toc19120779"/>
      <w:r w:rsidRPr="003E3613">
        <w:rPr>
          <w:rFonts w:ascii="Book Antiqua" w:hAnsi="Book Antiqua"/>
          <w:color w:val="auto"/>
          <w:sz w:val="23"/>
          <w:szCs w:val="23"/>
          <w:lang w:val="en-GB"/>
        </w:rPr>
        <w:t>Limited monitoring of campaign spending</w:t>
      </w:r>
      <w:bookmarkEnd w:id="18"/>
    </w:p>
    <w:p w14:paraId="40F5146C" w14:textId="77777777" w:rsidR="00A320F0" w:rsidRPr="003E3613" w:rsidRDefault="00A320F0" w:rsidP="00204696">
      <w:pPr>
        <w:spacing w:after="0"/>
        <w:jc w:val="both"/>
        <w:rPr>
          <w:rFonts w:ascii="Book Antiqua" w:hAnsi="Book Antiqua"/>
          <w:i/>
          <w:sz w:val="23"/>
          <w:szCs w:val="23"/>
          <w:lang w:val="en-GB"/>
        </w:rPr>
      </w:pPr>
    </w:p>
    <w:p w14:paraId="151D4B81" w14:textId="77777777" w:rsidR="0003077F" w:rsidRPr="003E3613" w:rsidRDefault="00507F12"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C63027" w:rsidRPr="003E3613">
        <w:rPr>
          <w:rFonts w:ascii="Book Antiqua" w:hAnsi="Book Antiqua"/>
          <w:i/>
          <w:sz w:val="23"/>
          <w:szCs w:val="23"/>
          <w:lang w:val="en-GB"/>
        </w:rPr>
        <w:t>21</w:t>
      </w:r>
      <w:r w:rsidRPr="003E3613">
        <w:rPr>
          <w:rFonts w:ascii="Book Antiqua" w:hAnsi="Book Antiqua"/>
          <w:i/>
          <w:sz w:val="23"/>
          <w:szCs w:val="23"/>
          <w:lang w:val="en-GB"/>
        </w:rPr>
        <w:t xml:space="preserve">) </w:t>
      </w:r>
      <w:r w:rsidR="0003077F" w:rsidRPr="003E3613">
        <w:rPr>
          <w:rFonts w:ascii="Book Antiqua" w:hAnsi="Book Antiqua"/>
          <w:i/>
          <w:sz w:val="23"/>
          <w:szCs w:val="23"/>
          <w:lang w:val="en-GB"/>
        </w:rPr>
        <w:t xml:space="preserve">In its report adopted on 27 June 2018, the limited election observation mission of the OSCE Office for Democratic Institutions and Human Rights concluded that the limited monitoring of campaign spending and the absence of thorough reporting on sources of campaign funds until after the elections undercuts campaign finance transparency and the ability of voters to make an informed choice, contrary to international obligations and good practice. The State Audit Office has the competence to monitor and control whether the legal requirements have been met. The report did not include the official audit report of the State Audit Office concerning the 2018 parliamentary elections, as it had not been completed at the time. </w:t>
      </w:r>
    </w:p>
    <w:p w14:paraId="1FE6464B" w14:textId="77777777" w:rsidR="009D24C9" w:rsidRPr="003E3613" w:rsidRDefault="009D24C9" w:rsidP="00204696">
      <w:pPr>
        <w:spacing w:after="0"/>
        <w:jc w:val="both"/>
        <w:rPr>
          <w:rFonts w:ascii="Book Antiqua" w:hAnsi="Book Antiqua"/>
          <w:sz w:val="23"/>
          <w:szCs w:val="23"/>
          <w:lang w:val="en-GB"/>
        </w:rPr>
      </w:pPr>
    </w:p>
    <w:p w14:paraId="60236816" w14:textId="77777777" w:rsidR="008F716A" w:rsidRPr="003E3613" w:rsidRDefault="008F716A"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Contrary to some ambiguous statements by the </w:t>
      </w:r>
      <w:r w:rsidR="00A70A90" w:rsidRPr="003E3613">
        <w:rPr>
          <w:rFonts w:ascii="Book Antiqua" w:hAnsi="Book Antiqua"/>
          <w:sz w:val="23"/>
          <w:szCs w:val="23"/>
          <w:lang w:val="en-GB"/>
        </w:rPr>
        <w:t xml:space="preserve">above </w:t>
      </w:r>
      <w:r w:rsidR="00C46340" w:rsidRPr="003E3613">
        <w:rPr>
          <w:rFonts w:ascii="Book Antiqua" w:hAnsi="Book Antiqua"/>
          <w:sz w:val="23"/>
          <w:szCs w:val="23"/>
          <w:lang w:val="en-GB"/>
        </w:rPr>
        <w:t>recital</w:t>
      </w:r>
      <w:r w:rsidRPr="003E3613">
        <w:rPr>
          <w:rFonts w:ascii="Book Antiqua" w:hAnsi="Book Antiqua"/>
          <w:sz w:val="23"/>
          <w:szCs w:val="23"/>
          <w:lang w:val="en-GB"/>
        </w:rPr>
        <w:t xml:space="preserve">, the Hungarian rules on campaign financing are detailed and strict, and </w:t>
      </w:r>
      <w:r w:rsidR="00A70A90" w:rsidRPr="003E3613">
        <w:rPr>
          <w:rFonts w:ascii="Book Antiqua" w:hAnsi="Book Antiqua"/>
          <w:sz w:val="23"/>
          <w:szCs w:val="23"/>
          <w:lang w:val="en-GB"/>
        </w:rPr>
        <w:t xml:space="preserve">are </w:t>
      </w:r>
      <w:r w:rsidRPr="003E3613">
        <w:rPr>
          <w:rFonts w:ascii="Book Antiqua" w:hAnsi="Book Antiqua"/>
          <w:sz w:val="23"/>
          <w:szCs w:val="23"/>
          <w:lang w:val="en-GB"/>
        </w:rPr>
        <w:t xml:space="preserve">corresponding or even exceeding the equivalent system of some other EU </w:t>
      </w:r>
      <w:r w:rsidR="00C304C4" w:rsidRPr="003E3613">
        <w:rPr>
          <w:rFonts w:ascii="Book Antiqua" w:hAnsi="Book Antiqua"/>
          <w:sz w:val="23"/>
          <w:szCs w:val="23"/>
          <w:lang w:val="en-GB"/>
        </w:rPr>
        <w:t>M</w:t>
      </w:r>
      <w:r w:rsidRPr="003E3613">
        <w:rPr>
          <w:rFonts w:ascii="Book Antiqua" w:hAnsi="Book Antiqua"/>
          <w:sz w:val="23"/>
          <w:szCs w:val="23"/>
          <w:lang w:val="en-GB"/>
        </w:rPr>
        <w:t xml:space="preserve">ember </w:t>
      </w:r>
      <w:r w:rsidR="00C304C4" w:rsidRPr="003E3613">
        <w:rPr>
          <w:rFonts w:ascii="Book Antiqua" w:hAnsi="Book Antiqua"/>
          <w:sz w:val="23"/>
          <w:szCs w:val="23"/>
          <w:lang w:val="en-GB"/>
        </w:rPr>
        <w:t>S</w:t>
      </w:r>
      <w:r w:rsidRPr="003E3613">
        <w:rPr>
          <w:rFonts w:ascii="Book Antiqua" w:hAnsi="Book Antiqua"/>
          <w:sz w:val="23"/>
          <w:szCs w:val="23"/>
          <w:lang w:val="en-GB"/>
        </w:rPr>
        <w:t xml:space="preserve">tates. The criticism of the OSCE would be more </w:t>
      </w:r>
      <w:r w:rsidR="00522CE5" w:rsidRPr="003E3613">
        <w:rPr>
          <w:rFonts w:ascii="Book Antiqua" w:hAnsi="Book Antiqua"/>
          <w:sz w:val="23"/>
          <w:szCs w:val="23"/>
          <w:lang w:val="en-GB"/>
        </w:rPr>
        <w:t>relevant</w:t>
      </w:r>
      <w:r w:rsidRPr="003E3613">
        <w:rPr>
          <w:rFonts w:ascii="Book Antiqua" w:hAnsi="Book Antiqua"/>
          <w:sz w:val="23"/>
          <w:szCs w:val="23"/>
          <w:lang w:val="en-GB"/>
        </w:rPr>
        <w:t xml:space="preserve"> in comparison with the criticism of the other Member States’ respective provisions. Furthermore, the </w:t>
      </w:r>
      <w:r w:rsidR="00A70A90" w:rsidRPr="003E3613">
        <w:rPr>
          <w:rFonts w:ascii="Book Antiqua" w:hAnsi="Book Antiqua"/>
          <w:sz w:val="23"/>
          <w:szCs w:val="23"/>
          <w:lang w:val="en-GB"/>
        </w:rPr>
        <w:t xml:space="preserve">current </w:t>
      </w:r>
      <w:r w:rsidRPr="003E3613">
        <w:rPr>
          <w:rFonts w:ascii="Book Antiqua" w:hAnsi="Book Antiqua"/>
          <w:sz w:val="23"/>
          <w:szCs w:val="23"/>
          <w:lang w:val="en-GB"/>
        </w:rPr>
        <w:t xml:space="preserve">regulatory environment is much more detailed and clearer than at the time of </w:t>
      </w:r>
      <w:r w:rsidR="00A70A90" w:rsidRPr="003E3613">
        <w:rPr>
          <w:rFonts w:ascii="Book Antiqua" w:hAnsi="Book Antiqua"/>
          <w:sz w:val="23"/>
          <w:szCs w:val="23"/>
          <w:lang w:val="en-GB"/>
        </w:rPr>
        <w:t xml:space="preserve">Hungary’s </w:t>
      </w:r>
      <w:r w:rsidRPr="003E3613">
        <w:rPr>
          <w:rFonts w:ascii="Book Antiqua" w:hAnsi="Book Antiqua"/>
          <w:sz w:val="23"/>
          <w:szCs w:val="23"/>
          <w:lang w:val="en-GB"/>
        </w:rPr>
        <w:t xml:space="preserve">accession </w:t>
      </w:r>
      <w:r w:rsidR="00A70A90" w:rsidRPr="003E3613">
        <w:rPr>
          <w:rFonts w:ascii="Book Antiqua" w:hAnsi="Book Antiqua"/>
          <w:sz w:val="23"/>
          <w:szCs w:val="23"/>
          <w:lang w:val="en-GB"/>
        </w:rPr>
        <w:t>t</w:t>
      </w:r>
      <w:r w:rsidRPr="003E3613">
        <w:rPr>
          <w:rFonts w:ascii="Book Antiqua" w:hAnsi="Book Antiqua"/>
          <w:sz w:val="23"/>
          <w:szCs w:val="23"/>
          <w:lang w:val="en-GB"/>
        </w:rPr>
        <w:t>o</w:t>
      </w:r>
      <w:r w:rsidR="00A70A90" w:rsidRPr="003E3613">
        <w:rPr>
          <w:rFonts w:ascii="Book Antiqua" w:hAnsi="Book Antiqua"/>
          <w:sz w:val="23"/>
          <w:szCs w:val="23"/>
          <w:lang w:val="en-GB"/>
        </w:rPr>
        <w:t xml:space="preserve"> the EU</w:t>
      </w:r>
      <w:r w:rsidRPr="003E3613">
        <w:rPr>
          <w:rFonts w:ascii="Book Antiqua" w:hAnsi="Book Antiqua"/>
          <w:sz w:val="23"/>
          <w:szCs w:val="23"/>
          <w:lang w:val="en-GB"/>
        </w:rPr>
        <w:t>.</w:t>
      </w:r>
    </w:p>
    <w:p w14:paraId="495D00B7" w14:textId="77777777" w:rsidR="008F716A" w:rsidRPr="003E3613" w:rsidRDefault="008F716A" w:rsidP="00204696">
      <w:pPr>
        <w:spacing w:after="0"/>
        <w:jc w:val="both"/>
        <w:rPr>
          <w:rFonts w:ascii="Book Antiqua" w:hAnsi="Book Antiqua"/>
          <w:sz w:val="23"/>
          <w:szCs w:val="23"/>
          <w:lang w:val="en-GB"/>
        </w:rPr>
      </w:pPr>
    </w:p>
    <w:p w14:paraId="0FF13577" w14:textId="77777777" w:rsidR="001B3775" w:rsidRPr="003E3613" w:rsidRDefault="008F716A" w:rsidP="00204696">
      <w:pPr>
        <w:spacing w:after="0"/>
        <w:jc w:val="both"/>
        <w:rPr>
          <w:rFonts w:ascii="Book Antiqua" w:hAnsi="Book Antiqua"/>
          <w:sz w:val="23"/>
          <w:szCs w:val="23"/>
          <w:lang w:val="en-GB"/>
        </w:rPr>
      </w:pPr>
      <w:r w:rsidRPr="003E3613">
        <w:rPr>
          <w:rFonts w:ascii="Book Antiqua" w:hAnsi="Book Antiqua"/>
          <w:sz w:val="23"/>
          <w:szCs w:val="23"/>
          <w:lang w:val="en-GB"/>
        </w:rPr>
        <w:t>In Hungary the Act LXXXVII of 2013 on the Transparency of Political Campaign Financing established clear rules and provided clear situation. Without going into all details here are some of the pillars of the Hungarian legislation on political campaign financing</w:t>
      </w:r>
      <w:r w:rsidR="00A70A90" w:rsidRPr="003E3613">
        <w:rPr>
          <w:rFonts w:ascii="Book Antiqua" w:hAnsi="Book Antiqua"/>
          <w:sz w:val="23"/>
          <w:szCs w:val="23"/>
          <w:lang w:val="en-GB"/>
        </w:rPr>
        <w:t>:</w:t>
      </w:r>
      <w:r w:rsidRPr="003E3613">
        <w:rPr>
          <w:rFonts w:ascii="Book Antiqua" w:hAnsi="Book Antiqua"/>
          <w:sz w:val="23"/>
          <w:szCs w:val="23"/>
          <w:lang w:val="en-GB"/>
        </w:rPr>
        <w:t xml:space="preserve"> (1) The Act maximizes the amount allowed to be spent for campaign activities</w:t>
      </w:r>
      <w:r w:rsidR="0030136A" w:rsidRPr="003E3613">
        <w:rPr>
          <w:rFonts w:ascii="Book Antiqua" w:hAnsi="Book Antiqua"/>
          <w:sz w:val="23"/>
          <w:szCs w:val="23"/>
          <w:lang w:val="en-GB"/>
        </w:rPr>
        <w:t>.</w:t>
      </w:r>
      <w:r w:rsidRPr="003E3613">
        <w:rPr>
          <w:rFonts w:ascii="Book Antiqua" w:hAnsi="Book Antiqua"/>
          <w:sz w:val="23"/>
          <w:szCs w:val="23"/>
          <w:lang w:val="en-GB"/>
        </w:rPr>
        <w:t xml:space="preserve"> (2) </w:t>
      </w:r>
      <w:r w:rsidR="00A70A90" w:rsidRPr="003E3613">
        <w:rPr>
          <w:rFonts w:ascii="Book Antiqua" w:hAnsi="Book Antiqua"/>
          <w:sz w:val="23"/>
          <w:szCs w:val="23"/>
          <w:lang w:val="en-GB"/>
        </w:rPr>
        <w:t xml:space="preserve">It </w:t>
      </w:r>
      <w:r w:rsidRPr="003E3613">
        <w:rPr>
          <w:rFonts w:ascii="Book Antiqua" w:hAnsi="Book Antiqua"/>
          <w:sz w:val="23"/>
          <w:szCs w:val="23"/>
          <w:lang w:val="en-GB"/>
        </w:rPr>
        <w:t>establishes strict rules on the use of such financing and on the monitoring of campaign spending. (3) Financial statement</w:t>
      </w:r>
      <w:r w:rsidR="00A70A90" w:rsidRPr="003E3613">
        <w:rPr>
          <w:rFonts w:ascii="Book Antiqua" w:hAnsi="Book Antiqua"/>
          <w:sz w:val="23"/>
          <w:szCs w:val="23"/>
          <w:lang w:val="en-GB"/>
        </w:rPr>
        <w:t>s</w:t>
      </w:r>
      <w:r w:rsidRPr="003E3613">
        <w:rPr>
          <w:rFonts w:ascii="Book Antiqua" w:hAnsi="Book Antiqua"/>
          <w:sz w:val="23"/>
          <w:szCs w:val="23"/>
          <w:lang w:val="en-GB"/>
        </w:rPr>
        <w:t xml:space="preserve"> are to be submitted to the Treasury within 15 days after the individual results of the election together with copies of all accounting documents concerning the use of the amount of support. (4) The Treasury reviews the statement and supporting documents. (5) If a candidate or a party fails to submit a statement within the above mentioned deadline or submits one, which is not approved </w:t>
      </w:r>
      <w:r w:rsidR="00A70A90" w:rsidRPr="003E3613">
        <w:rPr>
          <w:rFonts w:ascii="Book Antiqua" w:hAnsi="Book Antiqua"/>
          <w:sz w:val="23"/>
          <w:szCs w:val="23"/>
          <w:lang w:val="en-GB"/>
        </w:rPr>
        <w:t xml:space="preserve">later </w:t>
      </w:r>
      <w:r w:rsidRPr="003E3613">
        <w:rPr>
          <w:rFonts w:ascii="Book Antiqua" w:hAnsi="Book Antiqua"/>
          <w:sz w:val="23"/>
          <w:szCs w:val="23"/>
          <w:lang w:val="en-GB"/>
        </w:rPr>
        <w:t xml:space="preserve">in whole or in part by the Treasury, they shall pay </w:t>
      </w:r>
      <w:r w:rsidRPr="003E3613">
        <w:rPr>
          <w:rFonts w:ascii="Book Antiqua" w:hAnsi="Book Antiqua"/>
          <w:sz w:val="23"/>
          <w:szCs w:val="23"/>
          <w:lang w:val="en-GB"/>
        </w:rPr>
        <w:lastRenderedPageBreak/>
        <w:t xml:space="preserve">double the amount of </w:t>
      </w:r>
      <w:r w:rsidR="00A70A90" w:rsidRPr="003E3613">
        <w:rPr>
          <w:rFonts w:ascii="Book Antiqua" w:hAnsi="Book Antiqua"/>
          <w:sz w:val="23"/>
          <w:szCs w:val="23"/>
          <w:lang w:val="en-GB"/>
        </w:rPr>
        <w:t xml:space="preserve">the </w:t>
      </w:r>
      <w:r w:rsidRPr="003E3613">
        <w:rPr>
          <w:rFonts w:ascii="Book Antiqua" w:hAnsi="Book Antiqua"/>
          <w:sz w:val="23"/>
          <w:szCs w:val="23"/>
          <w:lang w:val="en-GB"/>
        </w:rPr>
        <w:t>support</w:t>
      </w:r>
      <w:r w:rsidR="00A70A90" w:rsidRPr="003E3613">
        <w:rPr>
          <w:rFonts w:ascii="Book Antiqua" w:hAnsi="Book Antiqua"/>
          <w:sz w:val="23"/>
          <w:szCs w:val="23"/>
          <w:lang w:val="en-GB"/>
        </w:rPr>
        <w:t xml:space="preserve"> received</w:t>
      </w:r>
      <w:r w:rsidRPr="003E3613">
        <w:rPr>
          <w:rFonts w:ascii="Book Antiqua" w:hAnsi="Book Antiqua"/>
          <w:sz w:val="23"/>
          <w:szCs w:val="23"/>
          <w:lang w:val="en-GB"/>
        </w:rPr>
        <w:t xml:space="preserve">. (6) In order to strengthen transparency, the Act introduced </w:t>
      </w:r>
      <w:r w:rsidR="00A70A90" w:rsidRPr="003E3613">
        <w:rPr>
          <w:rFonts w:ascii="Book Antiqua" w:hAnsi="Book Antiqua"/>
          <w:sz w:val="23"/>
          <w:szCs w:val="23"/>
          <w:lang w:val="en-GB"/>
        </w:rPr>
        <w:t xml:space="preserve">a </w:t>
      </w:r>
      <w:r w:rsidRPr="003E3613">
        <w:rPr>
          <w:rFonts w:ascii="Book Antiqua" w:hAnsi="Book Antiqua"/>
          <w:sz w:val="23"/>
          <w:szCs w:val="23"/>
          <w:lang w:val="en-GB"/>
        </w:rPr>
        <w:t xml:space="preserve">requirement that within 60 days starting from the date when the result of the elections became official, (7) all candidates and nominating </w:t>
      </w:r>
      <w:r w:rsidR="00BD0A8B" w:rsidRPr="003E3613">
        <w:rPr>
          <w:rFonts w:ascii="Book Antiqua" w:hAnsi="Book Antiqua"/>
          <w:sz w:val="23"/>
          <w:szCs w:val="23"/>
          <w:lang w:val="en-GB"/>
        </w:rPr>
        <w:t>organisation</w:t>
      </w:r>
      <w:r w:rsidRPr="003E3613">
        <w:rPr>
          <w:rFonts w:ascii="Book Antiqua" w:hAnsi="Book Antiqua"/>
          <w:sz w:val="23"/>
          <w:szCs w:val="23"/>
          <w:lang w:val="en-GB"/>
        </w:rPr>
        <w:t>s must make public the amount they had spent for campaigning, including public and non-public sources, as well as the purposes for the spending.</w:t>
      </w:r>
      <w:r w:rsidR="009D24C9" w:rsidRPr="003E3613">
        <w:rPr>
          <w:rFonts w:ascii="Book Antiqua" w:hAnsi="Book Antiqua"/>
          <w:sz w:val="23"/>
          <w:szCs w:val="23"/>
          <w:lang w:val="en-GB"/>
        </w:rPr>
        <w:t xml:space="preserve"> </w:t>
      </w:r>
      <w:r w:rsidR="00306C68" w:rsidRPr="003E3613">
        <w:rPr>
          <w:rFonts w:ascii="Book Antiqua" w:hAnsi="Book Antiqua"/>
          <w:sz w:val="23"/>
          <w:szCs w:val="23"/>
          <w:lang w:val="en-GB"/>
        </w:rPr>
        <w:t>(</w:t>
      </w:r>
      <w:r w:rsidR="002E7D2C" w:rsidRPr="003E3613">
        <w:rPr>
          <w:rFonts w:ascii="Book Antiqua" w:hAnsi="Book Antiqua"/>
          <w:sz w:val="23"/>
          <w:szCs w:val="23"/>
          <w:lang w:val="en-GB"/>
        </w:rPr>
        <w:t xml:space="preserve">About half of the Member States have a ceiling on party expenditures, whereas parties in the rest of the Member States are supposedly allowed to spend as much as they see fit. Public funding is often earmarked for specific campaign-related activities. Yet, in nine of the 28 </w:t>
      </w:r>
      <w:r w:rsidR="00306C68" w:rsidRPr="003E3613">
        <w:rPr>
          <w:rFonts w:ascii="Book Antiqua" w:hAnsi="Book Antiqua"/>
          <w:sz w:val="23"/>
          <w:szCs w:val="23"/>
          <w:lang w:val="en-GB"/>
        </w:rPr>
        <w:t xml:space="preserve">Member States </w:t>
      </w:r>
      <w:r w:rsidR="002E7D2C" w:rsidRPr="003E3613">
        <w:rPr>
          <w:rFonts w:ascii="Book Antiqua" w:hAnsi="Book Antiqua"/>
          <w:sz w:val="23"/>
          <w:szCs w:val="23"/>
          <w:lang w:val="en-GB"/>
        </w:rPr>
        <w:t xml:space="preserve">there are no strict rules about how the budget may be spent. In most Member States, political parties’ financial statements have to be made publicly available. </w:t>
      </w:r>
      <w:r w:rsidR="00306C68" w:rsidRPr="003E3613">
        <w:rPr>
          <w:rFonts w:ascii="Book Antiqua" w:hAnsi="Book Antiqua"/>
          <w:sz w:val="23"/>
          <w:szCs w:val="23"/>
          <w:lang w:val="en-GB"/>
        </w:rPr>
        <w:t>I</w:t>
      </w:r>
      <w:r w:rsidR="002E7D2C" w:rsidRPr="003E3613">
        <w:rPr>
          <w:rFonts w:ascii="Book Antiqua" w:hAnsi="Book Antiqua"/>
          <w:sz w:val="23"/>
          <w:szCs w:val="23"/>
          <w:lang w:val="en-GB"/>
        </w:rPr>
        <w:t xml:space="preserve">n three </w:t>
      </w:r>
      <w:r w:rsidR="00306C68" w:rsidRPr="003E3613">
        <w:rPr>
          <w:rFonts w:ascii="Book Antiqua" w:hAnsi="Book Antiqua"/>
          <w:sz w:val="23"/>
          <w:szCs w:val="23"/>
          <w:lang w:val="en-GB"/>
        </w:rPr>
        <w:t>M</w:t>
      </w:r>
      <w:r w:rsidR="002E7D2C" w:rsidRPr="003E3613">
        <w:rPr>
          <w:rFonts w:ascii="Book Antiqua" w:hAnsi="Book Antiqua"/>
          <w:sz w:val="23"/>
          <w:szCs w:val="23"/>
          <w:lang w:val="en-GB"/>
        </w:rPr>
        <w:t xml:space="preserve">ember </w:t>
      </w:r>
      <w:r w:rsidR="00306C68" w:rsidRPr="003E3613">
        <w:rPr>
          <w:rFonts w:ascii="Book Antiqua" w:hAnsi="Book Antiqua"/>
          <w:sz w:val="23"/>
          <w:szCs w:val="23"/>
          <w:lang w:val="en-GB"/>
        </w:rPr>
        <w:t>S</w:t>
      </w:r>
      <w:r w:rsidR="002E7D2C" w:rsidRPr="003E3613">
        <w:rPr>
          <w:rFonts w:ascii="Book Antiqua" w:hAnsi="Book Antiqua"/>
          <w:sz w:val="23"/>
          <w:szCs w:val="23"/>
          <w:lang w:val="en-GB"/>
        </w:rPr>
        <w:t>tates</w:t>
      </w:r>
      <w:r w:rsidR="00306C68" w:rsidRPr="003E3613">
        <w:rPr>
          <w:rFonts w:ascii="Book Antiqua" w:hAnsi="Book Antiqua"/>
          <w:sz w:val="23"/>
          <w:szCs w:val="23"/>
          <w:lang w:val="en-GB"/>
        </w:rPr>
        <w:t>, however,</w:t>
      </w:r>
      <w:r w:rsidR="002E7D2C" w:rsidRPr="003E3613">
        <w:rPr>
          <w:rFonts w:ascii="Book Antiqua" w:hAnsi="Book Antiqua"/>
          <w:sz w:val="23"/>
          <w:szCs w:val="23"/>
          <w:lang w:val="en-GB"/>
        </w:rPr>
        <w:t xml:space="preserve"> the</w:t>
      </w:r>
      <w:r w:rsidR="00306C68" w:rsidRPr="003E3613">
        <w:rPr>
          <w:rFonts w:ascii="Book Antiqua" w:hAnsi="Book Antiqua"/>
          <w:sz w:val="23"/>
          <w:szCs w:val="23"/>
          <w:lang w:val="en-GB"/>
        </w:rPr>
        <w:t>se</w:t>
      </w:r>
      <w:r w:rsidR="002E7D2C" w:rsidRPr="003E3613">
        <w:rPr>
          <w:rFonts w:ascii="Book Antiqua" w:hAnsi="Book Antiqua"/>
          <w:sz w:val="23"/>
          <w:szCs w:val="23"/>
          <w:lang w:val="en-GB"/>
        </w:rPr>
        <w:t xml:space="preserve"> </w:t>
      </w:r>
      <w:r w:rsidR="00306C68" w:rsidRPr="003E3613">
        <w:rPr>
          <w:rFonts w:ascii="Book Antiqua" w:hAnsi="Book Antiqua"/>
          <w:sz w:val="23"/>
          <w:szCs w:val="23"/>
          <w:lang w:val="en-GB"/>
        </w:rPr>
        <w:t xml:space="preserve">statements </w:t>
      </w:r>
      <w:r w:rsidR="002E7D2C" w:rsidRPr="003E3613">
        <w:rPr>
          <w:rFonts w:ascii="Book Antiqua" w:hAnsi="Book Antiqua"/>
          <w:sz w:val="23"/>
          <w:szCs w:val="23"/>
          <w:lang w:val="en-GB"/>
        </w:rPr>
        <w:t>are only available upon request.</w:t>
      </w:r>
      <w:r w:rsidR="00306C68" w:rsidRPr="003E3613">
        <w:rPr>
          <w:rFonts w:ascii="Book Antiqua" w:hAnsi="Book Antiqua"/>
          <w:sz w:val="23"/>
          <w:szCs w:val="23"/>
          <w:lang w:val="en-GB"/>
        </w:rPr>
        <w:t xml:space="preserve">) (8) </w:t>
      </w:r>
      <w:r w:rsidRPr="003E3613">
        <w:rPr>
          <w:rFonts w:ascii="Book Antiqua" w:hAnsi="Book Antiqua"/>
          <w:sz w:val="23"/>
          <w:szCs w:val="23"/>
          <w:lang w:val="en-GB"/>
        </w:rPr>
        <w:t xml:space="preserve">The State Audit Office has the competence to monitor and control whether the candidates and nominating </w:t>
      </w:r>
      <w:r w:rsidR="00BD0A8B" w:rsidRPr="003E3613">
        <w:rPr>
          <w:rFonts w:ascii="Book Antiqua" w:hAnsi="Book Antiqua"/>
          <w:sz w:val="23"/>
          <w:szCs w:val="23"/>
          <w:lang w:val="en-GB"/>
        </w:rPr>
        <w:t>organisation</w:t>
      </w:r>
      <w:r w:rsidRPr="003E3613">
        <w:rPr>
          <w:rFonts w:ascii="Book Antiqua" w:hAnsi="Book Antiqua"/>
          <w:sz w:val="23"/>
          <w:szCs w:val="23"/>
          <w:lang w:val="en-GB"/>
        </w:rPr>
        <w:t xml:space="preserve">s have complied with the legal requirements on maximizing the campaign spending. (9) The State Audit Office audits the use of campaign finances in case of those political parties which obtained at least </w:t>
      </w:r>
      <w:r w:rsidR="00306C68" w:rsidRPr="003E3613">
        <w:rPr>
          <w:rFonts w:ascii="Book Antiqua" w:hAnsi="Book Antiqua"/>
          <w:sz w:val="23"/>
          <w:szCs w:val="23"/>
          <w:lang w:val="en-GB"/>
        </w:rPr>
        <w:t>one</w:t>
      </w:r>
      <w:r w:rsidRPr="003E3613">
        <w:rPr>
          <w:rFonts w:ascii="Book Antiqua" w:hAnsi="Book Antiqua"/>
          <w:sz w:val="23"/>
          <w:szCs w:val="23"/>
          <w:lang w:val="en-GB"/>
        </w:rPr>
        <w:t xml:space="preserve"> percent of the votes, according to the legislation, within one year from the date of the elections. </w:t>
      </w:r>
      <w:r w:rsidR="00306C68" w:rsidRPr="003E3613">
        <w:rPr>
          <w:rFonts w:ascii="Book Antiqua" w:hAnsi="Book Antiqua"/>
          <w:sz w:val="23"/>
          <w:szCs w:val="23"/>
          <w:lang w:val="en-GB"/>
        </w:rPr>
        <w:t xml:space="preserve">The </w:t>
      </w:r>
      <w:r w:rsidRPr="003E3613">
        <w:rPr>
          <w:rFonts w:ascii="Book Antiqua" w:hAnsi="Book Antiqua"/>
          <w:sz w:val="23"/>
          <w:szCs w:val="23"/>
          <w:lang w:val="en-GB"/>
        </w:rPr>
        <w:t>State Audit Office proceed</w:t>
      </w:r>
      <w:r w:rsidR="00306C68" w:rsidRPr="003E3613">
        <w:rPr>
          <w:rFonts w:ascii="Book Antiqua" w:hAnsi="Book Antiqua"/>
          <w:sz w:val="23"/>
          <w:szCs w:val="23"/>
          <w:lang w:val="en-GB"/>
        </w:rPr>
        <w:t>s</w:t>
      </w:r>
      <w:r w:rsidRPr="003E3613">
        <w:rPr>
          <w:rFonts w:ascii="Book Antiqua" w:hAnsi="Book Antiqua"/>
          <w:sz w:val="23"/>
          <w:szCs w:val="23"/>
          <w:lang w:val="en-GB"/>
        </w:rPr>
        <w:t xml:space="preserve"> within one year from the date of the elections.</w:t>
      </w:r>
      <w:r w:rsidR="00306C68" w:rsidRPr="003E3613">
        <w:rPr>
          <w:rFonts w:ascii="Book Antiqua" w:hAnsi="Book Antiqua"/>
          <w:sz w:val="23"/>
          <w:szCs w:val="23"/>
          <w:lang w:val="en-GB"/>
        </w:rPr>
        <w:t xml:space="preserve"> </w:t>
      </w:r>
      <w:r w:rsidR="001B3775" w:rsidRPr="003E3613">
        <w:rPr>
          <w:rFonts w:ascii="Book Antiqua" w:hAnsi="Book Antiqua"/>
          <w:sz w:val="23"/>
          <w:szCs w:val="23"/>
          <w:lang w:val="en-GB"/>
        </w:rPr>
        <w:t xml:space="preserve">According to the State Audit Office’s report published </w:t>
      </w:r>
      <w:r w:rsidR="00D35049" w:rsidRPr="003E3613">
        <w:rPr>
          <w:rFonts w:ascii="Book Antiqua" w:hAnsi="Book Antiqua"/>
          <w:sz w:val="23"/>
          <w:szCs w:val="23"/>
          <w:lang w:val="en-GB"/>
        </w:rPr>
        <w:t xml:space="preserve">on </w:t>
      </w:r>
      <w:r w:rsidR="001B3775" w:rsidRPr="003E3613">
        <w:rPr>
          <w:rFonts w:ascii="Book Antiqua" w:hAnsi="Book Antiqua"/>
          <w:sz w:val="23"/>
          <w:szCs w:val="23"/>
          <w:lang w:val="en-GB"/>
        </w:rPr>
        <w:t>31 January 2019, most of the parties (including FIDESZ-KDNP, LMP, Jobbik Movement and MSZP-P) used the central budget support correctly.</w:t>
      </w:r>
      <w:r w:rsidR="001B3775" w:rsidRPr="003E3613">
        <w:rPr>
          <w:lang w:val="en-GB"/>
        </w:rPr>
        <w:t xml:space="preserve"> </w:t>
      </w:r>
      <w:r w:rsidR="001B3775" w:rsidRPr="003E3613">
        <w:rPr>
          <w:rFonts w:ascii="Book Antiqua" w:hAnsi="Book Antiqua"/>
          <w:sz w:val="23"/>
          <w:szCs w:val="23"/>
          <w:lang w:val="en-GB"/>
        </w:rPr>
        <w:t>Nevertheless</w:t>
      </w:r>
      <w:r w:rsidR="001B3775" w:rsidRPr="003E3613">
        <w:rPr>
          <w:lang w:val="en-GB"/>
        </w:rPr>
        <w:t>, t</w:t>
      </w:r>
      <w:r w:rsidR="001B3775" w:rsidRPr="003E3613">
        <w:rPr>
          <w:rFonts w:ascii="Book Antiqua" w:hAnsi="Book Antiqua"/>
          <w:sz w:val="23"/>
          <w:szCs w:val="23"/>
          <w:lang w:val="en-GB"/>
        </w:rPr>
        <w:t>he Democratic Coalition and the Hungarian Two Tailed Dog Party did not use the budget support properly; and the Democratic Coalition and Jobbik Movement used illicit support to fund their campaign.</w:t>
      </w:r>
      <w:r w:rsidR="001B3775" w:rsidRPr="003E3613">
        <w:rPr>
          <w:rStyle w:val="FootnoteReference"/>
          <w:rFonts w:ascii="Book Antiqua" w:hAnsi="Book Antiqua"/>
          <w:sz w:val="23"/>
          <w:szCs w:val="23"/>
          <w:lang w:val="en-GB"/>
        </w:rPr>
        <w:footnoteReference w:id="19"/>
      </w:r>
      <w:r w:rsidR="00424CBB" w:rsidRPr="003E3613">
        <w:rPr>
          <w:rFonts w:ascii="Book Antiqua" w:hAnsi="Book Antiqua"/>
          <w:sz w:val="23"/>
          <w:szCs w:val="23"/>
          <w:lang w:val="en-GB"/>
        </w:rPr>
        <w:t xml:space="preserve"> According to the State Audit Office’s statement published on 3 June 2019, “The State Audit Office supports the legality of the future management of budget-supported parties and their foundations, through self-testing and consultation”.</w:t>
      </w:r>
      <w:r w:rsidR="00424CBB" w:rsidRPr="003E3613">
        <w:rPr>
          <w:rStyle w:val="FootnoteReference"/>
          <w:rFonts w:ascii="Book Antiqua" w:hAnsi="Book Antiqua"/>
          <w:bCs/>
          <w:iCs/>
          <w:sz w:val="23"/>
          <w:szCs w:val="23"/>
          <w:lang w:val="en-GB"/>
        </w:rPr>
        <w:footnoteReference w:id="20"/>
      </w:r>
    </w:p>
    <w:p w14:paraId="339CC68F" w14:textId="77777777" w:rsidR="001B3775" w:rsidRPr="003E3613" w:rsidRDefault="001B3775" w:rsidP="00204696">
      <w:pPr>
        <w:spacing w:after="0"/>
        <w:jc w:val="both"/>
        <w:rPr>
          <w:rFonts w:ascii="Book Antiqua" w:hAnsi="Book Antiqua"/>
          <w:sz w:val="23"/>
          <w:szCs w:val="23"/>
          <w:lang w:val="en-GB"/>
        </w:rPr>
      </w:pPr>
    </w:p>
    <w:p w14:paraId="207A3BDC" w14:textId="77777777" w:rsidR="00DC2352" w:rsidRPr="003E3613" w:rsidRDefault="00683A39"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A continuous reporting </w:t>
      </w:r>
      <w:r w:rsidR="00516F51" w:rsidRPr="003E3613">
        <w:rPr>
          <w:rFonts w:ascii="Book Antiqua" w:hAnsi="Book Antiqua"/>
          <w:sz w:val="23"/>
          <w:szCs w:val="23"/>
          <w:lang w:val="en-GB"/>
        </w:rPr>
        <w:t xml:space="preserve">and monitoring system </w:t>
      </w:r>
      <w:r w:rsidRPr="003E3613">
        <w:rPr>
          <w:rFonts w:ascii="Book Antiqua" w:hAnsi="Book Antiqua"/>
          <w:sz w:val="23"/>
          <w:szCs w:val="23"/>
          <w:lang w:val="en-GB"/>
        </w:rPr>
        <w:t>throughout the campaign as suggested by the EP</w:t>
      </w:r>
      <w:r w:rsidR="00151B2E" w:rsidRPr="003E3613">
        <w:rPr>
          <w:rFonts w:ascii="Book Antiqua" w:hAnsi="Book Antiqua"/>
          <w:sz w:val="23"/>
          <w:szCs w:val="23"/>
          <w:lang w:val="en-GB"/>
        </w:rPr>
        <w:t xml:space="preserve"> could be interpreted as</w:t>
      </w:r>
      <w:r w:rsidR="001B101F" w:rsidRPr="003E3613">
        <w:rPr>
          <w:rFonts w:ascii="Book Antiqua" w:hAnsi="Book Antiqua"/>
          <w:sz w:val="23"/>
          <w:szCs w:val="23"/>
          <w:lang w:val="en-GB"/>
        </w:rPr>
        <w:t xml:space="preserve"> being suitable for </w:t>
      </w:r>
      <w:r w:rsidRPr="003E3613">
        <w:rPr>
          <w:rFonts w:ascii="Book Antiqua" w:hAnsi="Book Antiqua"/>
          <w:sz w:val="23"/>
          <w:szCs w:val="23"/>
          <w:lang w:val="en-GB"/>
        </w:rPr>
        <w:t>political influence</w:t>
      </w:r>
      <w:r w:rsidR="001B101F" w:rsidRPr="003E3613">
        <w:rPr>
          <w:rFonts w:ascii="Book Antiqua" w:hAnsi="Book Antiqua"/>
          <w:sz w:val="23"/>
          <w:szCs w:val="23"/>
          <w:lang w:val="en-GB"/>
        </w:rPr>
        <w:t>.</w:t>
      </w:r>
    </w:p>
    <w:p w14:paraId="0C572D95" w14:textId="77777777" w:rsidR="00306C68" w:rsidRPr="003E3613" w:rsidRDefault="00306C68" w:rsidP="00204696">
      <w:pPr>
        <w:spacing w:after="0"/>
        <w:jc w:val="both"/>
        <w:rPr>
          <w:rFonts w:ascii="Book Antiqua" w:hAnsi="Book Antiqua"/>
          <w:sz w:val="23"/>
          <w:szCs w:val="23"/>
          <w:lang w:val="en-GB"/>
        </w:rPr>
      </w:pPr>
    </w:p>
    <w:p w14:paraId="077C6B9F" w14:textId="77777777" w:rsidR="00A320F0" w:rsidRPr="003E3613" w:rsidRDefault="00A320F0" w:rsidP="00204696">
      <w:pPr>
        <w:pStyle w:val="Heading2"/>
        <w:keepNext w:val="0"/>
        <w:keepLines w:val="0"/>
        <w:spacing w:before="0"/>
        <w:rPr>
          <w:rFonts w:ascii="Book Antiqua" w:hAnsi="Book Antiqua"/>
          <w:color w:val="auto"/>
          <w:sz w:val="23"/>
          <w:szCs w:val="23"/>
          <w:lang w:val="en-GB"/>
        </w:rPr>
      </w:pPr>
      <w:bookmarkStart w:id="19" w:name="_Toc19120780"/>
      <w:r w:rsidRPr="003E3613">
        <w:rPr>
          <w:rFonts w:ascii="Book Antiqua" w:hAnsi="Book Antiqua"/>
          <w:color w:val="auto"/>
          <w:sz w:val="23"/>
          <w:szCs w:val="23"/>
          <w:lang w:val="en-GB"/>
        </w:rPr>
        <w:t>Withdrawal from the Open Government Partnership</w:t>
      </w:r>
      <w:bookmarkEnd w:id="19"/>
    </w:p>
    <w:p w14:paraId="4B3978F8" w14:textId="77777777" w:rsidR="00A320F0" w:rsidRPr="003E3613" w:rsidRDefault="00A320F0" w:rsidP="00204696">
      <w:pPr>
        <w:spacing w:after="0"/>
        <w:jc w:val="both"/>
        <w:rPr>
          <w:rFonts w:ascii="Book Antiqua" w:hAnsi="Book Antiqua"/>
          <w:i/>
          <w:sz w:val="23"/>
          <w:szCs w:val="23"/>
          <w:lang w:val="en-GB"/>
        </w:rPr>
      </w:pPr>
    </w:p>
    <w:p w14:paraId="26D8109D" w14:textId="77777777" w:rsidR="00053185" w:rsidRDefault="00507F12"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3252BD" w:rsidRPr="003E3613">
        <w:rPr>
          <w:rFonts w:ascii="Book Antiqua" w:hAnsi="Book Antiqua"/>
          <w:i/>
          <w:sz w:val="23"/>
          <w:szCs w:val="23"/>
          <w:lang w:val="en-GB"/>
        </w:rPr>
        <w:t>22</w:t>
      </w:r>
      <w:r w:rsidRPr="003E3613">
        <w:rPr>
          <w:rFonts w:ascii="Book Antiqua" w:hAnsi="Book Antiqua"/>
          <w:i/>
          <w:sz w:val="23"/>
          <w:szCs w:val="23"/>
          <w:lang w:val="en-GB"/>
        </w:rPr>
        <w:t xml:space="preserve">) On 7 December 2016, the Open Government Partnership (OGP) Steering Committee received a letter from the Government of Hungary announcing its immediate withdrawal from the </w:t>
      </w:r>
    </w:p>
    <w:p w14:paraId="4C348B6F" w14:textId="77777777" w:rsidR="00053185" w:rsidRDefault="00053185">
      <w:pPr>
        <w:rPr>
          <w:rFonts w:ascii="Book Antiqua" w:hAnsi="Book Antiqua"/>
          <w:i/>
          <w:sz w:val="23"/>
          <w:szCs w:val="23"/>
          <w:lang w:val="en-GB"/>
        </w:rPr>
      </w:pPr>
      <w:r>
        <w:rPr>
          <w:rFonts w:ascii="Book Antiqua" w:hAnsi="Book Antiqua"/>
          <w:i/>
          <w:sz w:val="23"/>
          <w:szCs w:val="23"/>
          <w:lang w:val="en-GB"/>
        </w:rPr>
        <w:br w:type="page"/>
      </w:r>
    </w:p>
    <w:p w14:paraId="76E2A37F" w14:textId="4A021035" w:rsidR="003252BD" w:rsidRPr="003E3613" w:rsidRDefault="00507F12" w:rsidP="00204696">
      <w:pPr>
        <w:spacing w:after="0"/>
        <w:jc w:val="both"/>
        <w:rPr>
          <w:rFonts w:ascii="Book Antiqua" w:hAnsi="Book Antiqua"/>
          <w:i/>
          <w:sz w:val="23"/>
          <w:szCs w:val="23"/>
          <w:lang w:val="en-GB"/>
        </w:rPr>
      </w:pPr>
      <w:r w:rsidRPr="003E3613">
        <w:rPr>
          <w:rFonts w:ascii="Book Antiqua" w:hAnsi="Book Antiqua"/>
          <w:i/>
          <w:sz w:val="23"/>
          <w:szCs w:val="23"/>
          <w:lang w:val="en-GB"/>
        </w:rPr>
        <w:lastRenderedPageBreak/>
        <w:t>partnership</w:t>
      </w:r>
      <w:r w:rsidR="003252BD" w:rsidRPr="003E3613">
        <w:rPr>
          <w:rFonts w:ascii="Book Antiqua" w:hAnsi="Book Antiqua"/>
          <w:i/>
          <w:sz w:val="23"/>
          <w:szCs w:val="23"/>
          <w:lang w:val="en-GB"/>
        </w:rPr>
        <w:t>, which voluntarily brings together 75 countries and hundreds of civil society organisations.</w:t>
      </w:r>
      <w:r w:rsidRPr="003E3613">
        <w:rPr>
          <w:rFonts w:ascii="Book Antiqua" w:hAnsi="Book Antiqua"/>
          <w:i/>
          <w:sz w:val="23"/>
          <w:szCs w:val="23"/>
          <w:lang w:val="en-GB"/>
        </w:rPr>
        <w:t xml:space="preserve"> The Government of Hungary had been under review by OGP since July 2015 for concerns raised by civil society organisations </w:t>
      </w:r>
      <w:r w:rsidR="003252BD" w:rsidRPr="003E3613">
        <w:rPr>
          <w:rFonts w:ascii="Book Antiqua" w:hAnsi="Book Antiqua"/>
          <w:i/>
          <w:sz w:val="23"/>
          <w:szCs w:val="23"/>
          <w:lang w:val="en-GB"/>
        </w:rPr>
        <w:t xml:space="preserve">in particular </w:t>
      </w:r>
      <w:r w:rsidRPr="003E3613">
        <w:rPr>
          <w:rFonts w:ascii="Book Antiqua" w:hAnsi="Book Antiqua"/>
          <w:i/>
          <w:sz w:val="23"/>
          <w:szCs w:val="23"/>
          <w:lang w:val="en-GB"/>
        </w:rPr>
        <w:t>regarding their space to operate in the country.</w:t>
      </w:r>
      <w:r w:rsidR="003252BD" w:rsidRPr="003E3613">
        <w:rPr>
          <w:rFonts w:ascii="Book Antiqua" w:hAnsi="Book Antiqua"/>
          <w:i/>
          <w:sz w:val="23"/>
          <w:szCs w:val="23"/>
          <w:lang w:val="en-GB"/>
        </w:rPr>
        <w:t xml:space="preserve"> Not all Member States are members of the OGP. </w:t>
      </w:r>
    </w:p>
    <w:p w14:paraId="6FA7446E" w14:textId="77777777" w:rsidR="00615BFA" w:rsidRPr="003E3613" w:rsidRDefault="00615BFA" w:rsidP="00204696">
      <w:pPr>
        <w:spacing w:after="0"/>
        <w:jc w:val="both"/>
        <w:rPr>
          <w:rFonts w:ascii="Book Antiqua" w:hAnsi="Book Antiqua"/>
          <w:i/>
          <w:sz w:val="23"/>
          <w:szCs w:val="23"/>
          <w:lang w:val="en-GB"/>
        </w:rPr>
      </w:pPr>
    </w:p>
    <w:p w14:paraId="7EF9358E" w14:textId="77777777" w:rsidR="005469F8" w:rsidRPr="003E3613" w:rsidRDefault="00887FAF"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Open Government Partnership is a multilateral initiative based on voluntary membership and therefore it is only up to the </w:t>
      </w:r>
      <w:r w:rsidR="00351065" w:rsidRPr="003E3613">
        <w:rPr>
          <w:rFonts w:ascii="Book Antiqua" w:hAnsi="Book Antiqua"/>
          <w:sz w:val="23"/>
          <w:szCs w:val="23"/>
          <w:lang w:val="en-GB"/>
        </w:rPr>
        <w:t>free decision of participating countries</w:t>
      </w:r>
      <w:r w:rsidRPr="003E3613">
        <w:rPr>
          <w:rFonts w:ascii="Book Antiqua" w:hAnsi="Book Antiqua"/>
          <w:sz w:val="23"/>
          <w:szCs w:val="23"/>
          <w:lang w:val="en-GB"/>
        </w:rPr>
        <w:t xml:space="preserve"> to join or to withdraw.</w:t>
      </w:r>
      <w:r w:rsidR="00351065" w:rsidRPr="003E3613">
        <w:rPr>
          <w:rFonts w:ascii="Book Antiqua" w:hAnsi="Book Antiqua"/>
          <w:sz w:val="23"/>
          <w:szCs w:val="23"/>
          <w:lang w:val="en-GB"/>
        </w:rPr>
        <w:t xml:space="preserve"> The Hungarian Government considered that there is no point in maintaining </w:t>
      </w:r>
      <w:r w:rsidR="009E09DA" w:rsidRPr="003E3613">
        <w:rPr>
          <w:rFonts w:ascii="Book Antiqua" w:hAnsi="Book Antiqua"/>
          <w:sz w:val="23"/>
          <w:szCs w:val="23"/>
          <w:lang w:val="en-GB"/>
        </w:rPr>
        <w:t xml:space="preserve">and financing </w:t>
      </w:r>
      <w:r w:rsidR="00351065" w:rsidRPr="003E3613">
        <w:rPr>
          <w:rFonts w:ascii="Book Antiqua" w:hAnsi="Book Antiqua"/>
          <w:sz w:val="23"/>
          <w:szCs w:val="23"/>
          <w:lang w:val="en-GB"/>
        </w:rPr>
        <w:t>our membership</w:t>
      </w:r>
      <w:r w:rsidR="009E09DA" w:rsidRPr="003E3613">
        <w:rPr>
          <w:rFonts w:ascii="Book Antiqua" w:hAnsi="Book Antiqua"/>
          <w:sz w:val="23"/>
          <w:szCs w:val="23"/>
          <w:lang w:val="en-GB"/>
        </w:rPr>
        <w:t xml:space="preserve"> in an </w:t>
      </w:r>
      <w:r w:rsidR="00BD0A8B" w:rsidRPr="003E3613">
        <w:rPr>
          <w:rFonts w:ascii="Book Antiqua" w:hAnsi="Book Antiqua"/>
          <w:sz w:val="23"/>
          <w:szCs w:val="23"/>
          <w:lang w:val="en-GB"/>
        </w:rPr>
        <w:t>organisation</w:t>
      </w:r>
      <w:r w:rsidR="009E09DA" w:rsidRPr="003E3613">
        <w:rPr>
          <w:rFonts w:ascii="Book Antiqua" w:hAnsi="Book Antiqua"/>
          <w:sz w:val="23"/>
          <w:szCs w:val="23"/>
          <w:lang w:val="en-GB"/>
        </w:rPr>
        <w:t xml:space="preserve"> that has</w:t>
      </w:r>
      <w:r w:rsidR="00351065" w:rsidRPr="003E3613">
        <w:rPr>
          <w:rFonts w:ascii="Book Antiqua" w:hAnsi="Book Antiqua"/>
          <w:sz w:val="23"/>
          <w:szCs w:val="23"/>
          <w:lang w:val="en-GB"/>
        </w:rPr>
        <w:t xml:space="preserve"> completely </w:t>
      </w:r>
      <w:r w:rsidR="009E09DA" w:rsidRPr="003E3613">
        <w:rPr>
          <w:rFonts w:ascii="Book Antiqua" w:hAnsi="Book Antiqua"/>
          <w:sz w:val="23"/>
          <w:szCs w:val="23"/>
          <w:lang w:val="en-GB"/>
        </w:rPr>
        <w:t>diverged</w:t>
      </w:r>
      <w:r w:rsidR="00351065" w:rsidRPr="003E3613">
        <w:rPr>
          <w:rFonts w:ascii="Book Antiqua" w:hAnsi="Book Antiqua"/>
          <w:sz w:val="23"/>
          <w:szCs w:val="23"/>
          <w:lang w:val="en-GB"/>
        </w:rPr>
        <w:t xml:space="preserve"> from </w:t>
      </w:r>
      <w:r w:rsidR="009E09DA" w:rsidRPr="003E3613">
        <w:rPr>
          <w:rFonts w:ascii="Book Antiqua" w:hAnsi="Book Antiqua"/>
          <w:sz w:val="23"/>
          <w:szCs w:val="23"/>
          <w:lang w:val="en-GB"/>
        </w:rPr>
        <w:t>its original</w:t>
      </w:r>
      <w:r w:rsidR="00351065" w:rsidRPr="003E3613">
        <w:rPr>
          <w:rFonts w:ascii="Book Antiqua" w:hAnsi="Book Antiqua"/>
          <w:sz w:val="23"/>
          <w:szCs w:val="23"/>
          <w:lang w:val="en-GB"/>
        </w:rPr>
        <w:t xml:space="preserve"> goals and principles.</w:t>
      </w:r>
      <w:r w:rsidR="00C12C6B" w:rsidRPr="003E3613">
        <w:rPr>
          <w:rFonts w:ascii="Book Antiqua" w:hAnsi="Book Antiqua"/>
          <w:sz w:val="23"/>
          <w:szCs w:val="23"/>
          <w:lang w:val="en-GB"/>
        </w:rPr>
        <w:t xml:space="preserve"> </w:t>
      </w:r>
      <w:r w:rsidR="005469F8" w:rsidRPr="003E3613">
        <w:rPr>
          <w:rFonts w:ascii="Book Antiqua" w:hAnsi="Book Antiqua"/>
          <w:sz w:val="23"/>
          <w:szCs w:val="23"/>
          <w:lang w:val="en-GB"/>
        </w:rPr>
        <w:t>It is worth highlighting that Hungary is not the only Member State not taking part in the Open Government Partnership.</w:t>
      </w:r>
      <w:r w:rsidR="00554D9C" w:rsidRPr="003E3613">
        <w:rPr>
          <w:rFonts w:ascii="Book Antiqua" w:hAnsi="Book Antiqua"/>
          <w:sz w:val="23"/>
          <w:szCs w:val="23"/>
          <w:lang w:val="en-GB"/>
        </w:rPr>
        <w:t xml:space="preserve"> </w:t>
      </w:r>
    </w:p>
    <w:p w14:paraId="398883B2" w14:textId="77777777" w:rsidR="001B3775" w:rsidRPr="003E3613" w:rsidRDefault="001B3775" w:rsidP="00204696">
      <w:pPr>
        <w:spacing w:after="0"/>
        <w:jc w:val="both"/>
        <w:rPr>
          <w:rFonts w:ascii="Book Antiqua" w:hAnsi="Book Antiqua"/>
          <w:sz w:val="23"/>
          <w:szCs w:val="23"/>
          <w:lang w:val="en-GB"/>
        </w:rPr>
      </w:pPr>
    </w:p>
    <w:p w14:paraId="453107EC" w14:textId="77777777" w:rsidR="001B3775" w:rsidRPr="003E3613" w:rsidRDefault="001B3775" w:rsidP="00204696">
      <w:pPr>
        <w:spacing w:after="0"/>
        <w:jc w:val="both"/>
        <w:rPr>
          <w:rFonts w:ascii="Book Antiqua" w:hAnsi="Book Antiqua"/>
          <w:sz w:val="23"/>
          <w:szCs w:val="23"/>
          <w:lang w:val="en-GB"/>
        </w:rPr>
      </w:pPr>
      <w:r w:rsidRPr="003E3613">
        <w:rPr>
          <w:rFonts w:ascii="Book Antiqua" w:hAnsi="Book Antiqua"/>
          <w:sz w:val="23"/>
          <w:szCs w:val="23"/>
          <w:lang w:val="en-GB"/>
        </w:rPr>
        <w:t>Despite Hungary's withdrawal from the Open Government Partnership, we remain dedicated to implementing the commitments made during the co-operation. The fight against corruption and the strengthening of integrity remains a priority to Hungary. Under the Open Government Partnership's second action plan, Hungary has made a total of eight commitments</w:t>
      </w:r>
      <w:r w:rsidR="00E97937" w:rsidRPr="003E3613">
        <w:rPr>
          <w:rFonts w:ascii="Book Antiqua" w:hAnsi="Book Antiqua"/>
          <w:sz w:val="23"/>
          <w:szCs w:val="23"/>
          <w:lang w:val="en-GB"/>
        </w:rPr>
        <w:t>, indclu</w:t>
      </w:r>
      <w:r w:rsidRPr="003E3613">
        <w:rPr>
          <w:rFonts w:ascii="Book Antiqua" w:hAnsi="Book Antiqua"/>
          <w:sz w:val="23"/>
          <w:szCs w:val="23"/>
          <w:lang w:val="en-GB"/>
        </w:rPr>
        <w:t>ding: ma</w:t>
      </w:r>
      <w:r w:rsidR="00A301E9" w:rsidRPr="003E3613">
        <w:rPr>
          <w:rFonts w:ascii="Book Antiqua" w:hAnsi="Book Antiqua"/>
          <w:sz w:val="23"/>
          <w:szCs w:val="23"/>
          <w:lang w:val="en-GB"/>
        </w:rPr>
        <w:t xml:space="preserve">king </w:t>
      </w:r>
      <w:r w:rsidRPr="003E3613">
        <w:rPr>
          <w:rFonts w:ascii="Book Antiqua" w:hAnsi="Book Antiqua"/>
          <w:sz w:val="23"/>
          <w:szCs w:val="23"/>
          <w:lang w:val="en-GB"/>
        </w:rPr>
        <w:t>the communication with lobbyists more transparent in the public sector; providing an e-learning training on the freedom of information in the training system of state and local government organisations;</w:t>
      </w:r>
      <w:r w:rsidRPr="003E3613">
        <w:rPr>
          <w:lang w:val="en-GB"/>
        </w:rPr>
        <w:t xml:space="preserve"> </w:t>
      </w:r>
      <w:r w:rsidRPr="003E3613">
        <w:rPr>
          <w:rFonts w:ascii="Book Antiqua" w:hAnsi="Book Antiqua"/>
          <w:sz w:val="23"/>
          <w:szCs w:val="23"/>
          <w:lang w:val="en-GB"/>
        </w:rPr>
        <w:t>developing a mobile application facilitating contact with the police and public administration agencies.</w:t>
      </w:r>
    </w:p>
    <w:p w14:paraId="0509D4C9" w14:textId="77777777" w:rsidR="00916F3B" w:rsidRPr="003E3613" w:rsidRDefault="00916F3B" w:rsidP="00204696">
      <w:pPr>
        <w:pStyle w:val="Heading2"/>
        <w:keepNext w:val="0"/>
        <w:keepLines w:val="0"/>
        <w:spacing w:before="0"/>
        <w:rPr>
          <w:rFonts w:ascii="Book Antiqua" w:hAnsi="Book Antiqua"/>
          <w:sz w:val="23"/>
          <w:szCs w:val="23"/>
          <w:lang w:val="en-GB"/>
        </w:rPr>
      </w:pPr>
    </w:p>
    <w:p w14:paraId="6534D3A5" w14:textId="77777777" w:rsidR="00916F3B" w:rsidRPr="003E3613" w:rsidRDefault="00916F3B" w:rsidP="00204696">
      <w:pPr>
        <w:pStyle w:val="Heading2"/>
        <w:keepNext w:val="0"/>
        <w:keepLines w:val="0"/>
        <w:spacing w:before="0"/>
        <w:rPr>
          <w:rFonts w:ascii="Book Antiqua" w:hAnsi="Book Antiqua"/>
          <w:sz w:val="23"/>
          <w:szCs w:val="23"/>
          <w:lang w:val="en-GB"/>
        </w:rPr>
      </w:pPr>
      <w:bookmarkStart w:id="20" w:name="_Toc19120781"/>
      <w:r w:rsidRPr="003E3613">
        <w:rPr>
          <w:rFonts w:ascii="Book Antiqua" w:hAnsi="Book Antiqua"/>
          <w:color w:val="auto"/>
          <w:sz w:val="23"/>
          <w:szCs w:val="23"/>
          <w:lang w:val="en-GB"/>
        </w:rPr>
        <w:t>The follow-up of the OLAF’s recommendations</w:t>
      </w:r>
      <w:r w:rsidR="00213CD9" w:rsidRPr="003E3613">
        <w:rPr>
          <w:rFonts w:ascii="Book Antiqua" w:hAnsi="Book Antiqua"/>
          <w:color w:val="auto"/>
          <w:sz w:val="23"/>
          <w:szCs w:val="23"/>
          <w:lang w:val="en-GB"/>
        </w:rPr>
        <w:t xml:space="preserve"> and public procurement</w:t>
      </w:r>
      <w:bookmarkEnd w:id="20"/>
    </w:p>
    <w:p w14:paraId="36A85CB9" w14:textId="77777777" w:rsidR="003252BD" w:rsidRPr="003E3613" w:rsidRDefault="003252BD" w:rsidP="00204696">
      <w:pPr>
        <w:pStyle w:val="Heading2"/>
        <w:keepNext w:val="0"/>
        <w:keepLines w:val="0"/>
        <w:spacing w:before="0"/>
        <w:rPr>
          <w:rFonts w:ascii="Book Antiqua" w:hAnsi="Book Antiqua"/>
          <w:sz w:val="23"/>
          <w:szCs w:val="23"/>
          <w:lang w:val="en-GB"/>
        </w:rPr>
      </w:pPr>
    </w:p>
    <w:p w14:paraId="73FA01BE" w14:textId="77777777" w:rsidR="003252BD" w:rsidRPr="003E3613" w:rsidRDefault="003252BD" w:rsidP="00204696">
      <w:pPr>
        <w:spacing w:after="0"/>
        <w:jc w:val="both"/>
        <w:rPr>
          <w:rFonts w:ascii="Book Antiqua" w:hAnsi="Book Antiqua"/>
          <w:i/>
          <w:sz w:val="23"/>
          <w:szCs w:val="23"/>
          <w:lang w:val="en-GB"/>
        </w:rPr>
      </w:pPr>
      <w:r w:rsidRPr="003E3613">
        <w:rPr>
          <w:rFonts w:ascii="Book Antiqua" w:hAnsi="Book Antiqua"/>
          <w:i/>
          <w:sz w:val="23"/>
          <w:szCs w:val="23"/>
          <w:lang w:val="en-GB"/>
        </w:rPr>
        <w:t>(23)</w:t>
      </w:r>
      <w:r w:rsidRPr="003E3613">
        <w:rPr>
          <w:rFonts w:ascii="Book Antiqua" w:hAnsi="Book Antiqua"/>
          <w:i/>
          <w:sz w:val="23"/>
          <w:szCs w:val="23"/>
          <w:lang w:val="en-GB"/>
        </w:rPr>
        <w:tab/>
        <w:t xml:space="preserve">Hungary benefits from Union funding amounting to 4,4 % of its GDP or more than half of public investment. The share of contracts awarded after public procurement procedures that received only a single bid remains high at 36 % in 2016. Hungary has the highest percentage in the Union of financial recommendations from OLAF regarding the Structural Funds and Agriculture for the 2013-2017 period. In 2016, OLAF concluded an investigation into a EUR 1,7 billion transport project in Hungary, in which several international specialist construction firms were the main players. The investigation revealed very serious irregularities as well as possible fraud and corruption in the execution of the project. In 2017, OLAF found “serious irregularities” and “conflicts of interest” during its investigation into 35 street-lightning contracts granted to the company at the time controlled by the Hungarian Prime-Minister’s son-in-law. OLAF sent its final report with financial recommendations to the Commission’s Directorate-General for Regional and Urban Policy to recover EUR 43,7 million and judicial recommendations to the General Prosecutor of Hungary. A cross-border investigation, concluded by OLAF in 2017, involved allegations related to the potential misuse of Union funds in 31 Research and Development projects. The investigation, which took place in Hungary, Latvia and Serbia, uncovered a subcontracting scheme used to artificially increase project costs and hide the fact that the final suppliers were linked companies. OLAF therefore concluded the investigation with a financial recommendation to the Commission to recover EUR 28,3 million and a judicial recommendation to the Hungarian judicial authorities. Hungary decided not to participate in the establishment of the European Public Prosecutor’s Office responsible for investigating, prosecuting and </w:t>
      </w:r>
      <w:r w:rsidRPr="003E3613">
        <w:rPr>
          <w:rFonts w:ascii="Book Antiqua" w:hAnsi="Book Antiqua"/>
          <w:i/>
          <w:sz w:val="23"/>
          <w:szCs w:val="23"/>
          <w:lang w:val="en-GB"/>
        </w:rPr>
        <w:lastRenderedPageBreak/>
        <w:t>bringing to judgment the perpetrators of, and accomplices to, criminal offences affecting the financial interests of the Union.</w:t>
      </w:r>
    </w:p>
    <w:p w14:paraId="5921BC60" w14:textId="77777777" w:rsidR="003252BD" w:rsidRPr="003E3613" w:rsidRDefault="003252BD" w:rsidP="00204696">
      <w:pPr>
        <w:spacing w:after="0"/>
        <w:jc w:val="both"/>
        <w:rPr>
          <w:rFonts w:ascii="Book Antiqua" w:hAnsi="Book Antiqua"/>
          <w:i/>
          <w:sz w:val="23"/>
          <w:szCs w:val="23"/>
          <w:lang w:val="en-GB"/>
        </w:rPr>
      </w:pPr>
    </w:p>
    <w:p w14:paraId="7E448D82" w14:textId="77777777" w:rsidR="001B3775" w:rsidRPr="003E3613" w:rsidRDefault="001B3775" w:rsidP="00204696">
      <w:pPr>
        <w:spacing w:after="0"/>
        <w:jc w:val="both"/>
        <w:rPr>
          <w:rFonts w:ascii="Book Antiqua" w:hAnsi="Book Antiqua"/>
          <w:sz w:val="23"/>
          <w:szCs w:val="23"/>
          <w:lang w:val="en-GB"/>
        </w:rPr>
      </w:pPr>
      <w:r w:rsidRPr="003E3613">
        <w:rPr>
          <w:rFonts w:ascii="Book Antiqua" w:hAnsi="Book Antiqua"/>
          <w:sz w:val="23"/>
          <w:szCs w:val="23"/>
          <w:lang w:val="en-GB"/>
        </w:rPr>
        <w:t>In our view, there is no acceptable level of corruption, as there is only one right policy for the Government to pursue: the policy of zero tolerance. It is worth considering some facts, such as what we had before 2010 and what we have now. Before 2010, the budget deficit and debt grew, public assets shrank, and there was no economic growth. After 2010 the budget deficit started to fall, along with the government debt falling, public assets increasing, the economy growing and wages rising. With such economic results and in such circumstances Hungary considers it inconceivable that there could be a significant amount of corruption in Hungary.</w:t>
      </w:r>
    </w:p>
    <w:p w14:paraId="26F59DE1" w14:textId="77777777" w:rsidR="001B3775" w:rsidRPr="003E3613" w:rsidRDefault="001B3775" w:rsidP="00204696">
      <w:pPr>
        <w:spacing w:after="0"/>
        <w:jc w:val="both"/>
        <w:rPr>
          <w:rFonts w:ascii="Book Antiqua" w:hAnsi="Book Antiqua"/>
          <w:i/>
          <w:sz w:val="23"/>
          <w:szCs w:val="23"/>
          <w:lang w:val="en-GB"/>
        </w:rPr>
      </w:pPr>
    </w:p>
    <w:p w14:paraId="37B678B6" w14:textId="77777777" w:rsidR="00916F3B" w:rsidRPr="003E3613" w:rsidRDefault="00916F3B" w:rsidP="00204696">
      <w:pPr>
        <w:spacing w:after="0"/>
        <w:jc w:val="both"/>
        <w:rPr>
          <w:rFonts w:ascii="Book Antiqua" w:hAnsi="Book Antiqua"/>
          <w:sz w:val="23"/>
          <w:szCs w:val="23"/>
          <w:lang w:val="en-GB"/>
        </w:rPr>
      </w:pPr>
      <w:r w:rsidRPr="003E3613">
        <w:rPr>
          <w:rFonts w:ascii="Book Antiqua" w:hAnsi="Book Antiqua"/>
          <w:sz w:val="23"/>
          <w:szCs w:val="23"/>
          <w:lang w:val="en-GB"/>
        </w:rPr>
        <w:t>Regarding the follow-up of the OLAF’s recommendations, it is important to highlight the following. As the 201</w:t>
      </w:r>
      <w:r w:rsidR="00225A7A" w:rsidRPr="003E3613">
        <w:rPr>
          <w:rFonts w:ascii="Book Antiqua" w:hAnsi="Book Antiqua"/>
          <w:sz w:val="23"/>
          <w:szCs w:val="23"/>
          <w:lang w:val="en-GB"/>
        </w:rPr>
        <w:t>8</w:t>
      </w:r>
      <w:r w:rsidRPr="003E3613">
        <w:rPr>
          <w:rFonts w:ascii="Book Antiqua" w:hAnsi="Book Antiqua"/>
          <w:sz w:val="23"/>
          <w:szCs w:val="23"/>
          <w:lang w:val="en-GB"/>
        </w:rPr>
        <w:t xml:space="preserve"> OLAF Report</w:t>
      </w:r>
      <w:r w:rsidR="00F82F3E" w:rsidRPr="003E3613">
        <w:rPr>
          <w:rFonts w:ascii="Book Antiqua" w:hAnsi="Book Antiqua"/>
          <w:sz w:val="23"/>
          <w:szCs w:val="23"/>
          <w:lang w:val="en-GB"/>
        </w:rPr>
        <w:t xml:space="preserve"> </w:t>
      </w:r>
      <w:r w:rsidR="0098325E" w:rsidRPr="003E3613">
        <w:rPr>
          <w:rFonts w:ascii="Book Antiqua" w:hAnsi="Book Antiqua"/>
          <w:sz w:val="23"/>
          <w:szCs w:val="23"/>
          <w:lang w:val="en-GB"/>
        </w:rPr>
        <w:t>showed</w:t>
      </w:r>
      <w:r w:rsidRPr="003E3613">
        <w:rPr>
          <w:rFonts w:ascii="Book Antiqua" w:hAnsi="Book Antiqua"/>
          <w:sz w:val="23"/>
          <w:szCs w:val="23"/>
          <w:lang w:val="en-GB"/>
        </w:rPr>
        <w:t xml:space="preserve">, in Hungary the indictment rate </w:t>
      </w:r>
      <w:r w:rsidR="0098325E" w:rsidRPr="003E3613">
        <w:rPr>
          <w:rFonts w:ascii="Book Antiqua" w:hAnsi="Book Antiqua"/>
          <w:sz w:val="23"/>
          <w:szCs w:val="23"/>
          <w:lang w:val="en-GB"/>
        </w:rPr>
        <w:t xml:space="preserve">was </w:t>
      </w:r>
      <w:r w:rsidRPr="003E3613">
        <w:rPr>
          <w:rFonts w:ascii="Book Antiqua" w:hAnsi="Book Antiqua"/>
          <w:sz w:val="23"/>
          <w:szCs w:val="23"/>
          <w:lang w:val="en-GB"/>
        </w:rPr>
        <w:t>4</w:t>
      </w:r>
      <w:r w:rsidR="00225A7A" w:rsidRPr="003E3613">
        <w:rPr>
          <w:rFonts w:ascii="Book Antiqua" w:hAnsi="Book Antiqua"/>
          <w:sz w:val="23"/>
          <w:szCs w:val="23"/>
          <w:lang w:val="en-GB"/>
        </w:rPr>
        <w:t>5</w:t>
      </w:r>
      <w:r w:rsidRPr="003E3613">
        <w:rPr>
          <w:rFonts w:ascii="Book Antiqua" w:hAnsi="Book Antiqua"/>
          <w:sz w:val="23"/>
          <w:szCs w:val="23"/>
          <w:lang w:val="en-GB"/>
        </w:rPr>
        <w:t>% according to OLAF’s figure on the actions taken by national judicial authorities following its recommendations (issued between 1 January 201</w:t>
      </w:r>
      <w:r w:rsidR="00225A7A" w:rsidRPr="003E3613">
        <w:rPr>
          <w:rFonts w:ascii="Book Antiqua" w:hAnsi="Book Antiqua"/>
          <w:sz w:val="23"/>
          <w:szCs w:val="23"/>
          <w:lang w:val="en-GB"/>
        </w:rPr>
        <w:t>2</w:t>
      </w:r>
      <w:r w:rsidRPr="003E3613">
        <w:rPr>
          <w:rFonts w:ascii="Book Antiqua" w:hAnsi="Book Antiqua"/>
          <w:sz w:val="23"/>
          <w:szCs w:val="23"/>
          <w:lang w:val="en-GB"/>
        </w:rPr>
        <w:t xml:space="preserve"> and </w:t>
      </w:r>
      <w:r w:rsidR="00225A7A" w:rsidRPr="003E3613">
        <w:rPr>
          <w:rFonts w:ascii="Book Antiqua" w:hAnsi="Book Antiqua"/>
          <w:sz w:val="23"/>
          <w:szCs w:val="23"/>
          <w:lang w:val="en-GB"/>
        </w:rPr>
        <w:t xml:space="preserve">31 </w:t>
      </w:r>
      <w:r w:rsidRPr="003E3613">
        <w:rPr>
          <w:rFonts w:ascii="Book Antiqua" w:hAnsi="Book Antiqua"/>
          <w:sz w:val="23"/>
          <w:szCs w:val="23"/>
          <w:lang w:val="en-GB"/>
        </w:rPr>
        <w:t>December 201</w:t>
      </w:r>
      <w:r w:rsidR="00225A7A" w:rsidRPr="003E3613">
        <w:rPr>
          <w:rFonts w:ascii="Book Antiqua" w:hAnsi="Book Antiqua"/>
          <w:sz w:val="23"/>
          <w:szCs w:val="23"/>
          <w:lang w:val="en-GB"/>
        </w:rPr>
        <w:t>8</w:t>
      </w:r>
      <w:r w:rsidRPr="003E3613">
        <w:rPr>
          <w:rFonts w:ascii="Book Antiqua" w:hAnsi="Book Antiqua"/>
          <w:sz w:val="23"/>
          <w:szCs w:val="23"/>
          <w:lang w:val="en-GB"/>
        </w:rPr>
        <w:t xml:space="preserve">), while the average in the EU Member States </w:t>
      </w:r>
      <w:r w:rsidR="0098325E" w:rsidRPr="003E3613">
        <w:rPr>
          <w:rFonts w:ascii="Book Antiqua" w:hAnsi="Book Antiqua"/>
          <w:sz w:val="23"/>
          <w:szCs w:val="23"/>
          <w:lang w:val="en-GB"/>
        </w:rPr>
        <w:t xml:space="preserve">was </w:t>
      </w:r>
      <w:r w:rsidR="00225A7A" w:rsidRPr="003E3613">
        <w:rPr>
          <w:rFonts w:ascii="Book Antiqua" w:hAnsi="Book Antiqua"/>
          <w:sz w:val="23"/>
          <w:szCs w:val="23"/>
          <w:lang w:val="en-GB"/>
        </w:rPr>
        <w:t>36</w:t>
      </w:r>
      <w:r w:rsidRPr="003E3613">
        <w:rPr>
          <w:rFonts w:ascii="Book Antiqua" w:hAnsi="Book Antiqua"/>
          <w:sz w:val="23"/>
          <w:szCs w:val="23"/>
          <w:lang w:val="en-GB"/>
        </w:rPr>
        <w:t>%.</w:t>
      </w:r>
      <w:r w:rsidR="00225A7A" w:rsidRPr="003E3613">
        <w:rPr>
          <w:rStyle w:val="FootnoteReference"/>
          <w:rFonts w:ascii="Book Antiqua" w:hAnsi="Book Antiqua"/>
          <w:sz w:val="23"/>
          <w:szCs w:val="23"/>
          <w:lang w:val="en-GB"/>
        </w:rPr>
        <w:footnoteReference w:id="21"/>
      </w:r>
      <w:r w:rsidR="0098325E" w:rsidRPr="003E3613">
        <w:rPr>
          <w:rFonts w:ascii="Book Antiqua" w:hAnsi="Book Antiqua"/>
          <w:sz w:val="23"/>
          <w:szCs w:val="23"/>
          <w:lang w:val="en-GB"/>
        </w:rPr>
        <w:t xml:space="preserve"> On the basis of the data of the Office of the Prosecutor General of Hungary, this Hungarian indictment rate has further been improved in 2018, and was at 52,4% by the end of 2018.</w:t>
      </w:r>
    </w:p>
    <w:p w14:paraId="6E41ABE4" w14:textId="77777777" w:rsidR="0098325E" w:rsidRPr="003E3613" w:rsidRDefault="0098325E" w:rsidP="00204696">
      <w:pPr>
        <w:spacing w:after="0"/>
        <w:jc w:val="both"/>
        <w:rPr>
          <w:rFonts w:ascii="Book Antiqua" w:hAnsi="Book Antiqua"/>
          <w:sz w:val="23"/>
          <w:szCs w:val="23"/>
          <w:lang w:val="en-GB"/>
        </w:rPr>
      </w:pPr>
    </w:p>
    <w:p w14:paraId="686C387F" w14:textId="77777777" w:rsidR="0098325E" w:rsidRPr="003E3613" w:rsidRDefault="0098325E" w:rsidP="00204696">
      <w:pPr>
        <w:spacing w:after="0"/>
        <w:jc w:val="both"/>
        <w:rPr>
          <w:rFonts w:ascii="Book Antiqua" w:hAnsi="Book Antiqua"/>
          <w:sz w:val="23"/>
          <w:szCs w:val="23"/>
          <w:lang w:val="en-GB"/>
        </w:rPr>
      </w:pPr>
      <w:r w:rsidRPr="003E3613">
        <w:rPr>
          <w:rFonts w:ascii="Book Antiqua" w:hAnsi="Book Antiqua"/>
          <w:sz w:val="23"/>
          <w:szCs w:val="23"/>
          <w:lang w:val="en-GB"/>
        </w:rPr>
        <w:t>Since 2012 until the end of 2018, the OLAF has issued altogether 38 judicial recommendations (which indicated suspected crimes based on their own administrative investigations) and transmitted 4 pieces of information (referring to the commission of criminal offences, without making any recommendations to open criminal proceedings) to the Office of the Prosecutor General of Hungary. In each case, the Prosecution Service of Hungary ordered that a criminal investigation should be opened, and if a criminal investigation was already ongoing, the OLAF recommendation was attached to the investigation files and was assessed as a part thereof. Prior to 2012, the OLAF did not issue any recommendation, it only forwarded its final repors about its external investigations to the Hungarian judicial authorities. In 2010, the Prosecution Service of Hungary received no final reports from OLAF. In 2011 one final report was received, and based upon this final report a criminal proceeding was opened, and following an indictment a final judgement was delivered on 24 June 2016.</w:t>
      </w:r>
    </w:p>
    <w:p w14:paraId="1AC044EB" w14:textId="77777777" w:rsidR="0098325E" w:rsidRPr="003E3613" w:rsidRDefault="0098325E" w:rsidP="00204696">
      <w:pPr>
        <w:spacing w:after="0"/>
        <w:jc w:val="both"/>
        <w:rPr>
          <w:rFonts w:ascii="Book Antiqua" w:hAnsi="Book Antiqua"/>
          <w:sz w:val="23"/>
          <w:szCs w:val="23"/>
          <w:lang w:val="en-GB"/>
        </w:rPr>
      </w:pPr>
    </w:p>
    <w:p w14:paraId="5D20AA9C" w14:textId="77777777" w:rsidR="0098325E" w:rsidRPr="003E3613" w:rsidRDefault="0098325E" w:rsidP="00204696">
      <w:pPr>
        <w:spacing w:after="0"/>
        <w:jc w:val="both"/>
        <w:rPr>
          <w:rFonts w:ascii="Book Antiqua" w:hAnsi="Book Antiqua"/>
          <w:sz w:val="23"/>
          <w:szCs w:val="23"/>
          <w:lang w:val="en-GB"/>
        </w:rPr>
      </w:pPr>
      <w:r w:rsidRPr="003E3613">
        <w:rPr>
          <w:rFonts w:ascii="Book Antiqua" w:hAnsi="Book Antiqua"/>
          <w:sz w:val="23"/>
          <w:szCs w:val="23"/>
          <w:lang w:val="en-GB"/>
        </w:rPr>
        <w:t>As far as the entire time period is concerned, based upon the outcomes of criminal investigations the prosecutors have filed indictments in 10 cases. Out of these cases, the courts have delivered two final judgements that convicted the offenders and one non-final sentencing judgement. One case resulted in a conditional prosecutorial suspension, which also means that the accused person was held criminally liable. 10 cases were closed with the termination of the criminal proceedings; in all the other cases the criminal investigations are still ongoing.</w:t>
      </w:r>
    </w:p>
    <w:p w14:paraId="493E0833" w14:textId="77777777" w:rsidR="0098325E" w:rsidRPr="003E3613" w:rsidRDefault="0098325E" w:rsidP="00204696">
      <w:pPr>
        <w:spacing w:after="0"/>
        <w:jc w:val="both"/>
        <w:rPr>
          <w:rFonts w:ascii="Book Antiqua" w:hAnsi="Book Antiqua"/>
          <w:sz w:val="23"/>
          <w:szCs w:val="23"/>
          <w:lang w:val="en-GB"/>
        </w:rPr>
      </w:pPr>
    </w:p>
    <w:p w14:paraId="6BCD6B16" w14:textId="77777777" w:rsidR="0098325E" w:rsidRPr="003E3613" w:rsidRDefault="0098325E"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Altogether, the current rate of indictments, conditional prosecutorial suspensions and terminations of proceedings in criminal proceedings opened on the basis of OLAF recommendations, transmitted information or final reports is 52,4%, which exceeds the EU average (The EU average was 42% according to the latest OLAF report published in 2018).</w:t>
      </w:r>
    </w:p>
    <w:p w14:paraId="42920DAC" w14:textId="77777777" w:rsidR="00916F3B" w:rsidRPr="003E3613" w:rsidRDefault="00916F3B" w:rsidP="00204696">
      <w:pPr>
        <w:spacing w:after="0"/>
        <w:jc w:val="both"/>
        <w:rPr>
          <w:rFonts w:ascii="Book Antiqua" w:hAnsi="Book Antiqua"/>
          <w:sz w:val="23"/>
          <w:szCs w:val="23"/>
          <w:lang w:val="en-GB"/>
        </w:rPr>
      </w:pPr>
    </w:p>
    <w:p w14:paraId="782361DD" w14:textId="77777777" w:rsidR="00916F3B" w:rsidRPr="003E3613" w:rsidRDefault="00916F3B" w:rsidP="00204696">
      <w:pPr>
        <w:spacing w:after="0"/>
        <w:jc w:val="both"/>
        <w:rPr>
          <w:rFonts w:ascii="Book Antiqua" w:hAnsi="Book Antiqua"/>
          <w:sz w:val="23"/>
          <w:szCs w:val="23"/>
          <w:lang w:val="en-GB"/>
        </w:rPr>
      </w:pPr>
      <w:r w:rsidRPr="003E3613">
        <w:rPr>
          <w:rFonts w:ascii="Book Antiqua" w:hAnsi="Book Antiqua"/>
          <w:sz w:val="23"/>
          <w:szCs w:val="23"/>
          <w:lang w:val="en-GB"/>
        </w:rPr>
        <w:t>Furthermore, according to Article 11 of Regulation 883/2013 governing the work of the European Anti-Fraud Office</w:t>
      </w:r>
      <w:r w:rsidRPr="003E3613">
        <w:rPr>
          <w:rStyle w:val="FootnoteReference"/>
          <w:rFonts w:ascii="Book Antiqua" w:hAnsi="Book Antiqua"/>
          <w:sz w:val="23"/>
          <w:szCs w:val="23"/>
          <w:lang w:val="en-GB"/>
        </w:rPr>
        <w:footnoteReference w:id="22"/>
      </w:r>
      <w:r w:rsidRPr="003E3613">
        <w:rPr>
          <w:rFonts w:ascii="Book Antiqua" w:hAnsi="Book Antiqua"/>
          <w:sz w:val="23"/>
          <w:szCs w:val="23"/>
          <w:lang w:val="en-GB"/>
        </w:rPr>
        <w:t>, the national law of the Member State concerned shall be taken into account in the OLAF report. The reports shall constitute admissible evidence in administrative or judicial proceedings of the Member State in which their use proves necessary, in the same way and under the same conditions as administrative reports drawn up by national administrative inspectors. They shall be subject to the same evaluation rules as those applicable to administrative reports drawn up by national administrative inspectors and shall have the same evidentiary value as such reports. However, the judge has a full discretional power to evaluate the individual pieces of evidence. Therefore, the reports of OLAF as such constitute</w:t>
      </w:r>
      <w:r w:rsidR="00284335" w:rsidRPr="003E3613">
        <w:rPr>
          <w:rFonts w:ascii="Book Antiqua" w:hAnsi="Book Antiqua"/>
          <w:sz w:val="23"/>
          <w:szCs w:val="23"/>
          <w:lang w:val="en-GB"/>
        </w:rPr>
        <w:t xml:space="preserve"> only</w:t>
      </w:r>
      <w:r w:rsidRPr="003E3613">
        <w:rPr>
          <w:rFonts w:ascii="Book Antiqua" w:hAnsi="Book Antiqua"/>
          <w:sz w:val="23"/>
          <w:szCs w:val="23"/>
          <w:lang w:val="en-GB"/>
        </w:rPr>
        <w:t xml:space="preserve"> one piece of material evidence, but they can still be relevant for the prosecution during the criminal procedure. It should be underlined that the national authorities still have to conduct the investigation in accordance with the respective national criminal procedural codes. In addition, another major factor influencing the indictment rate is the fact that by the time of the final OLAF report all supporting hard evidence that should be collected during the investigation for a successful prosecution is not available anymore. </w:t>
      </w:r>
    </w:p>
    <w:p w14:paraId="006E4816" w14:textId="77777777" w:rsidR="00916F3B" w:rsidRPr="003E3613" w:rsidRDefault="00916F3B" w:rsidP="00204696">
      <w:pPr>
        <w:spacing w:after="0"/>
        <w:jc w:val="both"/>
        <w:rPr>
          <w:rFonts w:ascii="Book Antiqua" w:hAnsi="Book Antiqua"/>
          <w:sz w:val="23"/>
          <w:szCs w:val="23"/>
          <w:lang w:val="en-GB"/>
        </w:rPr>
      </w:pPr>
    </w:p>
    <w:p w14:paraId="21D01D94" w14:textId="77777777" w:rsidR="00916F3B" w:rsidRPr="003E3613" w:rsidRDefault="0098325E"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Nevertheless, Hungary’s performance regarding the indictment rate is still above the EU average. </w:t>
      </w:r>
      <w:r w:rsidR="001B3775" w:rsidRPr="003E3613">
        <w:rPr>
          <w:rFonts w:ascii="Book Antiqua" w:hAnsi="Book Antiqua"/>
          <w:sz w:val="23"/>
          <w:szCs w:val="23"/>
          <w:lang w:val="en-GB"/>
        </w:rPr>
        <w:t>In this context it should be noted that the Commission in its 2019 Justice Scoreboard claims that Hungary is among the Member States where the management power of the prosecution services belongs solely to the Prosecutor General. The executive does not have power to decide on a disciplinary measure regarding a prosecutor, the power to transfer prosecutors without their consent or the power to evaluate and promote a prosecutor. In Hungary neither the executive nor the legislative branch (National Assembly) has the possibility to give general guidance on crime policy or instructions on prosecution in individual cases.</w:t>
      </w:r>
    </w:p>
    <w:p w14:paraId="480B8956" w14:textId="77777777" w:rsidR="00916F3B" w:rsidRPr="003E3613" w:rsidRDefault="00916F3B" w:rsidP="00204696">
      <w:pPr>
        <w:pStyle w:val="Heading2"/>
        <w:keepNext w:val="0"/>
        <w:keepLines w:val="0"/>
        <w:spacing w:before="0"/>
        <w:rPr>
          <w:rFonts w:ascii="Book Antiqua" w:hAnsi="Book Antiqua"/>
          <w:sz w:val="23"/>
          <w:szCs w:val="23"/>
          <w:lang w:val="en-GB"/>
        </w:rPr>
      </w:pPr>
    </w:p>
    <w:p w14:paraId="7DA09406" w14:textId="77777777" w:rsidR="00160B66" w:rsidRPr="003E3613" w:rsidRDefault="00160B66" w:rsidP="00204696">
      <w:pPr>
        <w:spacing w:after="0"/>
        <w:jc w:val="both"/>
        <w:rPr>
          <w:rFonts w:ascii="Book Antiqua" w:hAnsi="Book Antiqua"/>
          <w:b/>
          <w:sz w:val="23"/>
          <w:szCs w:val="23"/>
          <w:lang w:val="en-GB"/>
        </w:rPr>
      </w:pPr>
      <w:r w:rsidRPr="003E3613">
        <w:rPr>
          <w:rFonts w:ascii="Book Antiqua" w:hAnsi="Book Antiqua"/>
          <w:sz w:val="23"/>
          <w:szCs w:val="23"/>
          <w:lang w:val="en-GB"/>
        </w:rPr>
        <w:t xml:space="preserve">The reasoned proposal </w:t>
      </w:r>
      <w:r w:rsidR="00931E29" w:rsidRPr="003E3613">
        <w:rPr>
          <w:rFonts w:ascii="Book Antiqua" w:hAnsi="Book Antiqua"/>
          <w:sz w:val="23"/>
          <w:szCs w:val="23"/>
          <w:lang w:val="en-GB"/>
        </w:rPr>
        <w:t xml:space="preserve">notes </w:t>
      </w:r>
      <w:r w:rsidRPr="003E3613">
        <w:rPr>
          <w:rFonts w:ascii="Book Antiqua" w:hAnsi="Book Antiqua"/>
          <w:sz w:val="23"/>
          <w:szCs w:val="23"/>
          <w:lang w:val="en-GB"/>
        </w:rPr>
        <w:t>that Hungary decided not to participate in the establishment of the European Public Prosecutor’s Office</w:t>
      </w:r>
      <w:r w:rsidR="00EF0F7D" w:rsidRPr="003E3613">
        <w:rPr>
          <w:rFonts w:ascii="Book Antiqua" w:hAnsi="Book Antiqua"/>
          <w:sz w:val="23"/>
          <w:szCs w:val="23"/>
          <w:lang w:val="en-GB"/>
        </w:rPr>
        <w:t xml:space="preserve"> (EPPO)</w:t>
      </w:r>
      <w:r w:rsidRPr="003E3613">
        <w:rPr>
          <w:rFonts w:ascii="Book Antiqua" w:hAnsi="Book Antiqua"/>
          <w:sz w:val="23"/>
          <w:szCs w:val="23"/>
          <w:lang w:val="en-GB"/>
        </w:rPr>
        <w:t>. According to the Treaties being part of the EPPO is upon the choice of the Member States. Hungary based on its constitutional traditions and rules has decided not to join the EPPO as it was also decided by other Member States. Being part of the EPPO is not a prerequisite to comply with the values of the EU.</w:t>
      </w:r>
    </w:p>
    <w:p w14:paraId="145BA25E" w14:textId="77777777" w:rsidR="00160B66" w:rsidRPr="003E3613" w:rsidRDefault="00160B66" w:rsidP="00204696">
      <w:pPr>
        <w:rPr>
          <w:lang w:val="en-GB"/>
        </w:rPr>
      </w:pPr>
    </w:p>
    <w:p w14:paraId="1A70B11D" w14:textId="77777777" w:rsidR="00213CD9" w:rsidRPr="003E3613" w:rsidRDefault="00213CD9" w:rsidP="00204696">
      <w:pPr>
        <w:pStyle w:val="Heading2"/>
        <w:keepNext w:val="0"/>
        <w:keepLines w:val="0"/>
        <w:spacing w:before="0"/>
        <w:rPr>
          <w:rFonts w:ascii="Book Antiqua" w:hAnsi="Book Antiqua"/>
          <w:b w:val="0"/>
          <w:bCs w:val="0"/>
          <w:sz w:val="23"/>
          <w:szCs w:val="23"/>
          <w:lang w:val="en-GB"/>
        </w:rPr>
      </w:pPr>
      <w:bookmarkStart w:id="21" w:name="_Toc19120782"/>
      <w:r w:rsidRPr="003E3613">
        <w:rPr>
          <w:rFonts w:ascii="Book Antiqua" w:hAnsi="Book Antiqua"/>
          <w:color w:val="auto"/>
          <w:sz w:val="23"/>
          <w:szCs w:val="23"/>
          <w:lang w:val="en-GB"/>
        </w:rPr>
        <w:t>Public procurement</w:t>
      </w:r>
      <w:bookmarkEnd w:id="21"/>
    </w:p>
    <w:p w14:paraId="70476B84" w14:textId="77777777" w:rsidR="00213CD9" w:rsidRPr="003E3613" w:rsidRDefault="00213CD9" w:rsidP="00204696">
      <w:pPr>
        <w:pStyle w:val="Heading2"/>
        <w:keepNext w:val="0"/>
        <w:keepLines w:val="0"/>
        <w:spacing w:before="0"/>
        <w:rPr>
          <w:rFonts w:ascii="Book Antiqua" w:hAnsi="Book Antiqua"/>
          <w:sz w:val="23"/>
          <w:szCs w:val="23"/>
          <w:lang w:val="en-GB"/>
        </w:rPr>
      </w:pPr>
    </w:p>
    <w:p w14:paraId="7EF499D1" w14:textId="77777777" w:rsidR="009E42BB" w:rsidRPr="003E3613" w:rsidRDefault="00D15A70"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Government has made considerable efforts in the field of public procurement to reduce corruption. In addition, in recent years, Hungary implemented a number of measures based on the new public procurement directives on the prevention of corruption and increasing transparency. </w:t>
      </w:r>
    </w:p>
    <w:p w14:paraId="08BDD24D" w14:textId="77777777" w:rsidR="009E42BB" w:rsidRPr="003E3613" w:rsidRDefault="009E42BB" w:rsidP="00204696">
      <w:pPr>
        <w:spacing w:after="0"/>
        <w:jc w:val="both"/>
        <w:rPr>
          <w:rFonts w:ascii="Book Antiqua" w:hAnsi="Book Antiqua"/>
          <w:sz w:val="23"/>
          <w:szCs w:val="23"/>
          <w:lang w:val="en-GB"/>
        </w:rPr>
      </w:pPr>
    </w:p>
    <w:p w14:paraId="753992AF" w14:textId="77777777" w:rsidR="00D15A70" w:rsidRPr="003E3613" w:rsidRDefault="00D15A70" w:rsidP="00204696">
      <w:pPr>
        <w:spacing w:after="0"/>
        <w:jc w:val="both"/>
        <w:rPr>
          <w:rFonts w:ascii="Book Antiqua" w:hAnsi="Book Antiqua"/>
          <w:sz w:val="23"/>
          <w:szCs w:val="23"/>
          <w:lang w:val="en-GB"/>
        </w:rPr>
      </w:pPr>
      <w:r w:rsidRPr="003E3613">
        <w:rPr>
          <w:rFonts w:ascii="Book Antiqua" w:hAnsi="Book Antiqua"/>
          <w:sz w:val="23"/>
          <w:szCs w:val="23"/>
          <w:lang w:val="en-GB"/>
        </w:rPr>
        <w:t>A</w:t>
      </w:r>
      <w:r w:rsidR="00213CD9" w:rsidRPr="003E3613">
        <w:rPr>
          <w:rFonts w:ascii="Book Antiqua" w:hAnsi="Book Antiqua"/>
          <w:sz w:val="23"/>
          <w:szCs w:val="23"/>
          <w:lang w:val="en-GB"/>
        </w:rPr>
        <w:t xml:space="preserve"> new legal framework is </w:t>
      </w:r>
      <w:r w:rsidRPr="003E3613">
        <w:rPr>
          <w:rFonts w:ascii="Book Antiqua" w:hAnsi="Book Antiqua"/>
          <w:sz w:val="23"/>
          <w:szCs w:val="23"/>
          <w:lang w:val="en-GB"/>
        </w:rPr>
        <w:t>established, which puts a great emphasis on increasing competition and transparency, on simplification of procedures, on decreasing administrative burdens and on facilitation of participation in public procurement procedures.</w:t>
      </w:r>
    </w:p>
    <w:p w14:paraId="3CBD450D" w14:textId="77777777" w:rsidR="00D15A70" w:rsidRPr="003E3613" w:rsidRDefault="00D15A70" w:rsidP="00204696">
      <w:pPr>
        <w:spacing w:after="0"/>
        <w:jc w:val="both"/>
        <w:rPr>
          <w:rFonts w:ascii="Book Antiqua" w:hAnsi="Book Antiqua"/>
          <w:sz w:val="23"/>
          <w:szCs w:val="23"/>
          <w:lang w:val="en-GB"/>
        </w:rPr>
      </w:pPr>
    </w:p>
    <w:p w14:paraId="440ED8C4" w14:textId="77777777" w:rsidR="00081695" w:rsidRPr="003E3613" w:rsidRDefault="00081695" w:rsidP="00204696">
      <w:pPr>
        <w:spacing w:after="0"/>
        <w:jc w:val="both"/>
        <w:rPr>
          <w:rFonts w:ascii="Book Antiqua" w:hAnsi="Book Antiqua"/>
          <w:sz w:val="23"/>
          <w:szCs w:val="23"/>
          <w:lang w:val="en-GB"/>
        </w:rPr>
      </w:pPr>
      <w:r w:rsidRPr="003E3613">
        <w:rPr>
          <w:rFonts w:ascii="Book Antiqua" w:hAnsi="Book Antiqua"/>
          <w:sz w:val="23"/>
          <w:szCs w:val="23"/>
          <w:lang w:val="en-GB"/>
        </w:rPr>
        <w:t>The Act CXLIII of 2015 on Public Procurement (hereinafter: PPA)</w:t>
      </w:r>
      <w:r w:rsidR="009A51B8" w:rsidRPr="003E3613">
        <w:rPr>
          <w:rFonts w:ascii="Book Antiqua" w:hAnsi="Book Antiqua"/>
          <w:sz w:val="23"/>
          <w:szCs w:val="23"/>
          <w:lang w:val="en-GB"/>
        </w:rPr>
        <w:t>,</w:t>
      </w:r>
      <w:r w:rsidRPr="003E3613">
        <w:rPr>
          <w:rFonts w:ascii="Book Antiqua" w:hAnsi="Book Antiqua"/>
          <w:sz w:val="23"/>
          <w:szCs w:val="23"/>
          <w:lang w:val="en-GB"/>
        </w:rPr>
        <w:t xml:space="preserve"> which entered into force on 1 November 2015</w:t>
      </w:r>
      <w:r w:rsidR="009A51B8" w:rsidRPr="003E3613">
        <w:rPr>
          <w:rFonts w:ascii="Book Antiqua" w:hAnsi="Book Antiqua"/>
          <w:sz w:val="23"/>
          <w:szCs w:val="23"/>
          <w:lang w:val="en-GB"/>
        </w:rPr>
        <w:t>,</w:t>
      </w:r>
      <w:r w:rsidRPr="003E3613">
        <w:rPr>
          <w:rFonts w:ascii="Book Antiqua" w:hAnsi="Book Antiqua"/>
          <w:sz w:val="23"/>
          <w:szCs w:val="23"/>
          <w:lang w:val="en-GB"/>
        </w:rPr>
        <w:t xml:space="preserve"> includes numerous measures on the prevention of corruption and increasing transparency, for instance:</w:t>
      </w:r>
    </w:p>
    <w:p w14:paraId="089EB744" w14:textId="77777777" w:rsidR="00081695" w:rsidRPr="003E3613" w:rsidRDefault="00081695" w:rsidP="00204696">
      <w:pPr>
        <w:spacing w:after="0"/>
        <w:jc w:val="both"/>
        <w:rPr>
          <w:rFonts w:ascii="Book Antiqua" w:hAnsi="Book Antiqua"/>
          <w:sz w:val="23"/>
          <w:szCs w:val="23"/>
          <w:lang w:val="en-GB"/>
        </w:rPr>
      </w:pPr>
    </w:p>
    <w:p w14:paraId="4BE959EF" w14:textId="77777777" w:rsidR="00081695" w:rsidRPr="003E3613" w:rsidRDefault="00081695" w:rsidP="00204696">
      <w:pPr>
        <w:pStyle w:val="ListParagraph"/>
        <w:numPr>
          <w:ilvl w:val="0"/>
          <w:numId w:val="24"/>
        </w:numPr>
        <w:spacing w:after="0"/>
        <w:ind w:left="284" w:hanging="284"/>
        <w:jc w:val="both"/>
        <w:rPr>
          <w:rFonts w:ascii="Book Antiqua" w:hAnsi="Book Antiqua"/>
          <w:sz w:val="23"/>
          <w:szCs w:val="23"/>
          <w:lang w:val="en-GB"/>
        </w:rPr>
      </w:pPr>
      <w:r w:rsidRPr="003E3613">
        <w:rPr>
          <w:rFonts w:ascii="Book Antiqua" w:hAnsi="Book Antiqua"/>
          <w:sz w:val="23"/>
          <w:szCs w:val="23"/>
          <w:lang w:val="en-GB"/>
        </w:rPr>
        <w:t xml:space="preserve">Conflict of interest: </w:t>
      </w:r>
    </w:p>
    <w:p w14:paraId="522C026F" w14:textId="77777777" w:rsidR="00081695" w:rsidRPr="003E3613" w:rsidRDefault="00081695" w:rsidP="00204696">
      <w:pPr>
        <w:pStyle w:val="ListParagraph"/>
        <w:spacing w:after="0"/>
        <w:ind w:left="284"/>
        <w:jc w:val="both"/>
        <w:rPr>
          <w:rFonts w:ascii="Book Antiqua" w:hAnsi="Book Antiqua"/>
          <w:sz w:val="23"/>
          <w:szCs w:val="23"/>
          <w:lang w:val="en-GB"/>
        </w:rPr>
      </w:pPr>
    </w:p>
    <w:p w14:paraId="7D6649A4" w14:textId="77777777" w:rsidR="00081695" w:rsidRPr="003E3613" w:rsidRDefault="00081695"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PPA rules concerning conflict of interest are one of the strictest in Europe in this regard; it also provides </w:t>
      </w:r>
      <w:r w:rsidR="004A51B6" w:rsidRPr="003E3613">
        <w:rPr>
          <w:rFonts w:ascii="Book Antiqua" w:hAnsi="Book Antiqua"/>
          <w:sz w:val="23"/>
          <w:szCs w:val="23"/>
          <w:lang w:val="en-GB"/>
        </w:rPr>
        <w:t>stricter rules than the new EU D</w:t>
      </w:r>
      <w:r w:rsidRPr="003E3613">
        <w:rPr>
          <w:rFonts w:ascii="Book Antiqua" w:hAnsi="Book Antiqua"/>
          <w:sz w:val="23"/>
          <w:szCs w:val="23"/>
          <w:lang w:val="en-GB"/>
        </w:rPr>
        <w:t>irectives. The definition of conflict of interest set out in the Directives is supplemented with some cases, where the risk of conflict of interest is the highest and</w:t>
      </w:r>
      <w:r w:rsidR="00D67876" w:rsidRPr="003E3613">
        <w:rPr>
          <w:rFonts w:ascii="Book Antiqua" w:hAnsi="Book Antiqua"/>
          <w:sz w:val="23"/>
          <w:szCs w:val="23"/>
          <w:lang w:val="en-GB"/>
        </w:rPr>
        <w:t xml:space="preserve"> it shall be examined carefully. F</w:t>
      </w:r>
      <w:r w:rsidRPr="003E3613">
        <w:rPr>
          <w:rFonts w:ascii="Book Antiqua" w:hAnsi="Book Antiqua"/>
          <w:sz w:val="23"/>
          <w:szCs w:val="23"/>
          <w:lang w:val="en-GB"/>
        </w:rPr>
        <w:t xml:space="preserve">or example an economical operator shall be excluded from the public procurement procedure if one of its owners, executive officers or members of its supervisory board or one of the relatives living in the same household with these persons was involved in the public procurement procedure – including preparatory stages. </w:t>
      </w:r>
    </w:p>
    <w:p w14:paraId="5824194E" w14:textId="77777777" w:rsidR="00081695" w:rsidRPr="003E3613" w:rsidRDefault="00081695" w:rsidP="00204696">
      <w:pPr>
        <w:spacing w:after="0"/>
        <w:jc w:val="both"/>
        <w:rPr>
          <w:rFonts w:ascii="Book Antiqua" w:hAnsi="Book Antiqua"/>
          <w:sz w:val="23"/>
          <w:szCs w:val="23"/>
          <w:lang w:val="en-GB"/>
        </w:rPr>
      </w:pPr>
    </w:p>
    <w:p w14:paraId="7BEBA192" w14:textId="77777777" w:rsidR="00081695" w:rsidRPr="003E3613" w:rsidRDefault="00081695" w:rsidP="00204696">
      <w:pPr>
        <w:pStyle w:val="ListParagraph"/>
        <w:numPr>
          <w:ilvl w:val="0"/>
          <w:numId w:val="24"/>
        </w:numPr>
        <w:spacing w:after="0"/>
        <w:ind w:left="284" w:hanging="284"/>
        <w:jc w:val="both"/>
        <w:rPr>
          <w:rFonts w:ascii="Book Antiqua" w:hAnsi="Book Antiqua"/>
          <w:sz w:val="23"/>
          <w:szCs w:val="23"/>
          <w:lang w:val="en-GB"/>
        </w:rPr>
      </w:pPr>
      <w:r w:rsidRPr="003E3613">
        <w:rPr>
          <w:rFonts w:ascii="Book Antiqua" w:hAnsi="Book Antiqua"/>
          <w:sz w:val="23"/>
          <w:szCs w:val="23"/>
          <w:lang w:val="en-GB"/>
        </w:rPr>
        <w:t>Normative limitation of selection criteria:</w:t>
      </w:r>
    </w:p>
    <w:p w14:paraId="19A24EE2" w14:textId="77777777" w:rsidR="00081695" w:rsidRPr="003E3613" w:rsidRDefault="00081695" w:rsidP="00204696">
      <w:pPr>
        <w:pStyle w:val="ListParagraph"/>
        <w:spacing w:after="0"/>
        <w:ind w:left="284"/>
        <w:jc w:val="both"/>
        <w:rPr>
          <w:rFonts w:ascii="Book Antiqua" w:hAnsi="Book Antiqua"/>
          <w:sz w:val="23"/>
          <w:szCs w:val="23"/>
          <w:lang w:val="en-GB"/>
        </w:rPr>
      </w:pPr>
    </w:p>
    <w:p w14:paraId="02B8FCDC" w14:textId="77777777" w:rsidR="00081695" w:rsidRPr="003E3613" w:rsidRDefault="00081695" w:rsidP="00204696">
      <w:pPr>
        <w:spacing w:after="0"/>
        <w:jc w:val="both"/>
        <w:rPr>
          <w:rFonts w:ascii="Book Antiqua" w:hAnsi="Book Antiqua"/>
          <w:sz w:val="23"/>
          <w:szCs w:val="23"/>
          <w:lang w:val="en-GB"/>
        </w:rPr>
      </w:pPr>
      <w:r w:rsidRPr="003E3613">
        <w:rPr>
          <w:rFonts w:ascii="Book Antiqua" w:hAnsi="Book Antiqua"/>
          <w:sz w:val="23"/>
          <w:szCs w:val="23"/>
          <w:lang w:val="en-GB"/>
        </w:rPr>
        <w:t>In order to widely promote competition, the normative requirements of selection criteria are specified in the PPA. The use of selection criteria was limited with a general effect to</w:t>
      </w:r>
    </w:p>
    <w:p w14:paraId="0DC945B6" w14:textId="77777777" w:rsidR="00081695" w:rsidRPr="003E3613" w:rsidRDefault="00081695" w:rsidP="00204696">
      <w:pPr>
        <w:pStyle w:val="ListParagraph"/>
        <w:spacing w:after="0"/>
        <w:ind w:left="284"/>
        <w:jc w:val="both"/>
        <w:rPr>
          <w:rFonts w:ascii="Book Antiqua" w:hAnsi="Book Antiqua"/>
          <w:sz w:val="23"/>
          <w:szCs w:val="23"/>
          <w:lang w:val="en-GB"/>
        </w:rPr>
      </w:pPr>
    </w:p>
    <w:p w14:paraId="7D841D06" w14:textId="77777777" w:rsidR="00081695" w:rsidRPr="003E3613" w:rsidRDefault="00081695" w:rsidP="00204696">
      <w:pPr>
        <w:numPr>
          <w:ilvl w:val="0"/>
          <w:numId w:val="25"/>
        </w:numPr>
        <w:spacing w:after="0"/>
        <w:ind w:left="1134" w:hanging="283"/>
        <w:jc w:val="both"/>
        <w:rPr>
          <w:rFonts w:ascii="Book Antiqua" w:hAnsi="Book Antiqua"/>
          <w:sz w:val="23"/>
          <w:szCs w:val="23"/>
          <w:lang w:val="en-GB"/>
        </w:rPr>
      </w:pPr>
      <w:r w:rsidRPr="003E3613">
        <w:rPr>
          <w:rFonts w:ascii="Book Antiqua" w:hAnsi="Book Antiqua"/>
          <w:sz w:val="23"/>
          <w:szCs w:val="23"/>
          <w:lang w:val="en-GB"/>
        </w:rPr>
        <w:t>technically equivalent references representing no more than 75% of the value/volume of the particular contract in relation to references</w:t>
      </w:r>
    </w:p>
    <w:p w14:paraId="505A7214" w14:textId="77777777" w:rsidR="00081695" w:rsidRPr="003E3613" w:rsidRDefault="00081695" w:rsidP="00204696">
      <w:pPr>
        <w:numPr>
          <w:ilvl w:val="0"/>
          <w:numId w:val="25"/>
        </w:numPr>
        <w:spacing w:after="0"/>
        <w:ind w:left="1134" w:hanging="283"/>
        <w:jc w:val="both"/>
        <w:rPr>
          <w:rFonts w:ascii="Book Antiqua" w:hAnsi="Book Antiqua"/>
          <w:sz w:val="23"/>
          <w:szCs w:val="23"/>
          <w:lang w:val="en-GB"/>
        </w:rPr>
      </w:pPr>
      <w:r w:rsidRPr="003E3613">
        <w:rPr>
          <w:rFonts w:ascii="Book Antiqua" w:hAnsi="Book Antiqua"/>
          <w:sz w:val="23"/>
          <w:szCs w:val="23"/>
          <w:lang w:val="en-GB"/>
        </w:rPr>
        <w:t>no more than the value of the particular contract in terms of turnover or no more than 75% of the value of the contract in terms of turnover related to the subject-matter of the procurement</w:t>
      </w:r>
      <w:r w:rsidR="004A51B6" w:rsidRPr="003E3613">
        <w:rPr>
          <w:rFonts w:ascii="Book Antiqua" w:hAnsi="Book Antiqua"/>
          <w:sz w:val="23"/>
          <w:szCs w:val="23"/>
          <w:lang w:val="en-GB"/>
        </w:rPr>
        <w:t>.</w:t>
      </w:r>
    </w:p>
    <w:p w14:paraId="38D74FB2" w14:textId="77777777" w:rsidR="00081695" w:rsidRPr="003E3613" w:rsidRDefault="00081695" w:rsidP="00204696">
      <w:pPr>
        <w:spacing w:after="0"/>
        <w:jc w:val="both"/>
        <w:rPr>
          <w:rFonts w:ascii="Book Antiqua" w:hAnsi="Book Antiqua"/>
          <w:sz w:val="23"/>
          <w:szCs w:val="23"/>
          <w:lang w:val="en-GB"/>
        </w:rPr>
      </w:pPr>
    </w:p>
    <w:p w14:paraId="37191EC1" w14:textId="77777777" w:rsidR="00081695" w:rsidRPr="003E3613" w:rsidRDefault="00081695" w:rsidP="00204696">
      <w:pPr>
        <w:pStyle w:val="ListParagraph"/>
        <w:numPr>
          <w:ilvl w:val="0"/>
          <w:numId w:val="24"/>
        </w:numPr>
        <w:spacing w:after="0"/>
        <w:ind w:left="284" w:hanging="284"/>
        <w:jc w:val="both"/>
        <w:rPr>
          <w:rFonts w:ascii="Book Antiqua" w:hAnsi="Book Antiqua"/>
          <w:sz w:val="23"/>
          <w:szCs w:val="23"/>
          <w:lang w:val="en-GB"/>
        </w:rPr>
      </w:pPr>
      <w:r w:rsidRPr="003E3613">
        <w:rPr>
          <w:rFonts w:ascii="Book Antiqua" w:hAnsi="Book Antiqua"/>
          <w:sz w:val="23"/>
          <w:szCs w:val="23"/>
          <w:lang w:val="en-GB"/>
        </w:rPr>
        <w:t>Exclusion grounds:</w:t>
      </w:r>
    </w:p>
    <w:p w14:paraId="59BDA9B4" w14:textId="77777777" w:rsidR="00081695" w:rsidRPr="003E3613" w:rsidRDefault="00081695" w:rsidP="00204696">
      <w:pPr>
        <w:pStyle w:val="ListParagraph"/>
        <w:spacing w:after="0"/>
        <w:ind w:left="284"/>
        <w:jc w:val="both"/>
        <w:rPr>
          <w:rFonts w:ascii="Book Antiqua" w:hAnsi="Book Antiqua"/>
          <w:sz w:val="23"/>
          <w:szCs w:val="23"/>
          <w:lang w:val="en-GB"/>
        </w:rPr>
      </w:pPr>
    </w:p>
    <w:p w14:paraId="5C244531" w14:textId="77777777" w:rsidR="00081695" w:rsidRPr="003E3613" w:rsidRDefault="00081695" w:rsidP="00204696">
      <w:pPr>
        <w:spacing w:after="0"/>
        <w:jc w:val="both"/>
        <w:rPr>
          <w:rFonts w:ascii="Book Antiqua" w:hAnsi="Book Antiqua"/>
          <w:sz w:val="23"/>
          <w:szCs w:val="23"/>
          <w:lang w:val="en-GB"/>
        </w:rPr>
      </w:pPr>
      <w:r w:rsidRPr="003E3613">
        <w:rPr>
          <w:rFonts w:ascii="Book Antiqua" w:hAnsi="Book Antiqua"/>
          <w:sz w:val="23"/>
          <w:szCs w:val="23"/>
          <w:lang w:val="en-GB"/>
        </w:rPr>
        <w:t>The list of exclusion grounds was extended by the new PPA, to ensure fair competition and to make public procurement more efficient</w:t>
      </w:r>
      <w:r w:rsidR="002A1A47" w:rsidRPr="003E3613">
        <w:rPr>
          <w:rFonts w:ascii="Book Antiqua" w:hAnsi="Book Antiqua"/>
          <w:sz w:val="23"/>
          <w:szCs w:val="23"/>
          <w:lang w:val="en-GB"/>
        </w:rPr>
        <w:t>, e.g. with the case</w:t>
      </w:r>
      <w:r w:rsidRPr="003E3613">
        <w:rPr>
          <w:rFonts w:ascii="Book Antiqua" w:hAnsi="Book Antiqua"/>
          <w:sz w:val="23"/>
          <w:szCs w:val="23"/>
          <w:lang w:val="en-GB"/>
        </w:rPr>
        <w:t xml:space="preserve"> if the economic operator has entered into agreements with other economic operators aimed at distorting competition (took part in a cartel). Furthermore, a new exclusion ground was introduced</w:t>
      </w:r>
      <w:r w:rsidR="00801A70" w:rsidRPr="003E3613">
        <w:rPr>
          <w:rFonts w:ascii="Book Antiqua" w:hAnsi="Book Antiqua"/>
          <w:sz w:val="23"/>
          <w:szCs w:val="23"/>
          <w:lang w:val="en-GB"/>
        </w:rPr>
        <w:t xml:space="preserve"> (</w:t>
      </w:r>
      <w:r w:rsidRPr="003E3613">
        <w:rPr>
          <w:rFonts w:ascii="Book Antiqua" w:hAnsi="Book Antiqua"/>
          <w:sz w:val="23"/>
          <w:szCs w:val="23"/>
          <w:lang w:val="en-GB"/>
        </w:rPr>
        <w:t xml:space="preserve">applicable as of 1 </w:t>
      </w:r>
      <w:r w:rsidRPr="003E3613">
        <w:rPr>
          <w:rFonts w:ascii="Book Antiqua" w:hAnsi="Book Antiqua"/>
          <w:sz w:val="23"/>
          <w:szCs w:val="23"/>
          <w:lang w:val="en-GB"/>
        </w:rPr>
        <w:lastRenderedPageBreak/>
        <w:t>January 2017</w:t>
      </w:r>
      <w:r w:rsidR="00801A70" w:rsidRPr="003E3613">
        <w:rPr>
          <w:rFonts w:ascii="Book Antiqua" w:hAnsi="Book Antiqua"/>
          <w:sz w:val="23"/>
          <w:szCs w:val="23"/>
          <w:lang w:val="en-GB"/>
        </w:rPr>
        <w:t>)</w:t>
      </w:r>
      <w:r w:rsidRPr="003E3613">
        <w:rPr>
          <w:rFonts w:ascii="Book Antiqua" w:hAnsi="Book Antiqua"/>
          <w:sz w:val="23"/>
          <w:szCs w:val="23"/>
          <w:lang w:val="en-GB"/>
        </w:rPr>
        <w:t>: if an infringement of the public procurement rules prescribed by the PPA on the performance of the contract is determined by the Public Procurement Arbitration Board, the economic operator concerned shall be excluded from public procurements for 90 days.</w:t>
      </w:r>
    </w:p>
    <w:p w14:paraId="767F4ABB" w14:textId="77777777" w:rsidR="00081695" w:rsidRPr="003E3613" w:rsidRDefault="00081695" w:rsidP="00204696">
      <w:pPr>
        <w:spacing w:after="0"/>
        <w:jc w:val="both"/>
        <w:rPr>
          <w:rFonts w:ascii="Book Antiqua" w:hAnsi="Book Antiqua"/>
          <w:sz w:val="23"/>
          <w:szCs w:val="23"/>
          <w:lang w:val="en-GB"/>
        </w:rPr>
      </w:pPr>
    </w:p>
    <w:p w14:paraId="0C62D149" w14:textId="77777777" w:rsidR="00081695" w:rsidRPr="00204696" w:rsidRDefault="00081695" w:rsidP="00204696">
      <w:pPr>
        <w:pStyle w:val="ListParagraph"/>
        <w:numPr>
          <w:ilvl w:val="0"/>
          <w:numId w:val="24"/>
        </w:numPr>
        <w:spacing w:after="0"/>
        <w:ind w:left="284" w:hanging="284"/>
        <w:jc w:val="both"/>
        <w:rPr>
          <w:rFonts w:ascii="Book Antiqua" w:hAnsi="Book Antiqua"/>
          <w:sz w:val="23"/>
          <w:szCs w:val="23"/>
          <w:lang w:val="en-GB"/>
        </w:rPr>
      </w:pPr>
      <w:r w:rsidRPr="00204696">
        <w:rPr>
          <w:rFonts w:ascii="Book Antiqua" w:hAnsi="Book Antiqua"/>
          <w:sz w:val="23"/>
          <w:szCs w:val="23"/>
          <w:lang w:val="en-GB"/>
        </w:rPr>
        <w:t>Control of the performance and the modification of contracts:</w:t>
      </w:r>
    </w:p>
    <w:p w14:paraId="46039FFB" w14:textId="77777777" w:rsidR="00081695" w:rsidRPr="003E3613" w:rsidRDefault="00081695" w:rsidP="00204696">
      <w:pPr>
        <w:pStyle w:val="ListParagraph"/>
        <w:spacing w:after="0"/>
        <w:ind w:left="284"/>
        <w:jc w:val="both"/>
        <w:rPr>
          <w:rFonts w:ascii="Book Antiqua" w:hAnsi="Book Antiqua"/>
          <w:sz w:val="23"/>
          <w:szCs w:val="23"/>
          <w:lang w:val="en-GB"/>
        </w:rPr>
      </w:pPr>
    </w:p>
    <w:p w14:paraId="141D3E72" w14:textId="77777777" w:rsidR="00081695" w:rsidRPr="003E3613" w:rsidRDefault="00081695" w:rsidP="00204696">
      <w:pPr>
        <w:spacing w:after="0"/>
        <w:jc w:val="both"/>
        <w:rPr>
          <w:rFonts w:ascii="Book Antiqua" w:hAnsi="Book Antiqua"/>
          <w:sz w:val="23"/>
          <w:szCs w:val="23"/>
          <w:lang w:val="en-GB"/>
        </w:rPr>
      </w:pPr>
      <w:r w:rsidRPr="003E3613">
        <w:rPr>
          <w:rFonts w:ascii="Book Antiqua" w:hAnsi="Book Antiqua"/>
          <w:sz w:val="23"/>
          <w:szCs w:val="23"/>
          <w:lang w:val="en-GB"/>
        </w:rPr>
        <w:t>Under the new PPA, the Public Procurement Authority controls the performance of contracts and in case of any infringement</w:t>
      </w:r>
      <w:r w:rsidR="00A301E9" w:rsidRPr="003E3613">
        <w:rPr>
          <w:rFonts w:ascii="Book Antiqua" w:hAnsi="Book Antiqua"/>
          <w:sz w:val="23"/>
          <w:szCs w:val="23"/>
          <w:lang w:val="en-GB"/>
        </w:rPr>
        <w:t>,</w:t>
      </w:r>
      <w:r w:rsidRPr="003E3613">
        <w:rPr>
          <w:rFonts w:ascii="Book Antiqua" w:hAnsi="Book Antiqua"/>
          <w:sz w:val="23"/>
          <w:szCs w:val="23"/>
          <w:lang w:val="en-GB"/>
        </w:rPr>
        <w:t xml:space="preserve"> the Authority initiates a remedy procedure before the Public Procurement Arbitration Board, which can impose a fine. In the case of suspected non-public procurement infringements, the Public Procurement Authority may also apply to a civil court or initiate a criminal procedure.</w:t>
      </w:r>
    </w:p>
    <w:p w14:paraId="40F16239" w14:textId="77777777" w:rsidR="001304C0" w:rsidRPr="003E3613" w:rsidRDefault="001304C0" w:rsidP="00204696">
      <w:pPr>
        <w:spacing w:after="0"/>
        <w:jc w:val="both"/>
        <w:rPr>
          <w:rFonts w:ascii="Book Antiqua" w:hAnsi="Book Antiqua"/>
          <w:sz w:val="23"/>
          <w:szCs w:val="23"/>
          <w:lang w:val="en-GB"/>
        </w:rPr>
      </w:pPr>
    </w:p>
    <w:p w14:paraId="0751F123" w14:textId="77777777" w:rsidR="00A64758" w:rsidRPr="003E3613" w:rsidRDefault="00D15A70" w:rsidP="00204696">
      <w:pPr>
        <w:spacing w:after="0"/>
        <w:jc w:val="both"/>
        <w:rPr>
          <w:rFonts w:ascii="Book Antiqua" w:hAnsi="Book Antiqua"/>
          <w:sz w:val="23"/>
          <w:szCs w:val="23"/>
          <w:lang w:val="en-GB"/>
        </w:rPr>
      </w:pPr>
      <w:r w:rsidRPr="003E3613">
        <w:rPr>
          <w:rFonts w:ascii="Book Antiqua" w:hAnsi="Book Antiqua"/>
          <w:sz w:val="23"/>
          <w:szCs w:val="23"/>
          <w:lang w:val="en-GB"/>
        </w:rPr>
        <w:t>In order to ensure the goals mentioned above</w:t>
      </w:r>
      <w:r w:rsidR="00F63BD5" w:rsidRPr="003E3613">
        <w:rPr>
          <w:rFonts w:ascii="Book Antiqua" w:hAnsi="Book Antiqua"/>
          <w:sz w:val="23"/>
          <w:szCs w:val="23"/>
          <w:lang w:val="en-GB"/>
        </w:rPr>
        <w:t>,</w:t>
      </w:r>
      <w:r w:rsidRPr="003E3613">
        <w:rPr>
          <w:rFonts w:ascii="Book Antiqua" w:hAnsi="Book Antiqua"/>
          <w:sz w:val="23"/>
          <w:szCs w:val="23"/>
          <w:lang w:val="en-GB"/>
        </w:rPr>
        <w:t xml:space="preserve"> significant measures have been taken against the high number of negotiated procedures without prior publication and of single-bid procedures. </w:t>
      </w:r>
    </w:p>
    <w:p w14:paraId="6D9C89AE" w14:textId="77777777" w:rsidR="00A64758" w:rsidRPr="003E3613" w:rsidRDefault="00A64758" w:rsidP="00204696">
      <w:pPr>
        <w:spacing w:after="0"/>
        <w:jc w:val="both"/>
        <w:rPr>
          <w:rFonts w:ascii="Book Antiqua" w:hAnsi="Book Antiqua"/>
          <w:sz w:val="23"/>
          <w:szCs w:val="23"/>
          <w:lang w:val="en-GB"/>
        </w:rPr>
      </w:pPr>
    </w:p>
    <w:p w14:paraId="166D9599" w14:textId="77777777" w:rsidR="00204696" w:rsidRDefault="00D15A70" w:rsidP="00204696">
      <w:pPr>
        <w:spacing w:after="0"/>
        <w:jc w:val="both"/>
        <w:rPr>
          <w:rFonts w:ascii="Book Antiqua" w:hAnsi="Book Antiqua"/>
          <w:sz w:val="23"/>
          <w:szCs w:val="23"/>
          <w:lang w:val="en-GB"/>
        </w:rPr>
      </w:pPr>
      <w:r w:rsidRPr="003E3613">
        <w:rPr>
          <w:rFonts w:ascii="Book Antiqua" w:hAnsi="Book Antiqua"/>
          <w:sz w:val="23"/>
          <w:szCs w:val="23"/>
          <w:lang w:val="en-GB"/>
        </w:rPr>
        <w:t>In the case of negotiated procedures without prior publication the Public Procurement Authority passes a reasoned decision concerning the legal grounds, which shall be published on the Authority’s website</w:t>
      </w:r>
      <w:r w:rsidR="00F63BD5" w:rsidRPr="003E3613">
        <w:rPr>
          <w:rFonts w:ascii="Book Antiqua" w:hAnsi="Book Antiqua"/>
          <w:sz w:val="23"/>
          <w:szCs w:val="23"/>
          <w:lang w:val="en-GB"/>
        </w:rPr>
        <w:t>:</w:t>
      </w:r>
      <w:r w:rsidR="001F6F2B" w:rsidRPr="003E3613">
        <w:rPr>
          <w:rFonts w:ascii="Book Antiqua" w:hAnsi="Book Antiqua"/>
          <w:sz w:val="23"/>
          <w:szCs w:val="23"/>
          <w:lang w:val="en-GB"/>
        </w:rPr>
        <w:t xml:space="preserve"> </w:t>
      </w:r>
    </w:p>
    <w:p w14:paraId="295ABA5E" w14:textId="0510D6BE" w:rsidR="00D15A70" w:rsidRPr="003E3613" w:rsidRDefault="00D15A70" w:rsidP="00204696">
      <w:pPr>
        <w:spacing w:after="0"/>
        <w:jc w:val="both"/>
        <w:rPr>
          <w:rFonts w:ascii="Book Antiqua" w:hAnsi="Book Antiqua"/>
          <w:sz w:val="23"/>
          <w:szCs w:val="23"/>
          <w:lang w:val="en-GB"/>
        </w:rPr>
      </w:pPr>
      <w:r w:rsidRPr="003E3613">
        <w:rPr>
          <w:rFonts w:ascii="Book Antiqua" w:hAnsi="Book Antiqua"/>
          <w:sz w:val="23"/>
          <w:szCs w:val="23"/>
          <w:lang w:val="en-GB"/>
        </w:rPr>
        <w:t>(</w:t>
      </w:r>
      <w:hyperlink r:id="rId21" w:history="1">
        <w:r w:rsidRPr="003E3613">
          <w:rPr>
            <w:rFonts w:ascii="Book Antiqua" w:hAnsi="Book Antiqua"/>
            <w:sz w:val="23"/>
            <w:szCs w:val="23"/>
            <w:lang w:val="en-GB"/>
          </w:rPr>
          <w:t>https://www.kozbeszerzes.hu/adatbazisok/tajekoztatok-hnt-dontesekrol/</w:t>
        </w:r>
      </w:hyperlink>
      <w:r w:rsidRPr="003E3613">
        <w:rPr>
          <w:rFonts w:ascii="Book Antiqua" w:hAnsi="Book Antiqua"/>
          <w:sz w:val="23"/>
          <w:szCs w:val="23"/>
          <w:lang w:val="en-GB"/>
        </w:rPr>
        <w:t xml:space="preserve">). In order to make contracting authorities consider the use of this procedure more carefully and to limit the use of the procedure to only well-founded cases, a fee has been introduced </w:t>
      </w:r>
      <w:r w:rsidR="00A03D22" w:rsidRPr="003E3613">
        <w:rPr>
          <w:rFonts w:ascii="Book Antiqua" w:hAnsi="Book Antiqua"/>
          <w:sz w:val="23"/>
          <w:szCs w:val="23"/>
          <w:lang w:val="en-GB"/>
        </w:rPr>
        <w:t xml:space="preserve">by an amendment to the PPA adopted in November 2018 (entered into force in 2019) </w:t>
      </w:r>
      <w:r w:rsidRPr="003E3613">
        <w:rPr>
          <w:rFonts w:ascii="Book Antiqua" w:hAnsi="Book Antiqua"/>
          <w:sz w:val="23"/>
          <w:szCs w:val="23"/>
          <w:lang w:val="en-GB"/>
        </w:rPr>
        <w:t>for the preliminary verification procedure of the Public Procurement Authority.</w:t>
      </w:r>
    </w:p>
    <w:p w14:paraId="18AC8031" w14:textId="77777777" w:rsidR="002D3E35" w:rsidRPr="003E3613" w:rsidRDefault="002D3E35" w:rsidP="00204696">
      <w:pPr>
        <w:spacing w:after="0"/>
        <w:jc w:val="both"/>
        <w:rPr>
          <w:rFonts w:ascii="Book Antiqua" w:hAnsi="Book Antiqua"/>
          <w:sz w:val="23"/>
          <w:szCs w:val="23"/>
          <w:lang w:val="en-GB"/>
        </w:rPr>
      </w:pPr>
    </w:p>
    <w:p w14:paraId="2CBE9BB0" w14:textId="77777777" w:rsidR="00D15A70" w:rsidRPr="003E3613" w:rsidRDefault="00D15A70"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Compared to previous years, the proportion of negotiated procedures without prior publication decreased significantly </w:t>
      </w:r>
      <w:r w:rsidR="002D3E35" w:rsidRPr="003E3613">
        <w:rPr>
          <w:rFonts w:ascii="Book Antiqua" w:hAnsi="Book Antiqua"/>
          <w:sz w:val="23"/>
          <w:szCs w:val="23"/>
          <w:lang w:val="en-GB"/>
        </w:rPr>
        <w:t xml:space="preserve">since the entry into force of the PPA; above EU thresholds while in 2015 the proportion was 15%, </w:t>
      </w:r>
      <w:r w:rsidRPr="003E3613">
        <w:rPr>
          <w:rFonts w:ascii="Book Antiqua" w:hAnsi="Book Antiqua"/>
          <w:sz w:val="23"/>
          <w:szCs w:val="23"/>
          <w:lang w:val="en-GB"/>
        </w:rPr>
        <w:t>in 2018, the proportion of negotiated procedures without prior publication fell below 5%.</w:t>
      </w:r>
    </w:p>
    <w:p w14:paraId="27677825" w14:textId="77777777" w:rsidR="00487FD4" w:rsidRPr="003E3613" w:rsidRDefault="00487FD4" w:rsidP="00204696">
      <w:pPr>
        <w:spacing w:after="0"/>
        <w:jc w:val="both"/>
        <w:rPr>
          <w:rFonts w:ascii="Book Antiqua" w:hAnsi="Book Antiqua"/>
          <w:sz w:val="23"/>
          <w:szCs w:val="23"/>
          <w:lang w:val="en-GB"/>
        </w:rPr>
      </w:pPr>
    </w:p>
    <w:p w14:paraId="4778E8AD" w14:textId="77777777" w:rsidR="00487FD4" w:rsidRPr="003E3613" w:rsidRDefault="009B73D7" w:rsidP="00204696">
      <w:pPr>
        <w:spacing w:after="0"/>
        <w:jc w:val="both"/>
        <w:rPr>
          <w:rFonts w:ascii="Book Antiqua" w:hAnsi="Book Antiqua"/>
          <w:sz w:val="23"/>
          <w:szCs w:val="23"/>
          <w:lang w:val="en-GB"/>
        </w:rPr>
      </w:pPr>
      <w:r w:rsidRPr="003E3613">
        <w:rPr>
          <w:rFonts w:ascii="Book Antiqua" w:hAnsi="Book Antiqua"/>
          <w:sz w:val="23"/>
          <w:szCs w:val="23"/>
          <w:lang w:val="en-GB"/>
        </w:rPr>
        <w:t>This trend is</w:t>
      </w:r>
      <w:r w:rsidR="00487FD4" w:rsidRPr="003E3613">
        <w:rPr>
          <w:rFonts w:ascii="Book Antiqua" w:hAnsi="Book Antiqua"/>
          <w:sz w:val="23"/>
          <w:szCs w:val="23"/>
          <w:lang w:val="en-GB"/>
        </w:rPr>
        <w:t xml:space="preserve"> presented by the following </w:t>
      </w:r>
      <w:r w:rsidR="00EA1767" w:rsidRPr="003E3613">
        <w:rPr>
          <w:rFonts w:ascii="Book Antiqua" w:hAnsi="Book Antiqua"/>
          <w:sz w:val="23"/>
          <w:szCs w:val="23"/>
          <w:lang w:val="en-GB"/>
        </w:rPr>
        <w:t>diagram</w:t>
      </w:r>
      <w:r w:rsidR="00487FD4" w:rsidRPr="003E3613">
        <w:rPr>
          <w:rFonts w:ascii="Book Antiqua" w:hAnsi="Book Antiqua"/>
          <w:sz w:val="23"/>
          <w:szCs w:val="23"/>
          <w:lang w:val="en-GB"/>
        </w:rPr>
        <w:t>:</w:t>
      </w:r>
    </w:p>
    <w:p w14:paraId="04830866" w14:textId="77777777" w:rsidR="00D15A70" w:rsidRPr="003E3613" w:rsidRDefault="00D15A70" w:rsidP="00204696">
      <w:pPr>
        <w:spacing w:after="0"/>
        <w:jc w:val="both"/>
        <w:rPr>
          <w:rFonts w:ascii="Book Antiqua" w:hAnsi="Book Antiqua"/>
          <w:sz w:val="23"/>
          <w:szCs w:val="23"/>
          <w:lang w:val="en-GB"/>
        </w:rPr>
      </w:pPr>
    </w:p>
    <w:p w14:paraId="31E5D279" w14:textId="77777777" w:rsidR="0042580F" w:rsidRPr="003E3613" w:rsidRDefault="0042580F" w:rsidP="00204696">
      <w:pPr>
        <w:spacing w:after="0"/>
        <w:jc w:val="both"/>
        <w:rPr>
          <w:rFonts w:ascii="Book Antiqua" w:hAnsi="Book Antiqua"/>
          <w:sz w:val="23"/>
          <w:szCs w:val="23"/>
          <w:lang w:val="en-GB"/>
        </w:rPr>
      </w:pPr>
      <w:r w:rsidRPr="003E3613">
        <w:rPr>
          <w:noProof/>
          <w:lang w:val="en-GB" w:eastAsia="en-GB"/>
        </w:rPr>
        <w:lastRenderedPageBreak/>
        <w:drawing>
          <wp:inline distT="0" distB="0" distL="0" distR="0" wp14:anchorId="79DB6CDE" wp14:editId="71EC7396">
            <wp:extent cx="4106488" cy="3247506"/>
            <wp:effectExtent l="0" t="0" r="27940" b="1016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C8463F" w14:textId="77777777" w:rsidR="0042580F" w:rsidRPr="003E3613" w:rsidRDefault="0042580F" w:rsidP="00204696">
      <w:pPr>
        <w:spacing w:after="0"/>
        <w:jc w:val="both"/>
        <w:rPr>
          <w:rFonts w:ascii="Book Antiqua" w:hAnsi="Book Antiqua"/>
          <w:sz w:val="23"/>
          <w:szCs w:val="23"/>
          <w:lang w:val="en-GB"/>
        </w:rPr>
      </w:pPr>
    </w:p>
    <w:p w14:paraId="163BB402" w14:textId="77777777" w:rsidR="00213CD9" w:rsidRPr="003E3613" w:rsidRDefault="00B949CF"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In addition, the amendment to the PPA </w:t>
      </w:r>
      <w:r w:rsidR="00D61126" w:rsidRPr="003E3613">
        <w:rPr>
          <w:rFonts w:ascii="Book Antiqua" w:hAnsi="Book Antiqua"/>
          <w:sz w:val="23"/>
          <w:szCs w:val="23"/>
          <w:lang w:val="en-GB"/>
        </w:rPr>
        <w:t>(</w:t>
      </w:r>
      <w:r w:rsidRPr="003E3613">
        <w:rPr>
          <w:rFonts w:ascii="Book Antiqua" w:hAnsi="Book Antiqua"/>
          <w:sz w:val="23"/>
          <w:szCs w:val="23"/>
          <w:lang w:val="en-GB"/>
        </w:rPr>
        <w:t>enter</w:t>
      </w:r>
      <w:r w:rsidR="00D61126" w:rsidRPr="003E3613">
        <w:rPr>
          <w:rFonts w:ascii="Book Antiqua" w:hAnsi="Book Antiqua"/>
          <w:sz w:val="23"/>
          <w:szCs w:val="23"/>
          <w:lang w:val="en-GB"/>
        </w:rPr>
        <w:t>ed</w:t>
      </w:r>
      <w:r w:rsidRPr="003E3613">
        <w:rPr>
          <w:rFonts w:ascii="Book Antiqua" w:hAnsi="Book Antiqua"/>
          <w:sz w:val="23"/>
          <w:szCs w:val="23"/>
          <w:lang w:val="en-GB"/>
        </w:rPr>
        <w:t xml:space="preserve"> into force in 2017</w:t>
      </w:r>
      <w:r w:rsidR="00D61126" w:rsidRPr="003E3613">
        <w:rPr>
          <w:rFonts w:ascii="Book Antiqua" w:hAnsi="Book Antiqua"/>
          <w:sz w:val="23"/>
          <w:szCs w:val="23"/>
          <w:lang w:val="en-GB"/>
        </w:rPr>
        <w:t>)</w:t>
      </w:r>
      <w:r w:rsidRPr="003E3613">
        <w:rPr>
          <w:rFonts w:ascii="Book Antiqua" w:hAnsi="Book Antiqua"/>
          <w:sz w:val="23"/>
          <w:szCs w:val="23"/>
          <w:lang w:val="en-GB"/>
        </w:rPr>
        <w:t xml:space="preserve"> introduced a new ground to declare public procurement procedures unsuccessful. When this ground is prescribed by the contracting authority and if at least two bids are not submitted in the public procurement procedure, the procedure must be declared unsuccessful.</w:t>
      </w:r>
    </w:p>
    <w:p w14:paraId="0B757165" w14:textId="77777777" w:rsidR="00213CD9" w:rsidRPr="003E3613" w:rsidRDefault="00213CD9" w:rsidP="00204696">
      <w:pPr>
        <w:spacing w:after="0"/>
        <w:jc w:val="both"/>
        <w:rPr>
          <w:rFonts w:ascii="Book Antiqua" w:hAnsi="Book Antiqua"/>
          <w:sz w:val="23"/>
          <w:szCs w:val="23"/>
          <w:lang w:val="en-GB"/>
        </w:rPr>
      </w:pPr>
    </w:p>
    <w:p w14:paraId="338BD9CD" w14:textId="77777777" w:rsidR="00213CD9" w:rsidRPr="003E3613" w:rsidRDefault="007A4A23" w:rsidP="00204696">
      <w:pPr>
        <w:spacing w:after="0"/>
        <w:jc w:val="both"/>
        <w:rPr>
          <w:rFonts w:ascii="Book Antiqua" w:hAnsi="Book Antiqua"/>
          <w:sz w:val="23"/>
          <w:szCs w:val="23"/>
          <w:lang w:val="en-GB"/>
        </w:rPr>
      </w:pPr>
      <w:r w:rsidRPr="003E3613">
        <w:rPr>
          <w:rFonts w:ascii="Book Antiqua" w:hAnsi="Book Antiqua"/>
          <w:sz w:val="23"/>
          <w:szCs w:val="23"/>
          <w:lang w:val="en-GB"/>
        </w:rPr>
        <w:t>With regard to single-bid procedures, i</w:t>
      </w:r>
      <w:r w:rsidR="00D15A70" w:rsidRPr="003E3613">
        <w:rPr>
          <w:rFonts w:ascii="Book Antiqua" w:hAnsi="Book Antiqua"/>
          <w:sz w:val="23"/>
          <w:szCs w:val="23"/>
          <w:lang w:val="en-GB"/>
        </w:rPr>
        <w:t>t is important to note that Hungary strives to continuously reduce the proportion of single bid procedures. With the mandatory use of the electronic public procurement system (EKR), a further decrease in the number of single-bid procedures is expected, which will be effectively detectable from the statistics of 2019.</w:t>
      </w:r>
    </w:p>
    <w:p w14:paraId="172F6A76" w14:textId="77777777" w:rsidR="00213CD9" w:rsidRPr="003E3613" w:rsidRDefault="00213CD9" w:rsidP="00204696">
      <w:pPr>
        <w:spacing w:after="0"/>
        <w:jc w:val="both"/>
        <w:rPr>
          <w:rFonts w:ascii="Book Antiqua" w:hAnsi="Book Antiqua"/>
          <w:sz w:val="23"/>
          <w:szCs w:val="23"/>
          <w:lang w:val="en-GB"/>
        </w:rPr>
      </w:pPr>
    </w:p>
    <w:p w14:paraId="1113F44E" w14:textId="77777777" w:rsidR="00102CFB" w:rsidRPr="003E3613" w:rsidRDefault="00D15A70" w:rsidP="00204696">
      <w:pPr>
        <w:spacing w:after="0"/>
        <w:jc w:val="both"/>
        <w:rPr>
          <w:rFonts w:ascii="Book Antiqua" w:hAnsi="Book Antiqua"/>
          <w:sz w:val="23"/>
          <w:szCs w:val="23"/>
          <w:lang w:val="en-GB"/>
        </w:rPr>
      </w:pPr>
      <w:r w:rsidRPr="003E3613">
        <w:rPr>
          <w:rFonts w:ascii="Book Antiqua" w:hAnsi="Book Antiqua"/>
          <w:sz w:val="23"/>
          <w:szCs w:val="23"/>
          <w:lang w:val="en-GB"/>
        </w:rPr>
        <w:t>Nevertheless</w:t>
      </w:r>
      <w:r w:rsidR="00213CD9" w:rsidRPr="003E3613">
        <w:rPr>
          <w:rFonts w:ascii="Book Antiqua" w:hAnsi="Book Antiqua"/>
          <w:sz w:val="23"/>
          <w:szCs w:val="23"/>
          <w:lang w:val="en-GB"/>
        </w:rPr>
        <w:t xml:space="preserve">, we would like to underline that the share of </w:t>
      </w:r>
      <w:r w:rsidR="00C72F17" w:rsidRPr="003E3613">
        <w:rPr>
          <w:rFonts w:ascii="Book Antiqua" w:hAnsi="Book Antiqua"/>
          <w:sz w:val="23"/>
          <w:szCs w:val="23"/>
          <w:lang w:val="en-GB"/>
        </w:rPr>
        <w:t>single bid</w:t>
      </w:r>
      <w:r w:rsidR="00213CD9" w:rsidRPr="003E3613">
        <w:rPr>
          <w:rFonts w:ascii="Book Antiqua" w:hAnsi="Book Antiqua"/>
          <w:sz w:val="23"/>
          <w:szCs w:val="23"/>
          <w:lang w:val="en-GB"/>
        </w:rPr>
        <w:t xml:space="preserve"> procedures highly depends on the socio-economic situation and the structure of the market of the Member State concerned. For instance, the share of </w:t>
      </w:r>
      <w:r w:rsidR="00C72F17" w:rsidRPr="003E3613">
        <w:rPr>
          <w:rFonts w:ascii="Book Antiqua" w:hAnsi="Book Antiqua"/>
          <w:sz w:val="23"/>
          <w:szCs w:val="23"/>
          <w:lang w:val="en-GB"/>
        </w:rPr>
        <w:t>single bid</w:t>
      </w:r>
      <w:r w:rsidR="00213CD9" w:rsidRPr="003E3613">
        <w:rPr>
          <w:rFonts w:ascii="Book Antiqua" w:hAnsi="Book Antiqua"/>
          <w:sz w:val="23"/>
          <w:szCs w:val="23"/>
          <w:lang w:val="en-GB"/>
        </w:rPr>
        <w:t xml:space="preserve"> procedures can be influenced also by the number of the large companies in the specific sector. The fact that the public procurement procedure ends with only one tenderer submitting a tender, in itself, does not entail corruption threats or distortion of competition. The tenderer is not aware of the number of other tenders submitted; therefore, the tenderer provides the bid in a competitive environment.</w:t>
      </w:r>
      <w:r w:rsidR="001B3775" w:rsidRPr="003E3613">
        <w:rPr>
          <w:rFonts w:ascii="Book Antiqua" w:hAnsi="Book Antiqua"/>
          <w:sz w:val="23"/>
          <w:szCs w:val="23"/>
          <w:lang w:val="en-GB"/>
        </w:rPr>
        <w:t xml:space="preserve"> </w:t>
      </w:r>
    </w:p>
    <w:p w14:paraId="506790F6" w14:textId="77777777" w:rsidR="00053185" w:rsidRDefault="00D15A70" w:rsidP="00204696">
      <w:pPr>
        <w:spacing w:after="0"/>
        <w:jc w:val="both"/>
        <w:rPr>
          <w:rFonts w:ascii="Book Antiqua" w:eastAsia="Calibri" w:hAnsi="Book Antiqua" w:cs="Calibri"/>
          <w:sz w:val="23"/>
          <w:szCs w:val="23"/>
          <w:lang w:val="en-GB"/>
        </w:rPr>
      </w:pPr>
      <w:r w:rsidRPr="003E3613">
        <w:rPr>
          <w:rFonts w:ascii="Book Antiqua" w:hAnsi="Book Antiqua" w:cs="Times New Roman"/>
          <w:sz w:val="23"/>
          <w:szCs w:val="23"/>
          <w:lang w:val="en-GB"/>
        </w:rPr>
        <w:t xml:space="preserve">We would also like to note that </w:t>
      </w:r>
      <w:r w:rsidRPr="003E3613">
        <w:rPr>
          <w:rFonts w:ascii="Book Antiqua" w:eastAsia="Calibri" w:hAnsi="Book Antiqua" w:cs="Times New Roman"/>
          <w:sz w:val="23"/>
          <w:szCs w:val="23"/>
          <w:lang w:val="en-GB"/>
        </w:rPr>
        <w:t xml:space="preserve">statistical </w:t>
      </w:r>
      <w:r w:rsidR="009D3B17" w:rsidRPr="003E3613">
        <w:rPr>
          <w:rFonts w:ascii="Book Antiqua" w:eastAsia="Calibri" w:hAnsi="Book Antiqua" w:cs="Times New Roman"/>
          <w:sz w:val="23"/>
          <w:szCs w:val="23"/>
          <w:lang w:val="en-GB"/>
        </w:rPr>
        <w:t>data</w:t>
      </w:r>
      <w:r w:rsidRPr="003E3613">
        <w:rPr>
          <w:rFonts w:ascii="Book Antiqua" w:eastAsia="Calibri" w:hAnsi="Book Antiqua" w:cs="Times New Roman"/>
          <w:sz w:val="23"/>
          <w:szCs w:val="23"/>
          <w:lang w:val="en-GB"/>
        </w:rPr>
        <w:t xml:space="preserve"> on single bid procedures are not comparable </w:t>
      </w:r>
      <w:r w:rsidR="00BD233B" w:rsidRPr="003E3613">
        <w:rPr>
          <w:rFonts w:ascii="Book Antiqua" w:eastAsia="Calibri" w:hAnsi="Book Antiqua" w:cs="Times New Roman"/>
          <w:sz w:val="23"/>
          <w:szCs w:val="23"/>
          <w:lang w:val="en-GB"/>
        </w:rPr>
        <w:t>since</w:t>
      </w:r>
      <w:r w:rsidRPr="003E3613">
        <w:rPr>
          <w:rFonts w:ascii="Book Antiqua" w:eastAsia="Calibri" w:hAnsi="Book Antiqua" w:cs="Times New Roman"/>
          <w:sz w:val="23"/>
          <w:szCs w:val="23"/>
          <w:lang w:val="en-GB"/>
        </w:rPr>
        <w:t xml:space="preserve"> Member</w:t>
      </w:r>
      <w:r w:rsidRPr="003E3613">
        <w:rPr>
          <w:rFonts w:ascii="Book Antiqua" w:eastAsia="Calibri" w:hAnsi="Book Antiqua" w:cs="Calibri"/>
          <w:sz w:val="23"/>
          <w:szCs w:val="23"/>
          <w:lang w:val="en-GB"/>
        </w:rPr>
        <w:t xml:space="preserve"> States do not disclose their relevant data available to the same extent and quality. While Hungary has a very transparent and effective publication policy in place regarding public procurement data, the lack of available information prevents sound analyses in some other Member States, including those leading in public procurement indicators. A recent study published by DG REGIO </w:t>
      </w:r>
      <w:r w:rsidR="00D16E16" w:rsidRPr="003E3613">
        <w:rPr>
          <w:rFonts w:ascii="Book Antiqua" w:eastAsia="Calibri" w:hAnsi="Book Antiqua" w:cs="Calibri"/>
          <w:sz w:val="23"/>
          <w:szCs w:val="23"/>
          <w:lang w:val="en-GB"/>
        </w:rPr>
        <w:t xml:space="preserve">on 15 May 2019 </w:t>
      </w:r>
      <w:r w:rsidRPr="003E3613">
        <w:rPr>
          <w:rFonts w:ascii="Book Antiqua" w:eastAsia="Calibri" w:hAnsi="Book Antiqua" w:cs="Calibri"/>
          <w:sz w:val="23"/>
          <w:szCs w:val="23"/>
          <w:lang w:val="en-GB"/>
        </w:rPr>
        <w:t xml:space="preserve">on </w:t>
      </w:r>
    </w:p>
    <w:p w14:paraId="63673401" w14:textId="77777777" w:rsidR="00053185" w:rsidRDefault="00053185">
      <w:pPr>
        <w:rPr>
          <w:rFonts w:ascii="Book Antiqua" w:eastAsia="Calibri" w:hAnsi="Book Antiqua" w:cs="Calibri"/>
          <w:sz w:val="23"/>
          <w:szCs w:val="23"/>
          <w:lang w:val="en-GB"/>
        </w:rPr>
      </w:pPr>
      <w:r>
        <w:rPr>
          <w:rFonts w:ascii="Book Antiqua" w:eastAsia="Calibri" w:hAnsi="Book Antiqua" w:cs="Calibri"/>
          <w:sz w:val="23"/>
          <w:szCs w:val="23"/>
          <w:lang w:val="en-GB"/>
        </w:rPr>
        <w:br w:type="page"/>
      </w:r>
    </w:p>
    <w:p w14:paraId="45901A18" w14:textId="303103B0" w:rsidR="00D15A70" w:rsidRPr="003E3613" w:rsidRDefault="00D15A70" w:rsidP="00204696">
      <w:pPr>
        <w:spacing w:after="0"/>
        <w:jc w:val="both"/>
        <w:rPr>
          <w:rFonts w:ascii="Book Antiqua" w:hAnsi="Book Antiqua"/>
          <w:sz w:val="23"/>
          <w:szCs w:val="23"/>
          <w:lang w:val="en-GB"/>
        </w:rPr>
      </w:pPr>
      <w:r w:rsidRPr="003E3613">
        <w:rPr>
          <w:rFonts w:ascii="Book Antiqua" w:eastAsia="Calibri" w:hAnsi="Book Antiqua" w:cs="Calibri"/>
          <w:sz w:val="23"/>
          <w:szCs w:val="23"/>
          <w:lang w:val="en-GB"/>
        </w:rPr>
        <w:lastRenderedPageBreak/>
        <w:t>single bidding states that among the ten countries selected for its analysis, there have been only four, including Hungary where public procurement data is of sufficiently high quality and scope.</w:t>
      </w:r>
    </w:p>
    <w:p w14:paraId="4445E8AE" w14:textId="77777777" w:rsidR="00D15A70" w:rsidRPr="003E3613" w:rsidRDefault="00D15A70" w:rsidP="00204696">
      <w:pPr>
        <w:spacing w:after="0"/>
        <w:jc w:val="both"/>
        <w:rPr>
          <w:rFonts w:ascii="Book Antiqua" w:hAnsi="Book Antiqua"/>
          <w:sz w:val="23"/>
          <w:szCs w:val="23"/>
          <w:lang w:val="en-GB"/>
        </w:rPr>
      </w:pPr>
    </w:p>
    <w:p w14:paraId="48FC2C82" w14:textId="77777777" w:rsidR="00A11756" w:rsidRPr="003E3613" w:rsidRDefault="00D15A70" w:rsidP="00204696">
      <w:pPr>
        <w:jc w:val="both"/>
        <w:rPr>
          <w:rFonts w:ascii="Book Antiqua" w:hAnsi="Book Antiqua"/>
          <w:sz w:val="23"/>
          <w:szCs w:val="23"/>
          <w:lang w:val="en-GB"/>
        </w:rPr>
      </w:pPr>
      <w:r w:rsidRPr="003E3613">
        <w:rPr>
          <w:rFonts w:ascii="Book Antiqua" w:hAnsi="Book Antiqua"/>
          <w:sz w:val="23"/>
          <w:szCs w:val="23"/>
          <w:lang w:val="en-GB"/>
        </w:rPr>
        <w:t xml:space="preserve">The new public procurement directives put significant emphasis on the introduction of electronic communication and e-public procurement thus Hungary - in order to be in line with the directives - has to ensure electronic communication in all Hungarian public procurement procedure. Hungary has fulfilled 6 month before the deadline specified by the directives the obligation of implementing e-procurement from 15 April 2018 with the developing and launching of the EKR. </w:t>
      </w:r>
    </w:p>
    <w:p w14:paraId="0D445424" w14:textId="5448B397" w:rsidR="00D15A70" w:rsidRPr="003E3613" w:rsidRDefault="00A11756" w:rsidP="000E2069">
      <w:pPr>
        <w:spacing w:after="0"/>
        <w:jc w:val="both"/>
        <w:rPr>
          <w:rFonts w:ascii="Book Antiqua" w:hAnsi="Book Antiqua"/>
          <w:sz w:val="23"/>
          <w:szCs w:val="23"/>
          <w:lang w:val="en-GB"/>
        </w:rPr>
      </w:pPr>
      <w:r w:rsidRPr="003E3613">
        <w:rPr>
          <w:rFonts w:ascii="Book Antiqua" w:eastAsia="Calibri" w:hAnsi="Book Antiqua" w:cs="Calibri"/>
          <w:sz w:val="23"/>
          <w:szCs w:val="23"/>
          <w:lang w:val="en-GB"/>
        </w:rPr>
        <w:t>Hungary has extended the scope of e-procurement to all public procurement procedures including those under national regime, thus going even beyond its obligation under EU law so</w:t>
      </w:r>
      <w:r w:rsidRPr="003E3613">
        <w:rPr>
          <w:rFonts w:ascii="Book Antiqua" w:hAnsi="Book Antiqua"/>
          <w:sz w:val="23"/>
          <w:szCs w:val="23"/>
          <w:lang w:val="en-GB"/>
        </w:rPr>
        <w:t xml:space="preserve"> </w:t>
      </w:r>
      <w:r w:rsidR="00D15A70" w:rsidRPr="003E3613">
        <w:rPr>
          <w:rFonts w:ascii="Book Antiqua" w:hAnsi="Book Antiqua"/>
          <w:sz w:val="23"/>
          <w:szCs w:val="23"/>
          <w:lang w:val="en-GB"/>
        </w:rPr>
        <w:t>the use of e-procurement is compulsory both below and above EU thresholds</w:t>
      </w:r>
      <w:r w:rsidRPr="003E3613">
        <w:rPr>
          <w:rFonts w:ascii="Book Antiqua" w:hAnsi="Book Antiqua"/>
          <w:sz w:val="23"/>
          <w:szCs w:val="23"/>
          <w:lang w:val="en-GB"/>
        </w:rPr>
        <w:t xml:space="preserve"> and</w:t>
      </w:r>
      <w:r w:rsidR="00D15A70" w:rsidRPr="003E3613">
        <w:rPr>
          <w:rFonts w:ascii="Book Antiqua" w:hAnsi="Book Antiqua"/>
          <w:sz w:val="23"/>
          <w:szCs w:val="23"/>
          <w:lang w:val="en-GB"/>
        </w:rPr>
        <w:t xml:space="preserve"> from July 2019, contracting authorities</w:t>
      </w:r>
      <w:r w:rsidR="001F6F2B" w:rsidRPr="003E3613">
        <w:rPr>
          <w:rFonts w:ascii="Book Antiqua" w:hAnsi="Book Antiqua"/>
          <w:sz w:val="23"/>
          <w:szCs w:val="23"/>
          <w:lang w:val="en-GB"/>
        </w:rPr>
        <w:t xml:space="preserve"> </w:t>
      </w:r>
      <w:r w:rsidR="00D15A70" w:rsidRPr="003E3613">
        <w:rPr>
          <w:rFonts w:ascii="Book Antiqua" w:hAnsi="Book Antiqua"/>
          <w:sz w:val="23"/>
          <w:szCs w:val="23"/>
          <w:lang w:val="en-GB"/>
        </w:rPr>
        <w:t>have the possibility to carry out their purchases below the national public procurement thresholds via EKR.</w:t>
      </w:r>
    </w:p>
    <w:p w14:paraId="115CA58C" w14:textId="77777777" w:rsidR="00D15A70" w:rsidRPr="003E3613" w:rsidRDefault="00D15A70" w:rsidP="00204696">
      <w:pPr>
        <w:spacing w:after="0"/>
        <w:jc w:val="both"/>
        <w:rPr>
          <w:rFonts w:ascii="Book Antiqua" w:hAnsi="Book Antiqua"/>
          <w:sz w:val="23"/>
          <w:szCs w:val="23"/>
          <w:lang w:val="en-GB"/>
        </w:rPr>
      </w:pPr>
    </w:p>
    <w:p w14:paraId="2A47B5BE" w14:textId="77777777" w:rsidR="00D15A70" w:rsidRPr="003E3613" w:rsidRDefault="00D15A70"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aim of setting up and introducing the EKR was to increase the transparency of public procurement procedures, to accelerate the conduct of procedures, to simplify procedural acts, to reduce administrative burden and to support the control of public procurement procedures. </w:t>
      </w:r>
    </w:p>
    <w:p w14:paraId="1C13F140" w14:textId="77777777" w:rsidR="00BE728B" w:rsidRPr="003E3613" w:rsidRDefault="00BE728B" w:rsidP="00204696">
      <w:pPr>
        <w:spacing w:after="0"/>
        <w:jc w:val="both"/>
        <w:rPr>
          <w:rFonts w:ascii="Book Antiqua" w:hAnsi="Book Antiqua"/>
          <w:sz w:val="23"/>
          <w:szCs w:val="23"/>
          <w:lang w:val="en-GB"/>
        </w:rPr>
      </w:pPr>
    </w:p>
    <w:p w14:paraId="441AD2B5" w14:textId="77777777" w:rsidR="00D15A70" w:rsidRPr="003E3613" w:rsidRDefault="00D15A70" w:rsidP="00204696">
      <w:pPr>
        <w:spacing w:after="0"/>
        <w:jc w:val="both"/>
        <w:rPr>
          <w:rFonts w:ascii="Book Antiqua" w:hAnsi="Book Antiqua"/>
          <w:sz w:val="23"/>
          <w:szCs w:val="23"/>
          <w:lang w:val="en-GB"/>
        </w:rPr>
      </w:pPr>
      <w:r w:rsidRPr="003E3613">
        <w:rPr>
          <w:rFonts w:ascii="Book Antiqua" w:hAnsi="Book Antiqua"/>
          <w:sz w:val="23"/>
          <w:szCs w:val="23"/>
          <w:lang w:val="en-GB"/>
        </w:rPr>
        <w:t>In the EKR all procedural act can be accurately documented, all public procurement document can be reached directly from one place promot</w:t>
      </w:r>
      <w:r w:rsidR="00BE728B" w:rsidRPr="003E3613">
        <w:rPr>
          <w:rFonts w:ascii="Book Antiqua" w:hAnsi="Book Antiqua"/>
          <w:sz w:val="23"/>
          <w:szCs w:val="23"/>
          <w:lang w:val="en-GB"/>
        </w:rPr>
        <w:t>ing</w:t>
      </w:r>
      <w:r w:rsidRPr="003E3613">
        <w:rPr>
          <w:rFonts w:ascii="Book Antiqua" w:hAnsi="Book Antiqua"/>
          <w:sz w:val="23"/>
          <w:szCs w:val="23"/>
          <w:lang w:val="en-GB"/>
        </w:rPr>
        <w:t xml:space="preserve"> the monitoring of public procurement procedures, therefore the effect of market changes and legislative amendments on public procurements can also be measured.</w:t>
      </w:r>
    </w:p>
    <w:p w14:paraId="541234E8" w14:textId="77777777" w:rsidR="00D15A70" w:rsidRPr="003E3613" w:rsidRDefault="00D15A70" w:rsidP="00204696">
      <w:pPr>
        <w:spacing w:after="0"/>
        <w:jc w:val="both"/>
        <w:rPr>
          <w:rFonts w:ascii="Book Antiqua" w:hAnsi="Book Antiqua"/>
          <w:sz w:val="23"/>
          <w:szCs w:val="23"/>
          <w:lang w:val="en-GB"/>
        </w:rPr>
      </w:pPr>
    </w:p>
    <w:p w14:paraId="5984893D" w14:textId="77777777" w:rsidR="00D15A70" w:rsidRPr="003E3613" w:rsidRDefault="00BE728B"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 Recent results and feedbacks show that e-procurement is efficient and indeed useful to reduce administrative burdens since data from 2018 show that the average duration of public procurement procedures has reduced by 20-30%.</w:t>
      </w:r>
    </w:p>
    <w:p w14:paraId="4C91C4A6" w14:textId="77777777" w:rsidR="00213CD9" w:rsidRPr="003E3613" w:rsidRDefault="00213CD9"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So far, the e-procurement system is working </w:t>
      </w:r>
      <w:r w:rsidR="00D15A70" w:rsidRPr="003E3613">
        <w:rPr>
          <w:rFonts w:ascii="Book Antiqua" w:hAnsi="Book Antiqua"/>
          <w:sz w:val="23"/>
          <w:szCs w:val="23"/>
          <w:lang w:val="en-GB"/>
        </w:rPr>
        <w:t>adequately</w:t>
      </w:r>
      <w:r w:rsidRPr="003E3613">
        <w:rPr>
          <w:rFonts w:ascii="Book Antiqua" w:hAnsi="Book Antiqua"/>
          <w:sz w:val="23"/>
          <w:szCs w:val="23"/>
          <w:lang w:val="en-GB"/>
        </w:rPr>
        <w:t xml:space="preserve">, </w:t>
      </w:r>
      <w:r w:rsidR="00FF63D6" w:rsidRPr="003E3613">
        <w:rPr>
          <w:rFonts w:ascii="Book Antiqua" w:hAnsi="Book Antiqua"/>
          <w:sz w:val="23"/>
          <w:szCs w:val="23"/>
          <w:lang w:val="en-GB"/>
        </w:rPr>
        <w:t>more than 15</w:t>
      </w:r>
      <w:r w:rsidR="003E771B" w:rsidRPr="003E3613">
        <w:rPr>
          <w:rFonts w:ascii="Book Antiqua" w:hAnsi="Book Antiqua"/>
          <w:sz w:val="23"/>
          <w:szCs w:val="23"/>
          <w:lang w:val="en-GB"/>
        </w:rPr>
        <w:t xml:space="preserve"> </w:t>
      </w:r>
      <w:r w:rsidR="00FF63D6" w:rsidRPr="003E3613">
        <w:rPr>
          <w:rFonts w:ascii="Book Antiqua" w:hAnsi="Book Antiqua"/>
          <w:sz w:val="23"/>
          <w:szCs w:val="23"/>
          <w:lang w:val="en-GB"/>
        </w:rPr>
        <w:t>000 procedures have been conducted in the system without any significant issues (https://ekr.gov.hu, available also in English).</w:t>
      </w:r>
      <w:r w:rsidR="00884077" w:rsidRPr="003E3613">
        <w:rPr>
          <w:rFonts w:ascii="Book Antiqua" w:hAnsi="Book Antiqua"/>
          <w:sz w:val="23"/>
          <w:szCs w:val="23"/>
          <w:lang w:val="en-GB"/>
        </w:rPr>
        <w:t xml:space="preserve"> Based on the feedbacks received only technical questions have been raised on the functioning of the EKR, however – according to these feedbacks – the system helps to lower administrative burdens through the standardization of procurement procedures and interface.</w:t>
      </w:r>
    </w:p>
    <w:p w14:paraId="0F31E5D4" w14:textId="77777777" w:rsidR="003D5A13" w:rsidRPr="003E3613" w:rsidRDefault="003D5A13" w:rsidP="00204696">
      <w:pPr>
        <w:spacing w:after="0"/>
        <w:jc w:val="both"/>
        <w:rPr>
          <w:rFonts w:ascii="Book Antiqua" w:hAnsi="Book Antiqua"/>
          <w:sz w:val="23"/>
          <w:szCs w:val="23"/>
          <w:lang w:val="en-GB"/>
        </w:rPr>
      </w:pPr>
    </w:p>
    <w:p w14:paraId="084AC179" w14:textId="77777777" w:rsidR="00EE4D90" w:rsidRPr="003E3613" w:rsidRDefault="00EE4D90"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As a proof of the </w:t>
      </w:r>
      <w:r w:rsidR="003E771B" w:rsidRPr="003E3613">
        <w:rPr>
          <w:rFonts w:ascii="Book Antiqua" w:hAnsi="Book Antiqua"/>
          <w:sz w:val="23"/>
          <w:szCs w:val="23"/>
          <w:lang w:val="en-GB"/>
        </w:rPr>
        <w:t>increased</w:t>
      </w:r>
      <w:r w:rsidRPr="003E3613">
        <w:rPr>
          <w:rFonts w:ascii="Book Antiqua" w:hAnsi="Book Antiqua"/>
          <w:sz w:val="23"/>
          <w:szCs w:val="23"/>
          <w:lang w:val="en-GB"/>
        </w:rPr>
        <w:t xml:space="preserve"> level of transparency and the openness of the Hungarian public procurement market</w:t>
      </w:r>
      <w:r w:rsidR="00936DD9" w:rsidRPr="003E3613">
        <w:rPr>
          <w:rFonts w:ascii="Book Antiqua" w:hAnsi="Book Antiqua"/>
          <w:sz w:val="23"/>
          <w:szCs w:val="23"/>
          <w:lang w:val="en-GB"/>
        </w:rPr>
        <w:t>,</w:t>
      </w:r>
      <w:r w:rsidRPr="003E3613">
        <w:rPr>
          <w:rFonts w:ascii="Book Antiqua" w:hAnsi="Book Antiqua"/>
          <w:sz w:val="23"/>
          <w:szCs w:val="23"/>
          <w:lang w:val="en-GB"/>
        </w:rPr>
        <w:t xml:space="preserve"> it should also be highlighted that according to the latest edition of the Single Market Scoreboard</w:t>
      </w:r>
      <w:r w:rsidR="003E771B" w:rsidRPr="003E3613">
        <w:rPr>
          <w:rFonts w:ascii="Book Antiqua" w:hAnsi="Book Antiqua"/>
          <w:sz w:val="23"/>
          <w:szCs w:val="23"/>
          <w:lang w:val="en-GB"/>
        </w:rPr>
        <w:t>,</w:t>
      </w:r>
      <w:r w:rsidRPr="003E3613">
        <w:rPr>
          <w:rFonts w:ascii="Book Antiqua" w:hAnsi="Book Antiqua"/>
          <w:sz w:val="23"/>
          <w:szCs w:val="23"/>
          <w:lang w:val="en-GB"/>
        </w:rPr>
        <w:t xml:space="preserve"> Hungary is the best performing country with a rate well above </w:t>
      </w:r>
      <w:r w:rsidR="003E771B" w:rsidRPr="003E3613">
        <w:rPr>
          <w:rFonts w:ascii="Book Antiqua" w:hAnsi="Book Antiqua"/>
          <w:sz w:val="23"/>
          <w:szCs w:val="23"/>
          <w:lang w:val="en-GB"/>
        </w:rPr>
        <w:t xml:space="preserve">the </w:t>
      </w:r>
      <w:r w:rsidRPr="003E3613">
        <w:rPr>
          <w:rFonts w:ascii="Book Antiqua" w:hAnsi="Book Antiqua"/>
          <w:sz w:val="23"/>
          <w:szCs w:val="23"/>
          <w:lang w:val="en-GB"/>
        </w:rPr>
        <w:t>EU threshold and average as regards the value of national public procurement advertised to businesses on the TED portal.</w:t>
      </w:r>
      <w:r w:rsidRPr="003E3613">
        <w:rPr>
          <w:rStyle w:val="FootnoteReference"/>
          <w:rFonts w:ascii="Book Antiqua" w:hAnsi="Book Antiqua"/>
          <w:sz w:val="23"/>
          <w:szCs w:val="23"/>
          <w:lang w:val="en-GB"/>
        </w:rPr>
        <w:footnoteReference w:id="23"/>
      </w:r>
      <w:r w:rsidRPr="003E3613">
        <w:rPr>
          <w:rFonts w:ascii="Book Antiqua" w:hAnsi="Book Antiqua"/>
          <w:sz w:val="23"/>
          <w:szCs w:val="23"/>
          <w:lang w:val="en-GB"/>
        </w:rPr>
        <w:t xml:space="preserve"> In addition, the Single Market Scoreboard shows that Hungary </w:t>
      </w:r>
      <w:r w:rsidRPr="003E3613">
        <w:rPr>
          <w:rFonts w:ascii="Book Antiqua" w:hAnsi="Book Antiqua"/>
          <w:sz w:val="23"/>
          <w:szCs w:val="23"/>
          <w:lang w:val="en-GB"/>
        </w:rPr>
        <w:lastRenderedPageBreak/>
        <w:t>has further decreased the proportion of procedures awarded only on the basis of lowest price and the percentage of SME contractors has remained to be definitively satisfactory.</w:t>
      </w:r>
    </w:p>
    <w:p w14:paraId="36ECEF10" w14:textId="77777777" w:rsidR="00213CD9" w:rsidRPr="003E3613" w:rsidRDefault="00213CD9" w:rsidP="00204696">
      <w:pPr>
        <w:spacing w:after="0"/>
        <w:jc w:val="both"/>
        <w:rPr>
          <w:rFonts w:ascii="Book Antiqua" w:hAnsi="Book Antiqua"/>
          <w:sz w:val="23"/>
          <w:szCs w:val="23"/>
          <w:lang w:val="en-GB"/>
        </w:rPr>
      </w:pPr>
    </w:p>
    <w:p w14:paraId="3A9C03D1" w14:textId="77777777" w:rsidR="00102CFB" w:rsidRPr="003E3613" w:rsidRDefault="00213CD9"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development achieved concerning the transparency and competition in public procurement was recognised by the </w:t>
      </w:r>
      <w:r w:rsidR="00D15A70" w:rsidRPr="003E3613">
        <w:rPr>
          <w:rFonts w:ascii="Book Antiqua" w:hAnsi="Book Antiqua"/>
          <w:sz w:val="23"/>
          <w:szCs w:val="23"/>
          <w:lang w:val="en-GB"/>
        </w:rPr>
        <w:t>2019 Country Report which pointed out that</w:t>
      </w:r>
      <w:r w:rsidR="00D15A70" w:rsidRPr="003E3613">
        <w:rPr>
          <w:lang w:val="en-GB"/>
        </w:rPr>
        <w:t xml:space="preserve"> </w:t>
      </w:r>
      <w:r w:rsidR="00D15A70" w:rsidRPr="003E3613">
        <w:rPr>
          <w:rFonts w:ascii="Book Antiqua" w:hAnsi="Book Antiqua"/>
          <w:sz w:val="23"/>
          <w:szCs w:val="23"/>
          <w:lang w:val="en-GB"/>
        </w:rPr>
        <w:t xml:space="preserve">the Hungarian public procurement framework improved as incentives were created to discourage less transparent tendering procedures and the introduction of e-procurement improved efficiency in public procurement. </w:t>
      </w:r>
    </w:p>
    <w:p w14:paraId="0E4B3BF3" w14:textId="77777777" w:rsidR="002F5F40" w:rsidRPr="003E3613" w:rsidRDefault="002F5F40" w:rsidP="00204696">
      <w:pPr>
        <w:spacing w:after="0"/>
        <w:jc w:val="both"/>
        <w:rPr>
          <w:rFonts w:ascii="Book Antiqua" w:hAnsi="Book Antiqua"/>
          <w:i/>
          <w:sz w:val="23"/>
          <w:szCs w:val="23"/>
          <w:lang w:val="en-GB"/>
        </w:rPr>
      </w:pPr>
    </w:p>
    <w:p w14:paraId="774796A4" w14:textId="77777777" w:rsidR="00DB46B8" w:rsidRPr="003E3613" w:rsidRDefault="00DB46B8" w:rsidP="00204696">
      <w:pPr>
        <w:pStyle w:val="Heading2"/>
        <w:keepNext w:val="0"/>
        <w:keepLines w:val="0"/>
        <w:spacing w:before="0"/>
        <w:rPr>
          <w:rFonts w:ascii="Book Antiqua" w:hAnsi="Book Antiqua"/>
          <w:sz w:val="23"/>
          <w:szCs w:val="23"/>
          <w:lang w:val="en-GB"/>
        </w:rPr>
      </w:pPr>
      <w:bookmarkStart w:id="22" w:name="_Toc19120783"/>
      <w:r w:rsidRPr="003E3613">
        <w:rPr>
          <w:rFonts w:ascii="Book Antiqua" w:hAnsi="Book Antiqua"/>
          <w:color w:val="auto"/>
          <w:sz w:val="23"/>
          <w:szCs w:val="23"/>
          <w:lang w:val="en-GB"/>
        </w:rPr>
        <w:t>Effective governance and corruption</w:t>
      </w:r>
      <w:bookmarkEnd w:id="22"/>
    </w:p>
    <w:p w14:paraId="106B08B8" w14:textId="77777777" w:rsidR="00DB46B8" w:rsidRPr="003E3613" w:rsidRDefault="00DB46B8" w:rsidP="00204696">
      <w:pPr>
        <w:spacing w:after="0"/>
        <w:jc w:val="both"/>
        <w:rPr>
          <w:rFonts w:ascii="Book Antiqua" w:hAnsi="Book Antiqua"/>
          <w:i/>
          <w:sz w:val="23"/>
          <w:szCs w:val="23"/>
          <w:lang w:val="en-GB"/>
        </w:rPr>
      </w:pPr>
    </w:p>
    <w:p w14:paraId="753A2720" w14:textId="77777777" w:rsidR="003252BD" w:rsidRPr="003E3613" w:rsidRDefault="003252BD" w:rsidP="00204696">
      <w:pPr>
        <w:spacing w:after="0"/>
        <w:jc w:val="both"/>
        <w:rPr>
          <w:rFonts w:ascii="Book Antiqua" w:hAnsi="Book Antiqua"/>
          <w:i/>
          <w:sz w:val="23"/>
          <w:szCs w:val="23"/>
          <w:lang w:val="en-GB"/>
        </w:rPr>
      </w:pPr>
      <w:r w:rsidRPr="003E3613">
        <w:rPr>
          <w:rFonts w:ascii="Book Antiqua" w:hAnsi="Book Antiqua"/>
          <w:i/>
          <w:sz w:val="23"/>
          <w:szCs w:val="23"/>
          <w:lang w:val="en-GB"/>
        </w:rPr>
        <w:t>(24)</w:t>
      </w:r>
      <w:r w:rsidRPr="003E3613">
        <w:rPr>
          <w:rFonts w:ascii="Book Antiqua" w:hAnsi="Book Antiqua"/>
          <w:i/>
          <w:sz w:val="23"/>
          <w:szCs w:val="23"/>
          <w:lang w:val="en-GB"/>
        </w:rPr>
        <w:tab/>
        <w:t>According to the Seventh report on economic, social and territorial cohesion, government effectiveness in Hungary has diminished since 1996 and it is one of the Member States with the least effective governments in the Union. All Hungarian regions are well below the Union average in terms of quality of government. According to the EU Anti-corruption Report published by the Commission in 2014, corruption is perceived as widespread (89 %) in Hungary. According to the Global Competitiveness Report 2017-2018, published by the World Economic Forum, the high level of corruption was one of the most problematic factors for doing business in Hungary.</w:t>
      </w:r>
    </w:p>
    <w:p w14:paraId="52FBDDE0" w14:textId="77777777" w:rsidR="003252BD" w:rsidRPr="003E3613" w:rsidRDefault="003252BD" w:rsidP="00204696">
      <w:pPr>
        <w:spacing w:after="0"/>
        <w:jc w:val="both"/>
        <w:rPr>
          <w:rFonts w:ascii="Book Antiqua" w:hAnsi="Book Antiqua"/>
          <w:sz w:val="23"/>
          <w:szCs w:val="23"/>
          <w:lang w:val="en-GB"/>
        </w:rPr>
      </w:pPr>
    </w:p>
    <w:p w14:paraId="237BBFE8" w14:textId="77777777" w:rsidR="00510D9F" w:rsidRPr="003E3613" w:rsidRDefault="00311428"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w:t>
      </w:r>
      <w:r w:rsidR="00306C68" w:rsidRPr="003E3613">
        <w:rPr>
          <w:rFonts w:ascii="Book Antiqua" w:hAnsi="Book Antiqua"/>
          <w:sz w:val="23"/>
          <w:szCs w:val="23"/>
          <w:lang w:val="en-GB"/>
        </w:rPr>
        <w:t xml:space="preserve">reasoned proposal </w:t>
      </w:r>
      <w:r w:rsidRPr="003E3613">
        <w:rPr>
          <w:rFonts w:ascii="Book Antiqua" w:hAnsi="Book Antiqua"/>
          <w:sz w:val="23"/>
          <w:szCs w:val="23"/>
          <w:lang w:val="en-GB"/>
        </w:rPr>
        <w:t>refers to the EU Anti-corruption Report published by the Commission in 2014</w:t>
      </w:r>
      <w:r w:rsidR="00306C68" w:rsidRPr="003E3613">
        <w:rPr>
          <w:rFonts w:ascii="Book Antiqua" w:hAnsi="Book Antiqua"/>
          <w:sz w:val="23"/>
          <w:szCs w:val="23"/>
          <w:lang w:val="en-GB"/>
        </w:rPr>
        <w:t>,</w:t>
      </w:r>
      <w:r w:rsidR="00AE1342" w:rsidRPr="003E3613">
        <w:rPr>
          <w:rStyle w:val="FootnoteReference"/>
          <w:rFonts w:ascii="Book Antiqua" w:hAnsi="Book Antiqua"/>
          <w:sz w:val="23"/>
          <w:szCs w:val="23"/>
          <w:lang w:val="en-GB"/>
        </w:rPr>
        <w:footnoteReference w:id="24"/>
      </w:r>
      <w:r w:rsidRPr="003E3613">
        <w:rPr>
          <w:rFonts w:ascii="Book Antiqua" w:hAnsi="Book Antiqua"/>
          <w:sz w:val="23"/>
          <w:szCs w:val="23"/>
          <w:lang w:val="en-GB"/>
        </w:rPr>
        <w:t xml:space="preserve"> according to which the corruption was perceived as widespread (89%) in Hungary. However, it should also be noted that the EU Anti-corruption Report revealed that at European level, three quarters of respondents thought that corruption was </w:t>
      </w:r>
      <w:r w:rsidR="00306C68" w:rsidRPr="003E3613">
        <w:rPr>
          <w:rFonts w:ascii="Book Antiqua" w:hAnsi="Book Antiqua"/>
          <w:sz w:val="23"/>
          <w:szCs w:val="23"/>
          <w:lang w:val="en-GB"/>
        </w:rPr>
        <w:t>w</w:t>
      </w:r>
      <w:r w:rsidRPr="003E3613">
        <w:rPr>
          <w:rFonts w:ascii="Book Antiqua" w:hAnsi="Book Antiqua"/>
          <w:sz w:val="23"/>
          <w:szCs w:val="23"/>
          <w:lang w:val="en-GB"/>
        </w:rPr>
        <w:t xml:space="preserve">idespread in their own country, and Hungary was not </w:t>
      </w:r>
      <w:r w:rsidR="00C05166" w:rsidRPr="003E3613">
        <w:rPr>
          <w:rFonts w:ascii="Book Antiqua" w:hAnsi="Book Antiqua"/>
          <w:sz w:val="23"/>
          <w:szCs w:val="23"/>
          <w:lang w:val="en-GB"/>
        </w:rPr>
        <w:t xml:space="preserve">even </w:t>
      </w:r>
      <w:r w:rsidRPr="003E3613">
        <w:rPr>
          <w:rFonts w:ascii="Book Antiqua" w:hAnsi="Book Antiqua"/>
          <w:sz w:val="23"/>
          <w:szCs w:val="23"/>
          <w:lang w:val="en-GB"/>
        </w:rPr>
        <w:t xml:space="preserve">in the top 10 of those </w:t>
      </w:r>
      <w:r w:rsidR="002C3A6F" w:rsidRPr="003E3613">
        <w:rPr>
          <w:rFonts w:ascii="Book Antiqua" w:hAnsi="Book Antiqua"/>
          <w:sz w:val="23"/>
          <w:szCs w:val="23"/>
          <w:lang w:val="en-GB"/>
        </w:rPr>
        <w:t xml:space="preserve">Member States </w:t>
      </w:r>
      <w:r w:rsidRPr="003E3613">
        <w:rPr>
          <w:rFonts w:ascii="Book Antiqua" w:hAnsi="Book Antiqua"/>
          <w:sz w:val="23"/>
          <w:szCs w:val="23"/>
          <w:lang w:val="en-GB"/>
        </w:rPr>
        <w:t>where respondents were most likely to think corruption was widespread.</w:t>
      </w:r>
      <w:r w:rsidR="008070F7" w:rsidRPr="003E3613">
        <w:rPr>
          <w:rStyle w:val="FootnoteReference"/>
          <w:rFonts w:ascii="Book Antiqua" w:hAnsi="Book Antiqua"/>
          <w:sz w:val="23"/>
          <w:szCs w:val="23"/>
          <w:lang w:val="en-GB"/>
        </w:rPr>
        <w:footnoteReference w:id="25"/>
      </w:r>
      <w:r w:rsidR="00F40F03" w:rsidRPr="003E3613">
        <w:rPr>
          <w:rFonts w:ascii="Book Antiqua" w:hAnsi="Book Antiqua"/>
          <w:sz w:val="23"/>
          <w:szCs w:val="23"/>
          <w:lang w:val="en-GB"/>
        </w:rPr>
        <w:t xml:space="preserve"> </w:t>
      </w:r>
      <w:r w:rsidR="001B3775" w:rsidRPr="003E3613">
        <w:rPr>
          <w:rFonts w:ascii="Book Antiqua" w:hAnsi="Book Antiqua"/>
          <w:sz w:val="23"/>
          <w:szCs w:val="23"/>
          <w:lang w:val="en-GB"/>
        </w:rPr>
        <w:t>Furthermore, the EU Anti-Corruption Report concludes that Hungary is applying an integrity and prevention-oriented approach within public administration.</w:t>
      </w:r>
    </w:p>
    <w:p w14:paraId="5D7DDF7A" w14:textId="77777777" w:rsidR="00311428" w:rsidRPr="003E3613" w:rsidRDefault="00311428" w:rsidP="00204696">
      <w:pPr>
        <w:spacing w:after="0"/>
        <w:jc w:val="both"/>
        <w:rPr>
          <w:rFonts w:ascii="Book Antiqua" w:hAnsi="Book Antiqua"/>
          <w:sz w:val="23"/>
          <w:szCs w:val="23"/>
          <w:lang w:val="en-GB"/>
        </w:rPr>
      </w:pPr>
    </w:p>
    <w:p w14:paraId="5D0510D3" w14:textId="77777777" w:rsidR="00274ABB" w:rsidRDefault="00311428" w:rsidP="00204696">
      <w:pPr>
        <w:spacing w:after="0"/>
        <w:jc w:val="both"/>
        <w:rPr>
          <w:rFonts w:ascii="Book Antiqua" w:hAnsi="Book Antiqua"/>
          <w:sz w:val="23"/>
          <w:szCs w:val="23"/>
          <w:lang w:val="en-GB"/>
        </w:rPr>
      </w:pPr>
      <w:r w:rsidRPr="003E3613">
        <w:rPr>
          <w:rFonts w:ascii="Book Antiqua" w:hAnsi="Book Antiqua"/>
          <w:sz w:val="23"/>
          <w:szCs w:val="23"/>
          <w:lang w:val="en-GB"/>
        </w:rPr>
        <w:t>According to the Global Competitiveness Report 2017-2018,</w:t>
      </w:r>
      <w:r w:rsidR="001C359F" w:rsidRPr="003E3613">
        <w:rPr>
          <w:rStyle w:val="FootnoteReference"/>
          <w:rFonts w:ascii="Book Antiqua" w:hAnsi="Book Antiqua"/>
          <w:sz w:val="23"/>
          <w:szCs w:val="23"/>
          <w:lang w:val="en-GB"/>
        </w:rPr>
        <w:footnoteReference w:id="26"/>
      </w:r>
      <w:r w:rsidRPr="003E3613">
        <w:rPr>
          <w:rFonts w:ascii="Book Antiqua" w:hAnsi="Book Antiqua"/>
          <w:sz w:val="23"/>
          <w:szCs w:val="23"/>
          <w:lang w:val="en-GB"/>
        </w:rPr>
        <w:t xml:space="preserve"> also referred to in the </w:t>
      </w:r>
      <w:r w:rsidR="00306C68" w:rsidRPr="003E3613">
        <w:rPr>
          <w:rFonts w:ascii="Book Antiqua" w:hAnsi="Book Antiqua"/>
          <w:sz w:val="23"/>
          <w:szCs w:val="23"/>
          <w:lang w:val="en-GB"/>
        </w:rPr>
        <w:t>reasoned proposal</w:t>
      </w:r>
      <w:r w:rsidRPr="003E3613">
        <w:rPr>
          <w:rFonts w:ascii="Book Antiqua" w:hAnsi="Book Antiqua"/>
          <w:sz w:val="23"/>
          <w:szCs w:val="23"/>
          <w:lang w:val="en-GB"/>
        </w:rPr>
        <w:t>, the corruption is among the most problematic factors for doing business in Hungary (14</w:t>
      </w:r>
      <w:r w:rsidR="00306C68" w:rsidRPr="003E3613">
        <w:rPr>
          <w:rFonts w:ascii="Book Antiqua" w:hAnsi="Book Antiqua"/>
          <w:sz w:val="23"/>
          <w:szCs w:val="23"/>
          <w:lang w:val="en-GB"/>
        </w:rPr>
        <w:t>.</w:t>
      </w:r>
      <w:r w:rsidRPr="003E3613">
        <w:rPr>
          <w:rFonts w:ascii="Book Antiqua" w:hAnsi="Book Antiqua"/>
          <w:sz w:val="23"/>
          <w:szCs w:val="23"/>
          <w:lang w:val="en-GB"/>
        </w:rPr>
        <w:t xml:space="preserve">9 scores). However, it should also be noted, on the one hand, that there are other EU Member States, where this factor </w:t>
      </w:r>
      <w:r w:rsidR="009419DF" w:rsidRPr="003E3613">
        <w:rPr>
          <w:rFonts w:ascii="Book Antiqua" w:hAnsi="Book Antiqua"/>
          <w:sz w:val="23"/>
          <w:szCs w:val="23"/>
          <w:lang w:val="en-GB"/>
        </w:rPr>
        <w:t xml:space="preserve">was </w:t>
      </w:r>
      <w:r w:rsidRPr="003E3613">
        <w:rPr>
          <w:rFonts w:ascii="Book Antiqua" w:hAnsi="Book Antiqua"/>
          <w:sz w:val="23"/>
          <w:szCs w:val="23"/>
          <w:lang w:val="en-GB"/>
        </w:rPr>
        <w:t xml:space="preserve">even more problematic </w:t>
      </w:r>
    </w:p>
    <w:p w14:paraId="4C64BE7A" w14:textId="77777777" w:rsidR="00274ABB" w:rsidRDefault="00274ABB">
      <w:pPr>
        <w:rPr>
          <w:rFonts w:ascii="Book Antiqua" w:hAnsi="Book Antiqua"/>
          <w:sz w:val="23"/>
          <w:szCs w:val="23"/>
          <w:lang w:val="en-GB"/>
        </w:rPr>
      </w:pPr>
      <w:r>
        <w:rPr>
          <w:rFonts w:ascii="Book Antiqua" w:hAnsi="Book Antiqua"/>
          <w:sz w:val="23"/>
          <w:szCs w:val="23"/>
          <w:lang w:val="en-GB"/>
        </w:rPr>
        <w:br w:type="page"/>
      </w:r>
    </w:p>
    <w:p w14:paraId="40F32E00" w14:textId="26635947" w:rsidR="00311428" w:rsidRPr="003E3613" w:rsidRDefault="00311428"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 xml:space="preserve">than in Hungary. </w:t>
      </w:r>
      <w:r w:rsidR="00EC6037" w:rsidRPr="003E3613">
        <w:rPr>
          <w:rFonts w:ascii="Book Antiqua" w:hAnsi="Book Antiqua"/>
          <w:sz w:val="23"/>
          <w:szCs w:val="23"/>
          <w:lang w:val="en-GB"/>
        </w:rPr>
        <w:t>Therefor</w:t>
      </w:r>
      <w:r w:rsidR="009419DF" w:rsidRPr="003E3613">
        <w:rPr>
          <w:rFonts w:ascii="Book Antiqua" w:hAnsi="Book Antiqua"/>
          <w:sz w:val="23"/>
          <w:szCs w:val="23"/>
          <w:lang w:val="en-GB"/>
        </w:rPr>
        <w:t>e,</w:t>
      </w:r>
      <w:r w:rsidR="00EC6037" w:rsidRPr="003E3613">
        <w:rPr>
          <w:rFonts w:ascii="Book Antiqua" w:hAnsi="Book Antiqua"/>
          <w:sz w:val="23"/>
          <w:szCs w:val="23"/>
          <w:lang w:val="en-GB"/>
        </w:rPr>
        <w:t xml:space="preserve"> it would be worth observing the overall European context, and not just pick out the negative statistical data concerning </w:t>
      </w:r>
      <w:r w:rsidR="009419DF" w:rsidRPr="003E3613">
        <w:rPr>
          <w:rFonts w:ascii="Book Antiqua" w:hAnsi="Book Antiqua"/>
          <w:sz w:val="23"/>
          <w:szCs w:val="23"/>
          <w:lang w:val="en-GB"/>
        </w:rPr>
        <w:t>one Member State</w:t>
      </w:r>
      <w:r w:rsidR="00EC6037" w:rsidRPr="003E3613">
        <w:rPr>
          <w:rFonts w:ascii="Book Antiqua" w:hAnsi="Book Antiqua"/>
          <w:sz w:val="23"/>
          <w:szCs w:val="23"/>
          <w:lang w:val="en-GB"/>
        </w:rPr>
        <w:t>.</w:t>
      </w:r>
      <w:r w:rsidR="00A87E05" w:rsidRPr="003E3613">
        <w:rPr>
          <w:rFonts w:ascii="Book Antiqua" w:hAnsi="Book Antiqua"/>
          <w:sz w:val="23"/>
          <w:szCs w:val="23"/>
          <w:lang w:val="en-GB"/>
        </w:rPr>
        <w:t xml:space="preserve"> </w:t>
      </w:r>
      <w:r w:rsidRPr="003E3613">
        <w:rPr>
          <w:rFonts w:ascii="Book Antiqua" w:hAnsi="Book Antiqua"/>
          <w:sz w:val="23"/>
          <w:szCs w:val="23"/>
          <w:lang w:val="en-GB"/>
        </w:rPr>
        <w:t xml:space="preserve">On the other hand, even if there are EU Member States with better scores, it should also be kept in mind the methodology used in the Global Competitiveness Report, which might negatively affect the comparability of the factual situation of corruption in the Member States. </w:t>
      </w:r>
      <w:r w:rsidR="009419DF" w:rsidRPr="003E3613">
        <w:rPr>
          <w:rFonts w:ascii="Book Antiqua" w:hAnsi="Book Antiqua"/>
          <w:sz w:val="23"/>
          <w:szCs w:val="23"/>
          <w:lang w:val="en-GB"/>
        </w:rPr>
        <w:t>R</w:t>
      </w:r>
      <w:r w:rsidRPr="003E3613">
        <w:rPr>
          <w:rFonts w:ascii="Book Antiqua" w:hAnsi="Book Antiqua"/>
          <w:sz w:val="23"/>
          <w:szCs w:val="23"/>
          <w:lang w:val="en-GB"/>
        </w:rPr>
        <w:t>espondents to the World Economic Forum's Executive Opinion Survey were asked to select the five most problematic factors for doing business in their country and to rank them between 1 (most problematic) and 5. This means that the factor of corruption was only one of the several factors of doing business. Consequently, it might happen that despite the factual corruption situations are the same in Member States ‘A’ and ‘B’, the competitiveness report shows a better result concerning corruption in Member State ‘B</w:t>
      </w:r>
      <w:r w:rsidR="00AB38F5" w:rsidRPr="003E3613">
        <w:rPr>
          <w:rFonts w:ascii="Book Antiqua" w:hAnsi="Book Antiqua"/>
          <w:sz w:val="23"/>
          <w:szCs w:val="23"/>
          <w:lang w:val="en-GB"/>
        </w:rPr>
        <w:t>’</w:t>
      </w:r>
      <w:r w:rsidRPr="003E3613">
        <w:rPr>
          <w:rFonts w:ascii="Book Antiqua" w:hAnsi="Book Antiqua"/>
          <w:sz w:val="23"/>
          <w:szCs w:val="23"/>
          <w:lang w:val="en-GB"/>
        </w:rPr>
        <w:t>, in case the other factors (tax rates, tax regulation, bureaucracy</w:t>
      </w:r>
      <w:r w:rsidR="009419DF" w:rsidRPr="003E3613">
        <w:rPr>
          <w:rFonts w:ascii="Book Antiqua" w:hAnsi="Book Antiqua"/>
          <w:sz w:val="23"/>
          <w:szCs w:val="23"/>
          <w:lang w:val="en-GB"/>
        </w:rPr>
        <w:t>,</w:t>
      </w:r>
      <w:r w:rsidRPr="003E3613">
        <w:rPr>
          <w:rFonts w:ascii="Book Antiqua" w:hAnsi="Book Antiqua"/>
          <w:sz w:val="23"/>
          <w:szCs w:val="23"/>
          <w:lang w:val="en-GB"/>
        </w:rPr>
        <w:t xml:space="preserve"> </w:t>
      </w:r>
      <w:r w:rsidR="00522CE5" w:rsidRPr="003E3613">
        <w:rPr>
          <w:rFonts w:ascii="Book Antiqua" w:hAnsi="Book Antiqua"/>
          <w:sz w:val="23"/>
          <w:szCs w:val="23"/>
          <w:lang w:val="en-GB"/>
        </w:rPr>
        <w:t>etc.</w:t>
      </w:r>
      <w:r w:rsidRPr="003E3613">
        <w:rPr>
          <w:rFonts w:ascii="Book Antiqua" w:hAnsi="Book Antiqua"/>
          <w:sz w:val="23"/>
          <w:szCs w:val="23"/>
          <w:lang w:val="en-GB"/>
        </w:rPr>
        <w:t>) are even more problematic for the business actors than in Member State ‘A’.</w:t>
      </w:r>
    </w:p>
    <w:p w14:paraId="4C38984E" w14:textId="77777777" w:rsidR="00311428" w:rsidRPr="003E3613" w:rsidRDefault="00311428" w:rsidP="00204696">
      <w:pPr>
        <w:spacing w:after="0"/>
        <w:jc w:val="both"/>
        <w:rPr>
          <w:rFonts w:ascii="Book Antiqua" w:hAnsi="Book Antiqua"/>
          <w:sz w:val="23"/>
          <w:szCs w:val="23"/>
          <w:lang w:val="en-GB"/>
        </w:rPr>
      </w:pPr>
    </w:p>
    <w:p w14:paraId="3237CE2A" w14:textId="77777777" w:rsidR="001B3775" w:rsidRPr="003E3613" w:rsidRDefault="002F5F40"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Hungarian Government takes firm measures to prevent corruption. Hungary has adopted several two-year National Anti-Corruption Programs; however, their implementation is still ongoing. The National Anti-Corruption Program of 2015-2016 mainly concentrated on public administration, while the Program of 2017-2018 draws up regulatory tasks for budgetary authorities, local governments, companies and police authorities. </w:t>
      </w:r>
      <w:r w:rsidR="001B3775" w:rsidRPr="003E3613">
        <w:rPr>
          <w:rFonts w:ascii="Book Antiqua" w:hAnsi="Book Antiqua"/>
          <w:sz w:val="23"/>
          <w:szCs w:val="23"/>
          <w:lang w:val="en-GB"/>
        </w:rPr>
        <w:t>The Program applies an overall approach to the prevention of corruption and sets priorities by defining the following objectives: increasing the resistance of the organisations, transparency, public procurements, asset declarations of public servants, improving administrative procedures, creating clean business life, training and education, raising awareness, and fighting corruption in the field of law enforcement.</w:t>
      </w:r>
    </w:p>
    <w:p w14:paraId="21ECF554" w14:textId="77777777" w:rsidR="001B3775" w:rsidRPr="003E3613" w:rsidRDefault="001B3775" w:rsidP="00204696">
      <w:pPr>
        <w:spacing w:after="0"/>
        <w:jc w:val="both"/>
        <w:rPr>
          <w:rFonts w:ascii="Book Antiqua" w:hAnsi="Book Antiqua"/>
          <w:sz w:val="23"/>
          <w:szCs w:val="23"/>
          <w:lang w:val="en-GB"/>
        </w:rPr>
      </w:pPr>
    </w:p>
    <w:p w14:paraId="1A8C69B7" w14:textId="77777777" w:rsidR="001B3775" w:rsidRPr="003E3613" w:rsidRDefault="001B3775" w:rsidP="00204696">
      <w:pPr>
        <w:spacing w:after="0"/>
        <w:jc w:val="both"/>
        <w:rPr>
          <w:rFonts w:ascii="Book Antiqua" w:hAnsi="Book Antiqua"/>
          <w:sz w:val="23"/>
          <w:szCs w:val="23"/>
          <w:lang w:val="en-GB"/>
        </w:rPr>
      </w:pPr>
      <w:r w:rsidRPr="003E3613">
        <w:rPr>
          <w:rFonts w:ascii="Book Antiqua" w:hAnsi="Book Antiqua"/>
          <w:sz w:val="23"/>
          <w:szCs w:val="23"/>
          <w:lang w:val="en-GB"/>
        </w:rPr>
        <w:t>The Program encompassed a wide range of measures: value-based and compliance-based (e.g. legislative) processes. Its corruption prevention measures reached a large section of the society. Tailor-made measures were implemented involving different actors from students to businesses. Hungary has implemented a complex package of measures over the last four years. The National Protective Service (NPS), an independent service within the Police in charge of detecting and preventing crimes committed by law enforcement officials and coordinating the government tasks relating to anti-corruption, has conducted a number of awareness-raising initiatives on anti-corruption, ethics and integrity, which have targeted public officials and private companies.</w:t>
      </w:r>
    </w:p>
    <w:p w14:paraId="17C04EED" w14:textId="77777777" w:rsidR="001B3775" w:rsidRPr="003E3613" w:rsidRDefault="001B3775" w:rsidP="00204696">
      <w:pPr>
        <w:spacing w:after="0"/>
        <w:jc w:val="both"/>
        <w:rPr>
          <w:rFonts w:ascii="Book Antiqua" w:hAnsi="Book Antiqua"/>
          <w:sz w:val="23"/>
          <w:szCs w:val="23"/>
          <w:lang w:val="en-GB"/>
        </w:rPr>
      </w:pPr>
    </w:p>
    <w:p w14:paraId="47A08B7A" w14:textId="77777777" w:rsidR="001B3775" w:rsidRPr="003E3613" w:rsidRDefault="001B3775" w:rsidP="00204696">
      <w:pPr>
        <w:spacing w:after="0"/>
        <w:jc w:val="both"/>
        <w:rPr>
          <w:rFonts w:ascii="Book Antiqua" w:hAnsi="Book Antiqua"/>
          <w:sz w:val="23"/>
          <w:szCs w:val="23"/>
          <w:lang w:val="en-GB"/>
        </w:rPr>
      </w:pPr>
      <w:r w:rsidRPr="003E3613">
        <w:rPr>
          <w:rFonts w:ascii="Book Antiqua" w:hAnsi="Book Antiqua"/>
          <w:sz w:val="23"/>
          <w:szCs w:val="23"/>
          <w:lang w:val="en-GB"/>
        </w:rPr>
        <w:t>As part of the Program the National University for Public Service provided a broad range of education and training programmes for public servants including both e-learning and traditional methods. In 2015 and 2016 almost 10.000 persons attended different courses on corruption prevention, integrity and ethics. As for the law enforcement education, more than 50.000 staff members participated at different e-learning and traditional classroom anti-corruption courses.</w:t>
      </w:r>
    </w:p>
    <w:p w14:paraId="751395B1" w14:textId="77777777" w:rsidR="001B3775" w:rsidRPr="003E3613" w:rsidRDefault="001B3775" w:rsidP="00204696">
      <w:pPr>
        <w:spacing w:after="0"/>
        <w:jc w:val="both"/>
        <w:rPr>
          <w:rFonts w:ascii="Book Antiqua" w:hAnsi="Book Antiqua"/>
          <w:sz w:val="23"/>
          <w:szCs w:val="23"/>
          <w:lang w:val="en-GB"/>
        </w:rPr>
      </w:pPr>
    </w:p>
    <w:p w14:paraId="0B62A75B" w14:textId="77777777" w:rsidR="002F5F40" w:rsidRPr="003E3613" w:rsidRDefault="001B3775"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evaluation of the National Anti-Corruption Program and the elaboration of the new strategy is under way. The objectives of the new strategy strive to highlight the intervention </w:t>
      </w:r>
      <w:r w:rsidRPr="003E3613">
        <w:rPr>
          <w:rFonts w:ascii="Book Antiqua" w:hAnsi="Book Antiqua"/>
          <w:sz w:val="23"/>
          <w:szCs w:val="23"/>
          <w:lang w:val="en-GB"/>
        </w:rPr>
        <w:lastRenderedPageBreak/>
        <w:t xml:space="preserve">points along which the next four-year term program is based. The intervention areas are planned to be divided into three main areas: technology-based, compliance-based and value-based measures. </w:t>
      </w:r>
      <w:r w:rsidR="002F5F40" w:rsidRPr="003E3613">
        <w:rPr>
          <w:rFonts w:ascii="Book Antiqua" w:hAnsi="Book Antiqua"/>
          <w:sz w:val="23"/>
          <w:szCs w:val="23"/>
          <w:lang w:val="en-GB"/>
        </w:rPr>
        <w:t>Furthermore, national legislation is also suitable to take effective steps against corruption, for example the regulation of corruption offences in the Criminal Code in force.</w:t>
      </w:r>
    </w:p>
    <w:p w14:paraId="62BB11DE" w14:textId="77777777" w:rsidR="002F5F40" w:rsidRPr="003E3613" w:rsidRDefault="002F5F40" w:rsidP="00204696">
      <w:pPr>
        <w:spacing w:after="0"/>
        <w:jc w:val="both"/>
        <w:rPr>
          <w:rFonts w:ascii="Book Antiqua" w:hAnsi="Book Antiqua"/>
          <w:sz w:val="23"/>
          <w:szCs w:val="23"/>
          <w:lang w:val="en-GB"/>
        </w:rPr>
      </w:pPr>
    </w:p>
    <w:p w14:paraId="3DA95A40" w14:textId="77777777" w:rsidR="001B3775" w:rsidRPr="003E3613" w:rsidRDefault="001B3775"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It is worth underlining that Hungary joined the International Anti-Corruption Academy (IACA) in September 2010, initiated by the United Nations, Interpol, the European Anti-Fraud Office (OLAF) and Austria. This is the world's first educational institution dedicated to the fight against corruption. In 2019 Hungary has made a voluntary contribution of EUR 10,000 to IACA’s general budget to support the </w:t>
      </w:r>
      <w:r w:rsidR="00BD0A8B" w:rsidRPr="003E3613">
        <w:rPr>
          <w:rFonts w:ascii="Book Antiqua" w:hAnsi="Book Antiqua"/>
          <w:sz w:val="23"/>
          <w:szCs w:val="23"/>
          <w:lang w:val="en-GB"/>
        </w:rPr>
        <w:t>organisation</w:t>
      </w:r>
      <w:r w:rsidRPr="003E3613">
        <w:rPr>
          <w:rFonts w:ascii="Book Antiqua" w:hAnsi="Book Antiqua"/>
          <w:sz w:val="23"/>
          <w:szCs w:val="23"/>
          <w:lang w:val="en-GB"/>
        </w:rPr>
        <w:t>’s work in empowering anti-corruption and compliance professionals across the globe. This new contribution will facilitate the implementation of IACA’s education, training, and capacity-building activities under its current Work Programme 2017 - 2020.</w:t>
      </w:r>
    </w:p>
    <w:p w14:paraId="24F8129B" w14:textId="77777777" w:rsidR="001B3775" w:rsidRPr="003E3613" w:rsidRDefault="001B3775" w:rsidP="00204696">
      <w:pPr>
        <w:spacing w:after="0"/>
        <w:jc w:val="both"/>
        <w:rPr>
          <w:rFonts w:ascii="Book Antiqua" w:hAnsi="Book Antiqua"/>
          <w:sz w:val="23"/>
          <w:szCs w:val="23"/>
          <w:lang w:val="en-GB"/>
        </w:rPr>
      </w:pPr>
    </w:p>
    <w:p w14:paraId="5BEE977A" w14:textId="77777777" w:rsidR="002F5F40" w:rsidRPr="003E3613" w:rsidRDefault="002F5F40" w:rsidP="00204696">
      <w:pPr>
        <w:spacing w:after="0"/>
        <w:jc w:val="both"/>
        <w:rPr>
          <w:rFonts w:ascii="Book Antiqua" w:hAnsi="Book Antiqua"/>
          <w:sz w:val="23"/>
          <w:szCs w:val="23"/>
          <w:lang w:val="en-GB"/>
        </w:rPr>
      </w:pPr>
      <w:r w:rsidRPr="003E3613">
        <w:rPr>
          <w:rFonts w:ascii="Book Antiqua" w:hAnsi="Book Antiqua"/>
          <w:sz w:val="23"/>
          <w:szCs w:val="23"/>
          <w:lang w:val="en-GB"/>
        </w:rPr>
        <w:t>The Global Competitiveness Report mentioned by the report also reveals that the level of corruption is higher</w:t>
      </w:r>
      <w:r w:rsidR="00A63AE1" w:rsidRPr="003E3613">
        <w:rPr>
          <w:rFonts w:ascii="Book Antiqua" w:hAnsi="Book Antiqua"/>
          <w:sz w:val="23"/>
          <w:szCs w:val="23"/>
          <w:lang w:val="en-GB"/>
        </w:rPr>
        <w:t xml:space="preserve"> in several other Member States</w:t>
      </w:r>
      <w:r w:rsidRPr="003E3613">
        <w:rPr>
          <w:rFonts w:ascii="Book Antiqua" w:hAnsi="Book Antiqua"/>
          <w:sz w:val="23"/>
          <w:szCs w:val="23"/>
          <w:lang w:val="en-GB"/>
        </w:rPr>
        <w:t xml:space="preserve">, than in Hungary, therefore it would be worth observing the overall European context, and not just pick out the negative statistical data concerning Hungary. </w:t>
      </w:r>
    </w:p>
    <w:p w14:paraId="6B3614FC" w14:textId="77777777" w:rsidR="002F5F40" w:rsidRPr="003E3613" w:rsidRDefault="002F5F40" w:rsidP="00204696">
      <w:pPr>
        <w:spacing w:after="0"/>
        <w:jc w:val="both"/>
        <w:rPr>
          <w:rFonts w:ascii="Book Antiqua" w:hAnsi="Book Antiqua"/>
          <w:sz w:val="23"/>
          <w:szCs w:val="23"/>
          <w:lang w:val="en-GB"/>
        </w:rPr>
      </w:pPr>
    </w:p>
    <w:p w14:paraId="14CFF672" w14:textId="77777777" w:rsidR="002F5F40" w:rsidRPr="003E3613" w:rsidRDefault="002F5F40" w:rsidP="00204696">
      <w:pPr>
        <w:spacing w:after="0"/>
        <w:jc w:val="both"/>
        <w:rPr>
          <w:rFonts w:ascii="Book Antiqua" w:hAnsi="Book Antiqua"/>
          <w:sz w:val="23"/>
          <w:szCs w:val="23"/>
          <w:lang w:val="en-GB"/>
        </w:rPr>
      </w:pPr>
      <w:r w:rsidRPr="003E3613">
        <w:rPr>
          <w:rFonts w:ascii="Book Antiqua" w:hAnsi="Book Antiqua"/>
          <w:sz w:val="23"/>
          <w:szCs w:val="23"/>
          <w:lang w:val="en-GB"/>
        </w:rPr>
        <w:t>In Hungary, public administration agencies have been working with integrity consultants since 2013. These consultants provide ethical advices to officials turning to them. Since November 2016, National Defence Agency, co-financed by the European Union, organizes trainings, workshops and conferences on topics relevant to the prevention of corruption with the participation of local government leaders, including political leaders.</w:t>
      </w:r>
    </w:p>
    <w:p w14:paraId="092E204D" w14:textId="77777777" w:rsidR="002F5F40" w:rsidRPr="003E3613" w:rsidRDefault="002F5F40" w:rsidP="00204696">
      <w:pPr>
        <w:spacing w:after="0"/>
        <w:jc w:val="both"/>
        <w:rPr>
          <w:rFonts w:ascii="Book Antiqua" w:hAnsi="Book Antiqua"/>
          <w:sz w:val="23"/>
          <w:szCs w:val="23"/>
          <w:lang w:val="en-GB"/>
        </w:rPr>
      </w:pPr>
    </w:p>
    <w:p w14:paraId="4999D5E1" w14:textId="77777777" w:rsidR="002F5F40" w:rsidRPr="003E3613" w:rsidRDefault="002F5F40" w:rsidP="00204696">
      <w:pPr>
        <w:spacing w:after="0"/>
        <w:jc w:val="both"/>
        <w:rPr>
          <w:rFonts w:ascii="Book Antiqua" w:hAnsi="Book Antiqua"/>
          <w:sz w:val="23"/>
          <w:szCs w:val="23"/>
          <w:lang w:val="en-GB"/>
        </w:rPr>
      </w:pPr>
      <w:r w:rsidRPr="003E3613">
        <w:rPr>
          <w:rFonts w:ascii="Book Antiqua" w:hAnsi="Book Antiqua"/>
          <w:sz w:val="23"/>
          <w:szCs w:val="23"/>
          <w:lang w:val="en-GB"/>
        </w:rPr>
        <w:t>Since the fall of the communist regime, there have been continuous political aspirations for the implementation of targeted actions against corruption</w:t>
      </w:r>
      <w:r w:rsidR="00AB38F5" w:rsidRPr="003E3613">
        <w:rPr>
          <w:rFonts w:ascii="Book Antiqua" w:hAnsi="Book Antiqua"/>
          <w:sz w:val="23"/>
          <w:szCs w:val="23"/>
          <w:lang w:val="en-GB"/>
        </w:rPr>
        <w:t xml:space="preserve"> in Hungary</w:t>
      </w:r>
      <w:r w:rsidRPr="003E3613">
        <w:rPr>
          <w:rFonts w:ascii="Book Antiqua" w:hAnsi="Book Antiqua"/>
          <w:sz w:val="23"/>
          <w:szCs w:val="23"/>
          <w:lang w:val="en-GB"/>
        </w:rPr>
        <w:t xml:space="preserve">. To this end, government decisions were adopted and Hungary joined the major anti-corruption conventions (OECD – </w:t>
      </w:r>
      <w:hyperlink r:id="rId23" w:history="1">
        <w:r w:rsidRPr="003E3613">
          <w:rPr>
            <w:rFonts w:ascii="Book Antiqua" w:hAnsi="Book Antiqua"/>
            <w:sz w:val="23"/>
            <w:szCs w:val="23"/>
            <w:lang w:val="en-GB"/>
          </w:rPr>
          <w:t>Convention on Combating Bribery of Foreign Public Officials</w:t>
        </w:r>
      </w:hyperlink>
      <w:r w:rsidRPr="003E3613">
        <w:rPr>
          <w:rFonts w:ascii="Book Antiqua" w:hAnsi="Book Antiqua"/>
          <w:sz w:val="23"/>
          <w:szCs w:val="23"/>
          <w:lang w:val="en-GB"/>
        </w:rPr>
        <w:t>, Council of Europe – Criminal Law Convention on Corruption, Civil Law Convention on Corruption, United Nations – Convention against Corruption, IACA – International Anti-Corruption Academy).</w:t>
      </w:r>
    </w:p>
    <w:p w14:paraId="2DAF0383" w14:textId="77777777" w:rsidR="001B3775" w:rsidRPr="003E3613" w:rsidRDefault="001B3775" w:rsidP="00204696">
      <w:pPr>
        <w:spacing w:after="0"/>
        <w:jc w:val="both"/>
        <w:rPr>
          <w:rFonts w:ascii="Book Antiqua" w:hAnsi="Book Antiqua"/>
          <w:sz w:val="23"/>
          <w:szCs w:val="23"/>
          <w:lang w:val="en-GB"/>
        </w:rPr>
      </w:pPr>
    </w:p>
    <w:p w14:paraId="5868F410" w14:textId="77777777" w:rsidR="00A117C9" w:rsidRDefault="001B3775"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In 2011, competences of the Central Investigative Prosecutor's Office have been extended to include criminal proceedings seeking to target moral crimes within the public sphere. In January 2016 the General Department for Special Cases of Corruption and Organized Crime, containing a Department for Corruption was established. Thereby, such criminal cases have since gained special attention, as well as a more concentrated professional </w:t>
      </w:r>
    </w:p>
    <w:p w14:paraId="276F9A01" w14:textId="77777777" w:rsidR="00A117C9" w:rsidRDefault="00A117C9">
      <w:pPr>
        <w:rPr>
          <w:rFonts w:ascii="Book Antiqua" w:hAnsi="Book Antiqua"/>
          <w:sz w:val="23"/>
          <w:szCs w:val="23"/>
          <w:lang w:val="en-GB"/>
        </w:rPr>
      </w:pPr>
      <w:r>
        <w:rPr>
          <w:rFonts w:ascii="Book Antiqua" w:hAnsi="Book Antiqua"/>
          <w:sz w:val="23"/>
          <w:szCs w:val="23"/>
          <w:lang w:val="en-GB"/>
        </w:rPr>
        <w:br w:type="page"/>
      </w:r>
    </w:p>
    <w:p w14:paraId="2E268C36" w14:textId="4D67F004" w:rsidR="001B3775" w:rsidRPr="003E3613" w:rsidRDefault="001B3775"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workforce seeking to target the issue. The new Criminal Proce</w:t>
      </w:r>
      <w:r w:rsidR="004E08B5" w:rsidRPr="003E3613">
        <w:rPr>
          <w:rFonts w:ascii="Book Antiqua" w:hAnsi="Book Antiqua"/>
          <w:sz w:val="23"/>
          <w:szCs w:val="23"/>
          <w:lang w:val="en-GB"/>
        </w:rPr>
        <w:t>dure Code</w:t>
      </w:r>
      <w:r w:rsidRPr="003E3613">
        <w:rPr>
          <w:rFonts w:ascii="Book Antiqua" w:hAnsi="Book Antiqua"/>
          <w:sz w:val="23"/>
          <w:szCs w:val="23"/>
          <w:lang w:val="en-GB"/>
        </w:rPr>
        <w:t xml:space="preserve"> valid from July 1 2018 has redefined the category of cases handled exclusively by the Prosecutor’s Office to ensure that any corruption-related investigation involving a suspect holding public office will be managed exclusively by the Prosecutor’s Office, contrary to previous practice. The efficiency of discovering corruption-related crimes increased. The table below demonstrates that in 2018, the number of corruption-related criminal proceedings increased compared to the data from the three previous years.</w:t>
      </w:r>
    </w:p>
    <w:p w14:paraId="17DDC25F" w14:textId="77777777" w:rsidR="001B3775" w:rsidRPr="003E3613" w:rsidRDefault="001B3775" w:rsidP="00204696">
      <w:pPr>
        <w:spacing w:after="0"/>
        <w:jc w:val="both"/>
        <w:rPr>
          <w:rFonts w:ascii="Book Antiqua" w:hAnsi="Book Antiqua"/>
          <w:sz w:val="23"/>
          <w:szCs w:val="23"/>
          <w:lang w:val="en-GB"/>
        </w:rPr>
      </w:pPr>
    </w:p>
    <w:tbl>
      <w:tblPr>
        <w:tblW w:w="0" w:type="auto"/>
        <w:tblInd w:w="55" w:type="dxa"/>
        <w:tblCellMar>
          <w:left w:w="70" w:type="dxa"/>
          <w:right w:w="70" w:type="dxa"/>
        </w:tblCellMar>
        <w:tblLook w:val="00A0" w:firstRow="1" w:lastRow="0" w:firstColumn="1" w:lastColumn="0" w:noHBand="0" w:noVBand="0"/>
      </w:tblPr>
      <w:tblGrid>
        <w:gridCol w:w="7549"/>
        <w:gridCol w:w="460"/>
        <w:gridCol w:w="460"/>
        <w:gridCol w:w="460"/>
        <w:gridCol w:w="532"/>
      </w:tblGrid>
      <w:tr w:rsidR="001B3775" w:rsidRPr="003E3613" w14:paraId="09351D48" w14:textId="77777777" w:rsidTr="004B64DB">
        <w:trPr>
          <w:trHeight w:val="1005"/>
        </w:trPr>
        <w:tc>
          <w:tcPr>
            <w:tcW w:w="0" w:type="auto"/>
            <w:tcBorders>
              <w:top w:val="single" w:sz="8" w:space="0" w:color="auto"/>
              <w:left w:val="single" w:sz="8" w:space="0" w:color="auto"/>
              <w:bottom w:val="single" w:sz="8" w:space="0" w:color="auto"/>
              <w:right w:val="single" w:sz="8" w:space="0" w:color="auto"/>
            </w:tcBorders>
            <w:shd w:val="clear" w:color="auto" w:fill="C6D9F1"/>
            <w:vAlign w:val="bottom"/>
          </w:tcPr>
          <w:p w14:paraId="31766651" w14:textId="77777777" w:rsidR="001B3775" w:rsidRPr="003E3613" w:rsidRDefault="001B3775" w:rsidP="00204696">
            <w:pPr>
              <w:spacing w:after="0"/>
              <w:jc w:val="center"/>
              <w:rPr>
                <w:rFonts w:ascii="Book Antiqua" w:hAnsi="Book Antiqua"/>
                <w:b/>
                <w:bCs/>
                <w:sz w:val="16"/>
                <w:szCs w:val="16"/>
                <w:lang w:val="en-GB"/>
              </w:rPr>
            </w:pPr>
            <w:r w:rsidRPr="003E3613">
              <w:rPr>
                <w:rFonts w:ascii="Book Antiqua" w:hAnsi="Book Antiqua"/>
                <w:b/>
                <w:bCs/>
                <w:sz w:val="16"/>
                <w:szCs w:val="16"/>
                <w:lang w:val="en-GB"/>
              </w:rPr>
              <w:t>Number of criminal proceedings related to corruption, sorted into categories by type of court decision</w:t>
            </w:r>
          </w:p>
        </w:tc>
        <w:tc>
          <w:tcPr>
            <w:tcW w:w="0" w:type="auto"/>
            <w:tcBorders>
              <w:top w:val="single" w:sz="8" w:space="0" w:color="auto"/>
              <w:left w:val="nil"/>
              <w:bottom w:val="single" w:sz="8" w:space="0" w:color="auto"/>
              <w:right w:val="single" w:sz="4" w:space="0" w:color="auto"/>
            </w:tcBorders>
            <w:shd w:val="clear" w:color="auto" w:fill="C6D9F1"/>
            <w:noWrap/>
            <w:vAlign w:val="center"/>
          </w:tcPr>
          <w:p w14:paraId="264006EC" w14:textId="77777777" w:rsidR="001B3775" w:rsidRPr="003E3613" w:rsidRDefault="001B3775" w:rsidP="00204696">
            <w:pPr>
              <w:spacing w:after="0"/>
              <w:jc w:val="center"/>
              <w:rPr>
                <w:rFonts w:ascii="Book Antiqua" w:hAnsi="Book Antiqua"/>
                <w:b/>
                <w:bCs/>
                <w:sz w:val="16"/>
                <w:szCs w:val="16"/>
                <w:lang w:val="en-GB"/>
              </w:rPr>
            </w:pPr>
            <w:r w:rsidRPr="003E3613">
              <w:rPr>
                <w:rFonts w:ascii="Book Antiqua" w:hAnsi="Book Antiqua"/>
                <w:b/>
                <w:bCs/>
                <w:sz w:val="16"/>
                <w:szCs w:val="16"/>
                <w:lang w:val="en-GB"/>
              </w:rPr>
              <w:t>2015</w:t>
            </w:r>
          </w:p>
        </w:tc>
        <w:tc>
          <w:tcPr>
            <w:tcW w:w="0" w:type="auto"/>
            <w:tcBorders>
              <w:top w:val="single" w:sz="8" w:space="0" w:color="auto"/>
              <w:left w:val="nil"/>
              <w:bottom w:val="single" w:sz="8" w:space="0" w:color="auto"/>
              <w:right w:val="single" w:sz="4" w:space="0" w:color="auto"/>
            </w:tcBorders>
            <w:shd w:val="clear" w:color="auto" w:fill="C6D9F1"/>
            <w:noWrap/>
            <w:vAlign w:val="center"/>
          </w:tcPr>
          <w:p w14:paraId="015648E1" w14:textId="77777777" w:rsidR="001B3775" w:rsidRPr="003E3613" w:rsidRDefault="001B3775" w:rsidP="00204696">
            <w:pPr>
              <w:spacing w:after="0"/>
              <w:jc w:val="center"/>
              <w:rPr>
                <w:rFonts w:ascii="Book Antiqua" w:hAnsi="Book Antiqua"/>
                <w:b/>
                <w:bCs/>
                <w:sz w:val="16"/>
                <w:szCs w:val="16"/>
                <w:lang w:val="en-GB"/>
              </w:rPr>
            </w:pPr>
            <w:r w:rsidRPr="003E3613">
              <w:rPr>
                <w:rFonts w:ascii="Book Antiqua" w:hAnsi="Book Antiqua"/>
                <w:b/>
                <w:bCs/>
                <w:sz w:val="16"/>
                <w:szCs w:val="16"/>
                <w:lang w:val="en-GB"/>
              </w:rPr>
              <w:t>2016</w:t>
            </w:r>
          </w:p>
        </w:tc>
        <w:tc>
          <w:tcPr>
            <w:tcW w:w="0" w:type="auto"/>
            <w:tcBorders>
              <w:top w:val="single" w:sz="8" w:space="0" w:color="auto"/>
              <w:left w:val="nil"/>
              <w:bottom w:val="single" w:sz="8" w:space="0" w:color="auto"/>
              <w:right w:val="single" w:sz="4" w:space="0" w:color="auto"/>
            </w:tcBorders>
            <w:shd w:val="clear" w:color="auto" w:fill="C6D9F1"/>
            <w:noWrap/>
            <w:vAlign w:val="center"/>
          </w:tcPr>
          <w:p w14:paraId="66369B9B" w14:textId="77777777" w:rsidR="001B3775" w:rsidRPr="003E3613" w:rsidRDefault="001B3775" w:rsidP="00204696">
            <w:pPr>
              <w:spacing w:after="0"/>
              <w:jc w:val="center"/>
              <w:rPr>
                <w:rFonts w:ascii="Book Antiqua" w:hAnsi="Book Antiqua"/>
                <w:b/>
                <w:bCs/>
                <w:sz w:val="16"/>
                <w:szCs w:val="16"/>
                <w:lang w:val="en-GB"/>
              </w:rPr>
            </w:pPr>
            <w:r w:rsidRPr="003E3613">
              <w:rPr>
                <w:rFonts w:ascii="Book Antiqua" w:hAnsi="Book Antiqua"/>
                <w:b/>
                <w:bCs/>
                <w:sz w:val="16"/>
                <w:szCs w:val="16"/>
                <w:lang w:val="en-GB"/>
              </w:rPr>
              <w:t>2017</w:t>
            </w:r>
          </w:p>
        </w:tc>
        <w:tc>
          <w:tcPr>
            <w:tcW w:w="0" w:type="auto"/>
            <w:tcBorders>
              <w:top w:val="single" w:sz="8" w:space="0" w:color="auto"/>
              <w:left w:val="nil"/>
              <w:bottom w:val="single" w:sz="8" w:space="0" w:color="auto"/>
              <w:right w:val="single" w:sz="8" w:space="0" w:color="auto"/>
            </w:tcBorders>
            <w:shd w:val="clear" w:color="auto" w:fill="C6D9F1"/>
            <w:noWrap/>
            <w:vAlign w:val="center"/>
          </w:tcPr>
          <w:p w14:paraId="57FC682B" w14:textId="77777777" w:rsidR="001B3775" w:rsidRPr="003E3613" w:rsidRDefault="001B3775" w:rsidP="00204696">
            <w:pPr>
              <w:spacing w:after="0"/>
              <w:jc w:val="center"/>
              <w:rPr>
                <w:rFonts w:ascii="Book Antiqua" w:hAnsi="Book Antiqua"/>
                <w:b/>
                <w:bCs/>
                <w:sz w:val="16"/>
                <w:szCs w:val="16"/>
                <w:lang w:val="en-GB"/>
              </w:rPr>
            </w:pPr>
            <w:r w:rsidRPr="003E3613">
              <w:rPr>
                <w:rFonts w:ascii="Book Antiqua" w:hAnsi="Book Antiqua"/>
                <w:b/>
                <w:bCs/>
                <w:sz w:val="16"/>
                <w:szCs w:val="16"/>
                <w:lang w:val="en-GB"/>
              </w:rPr>
              <w:t>2018*</w:t>
            </w:r>
          </w:p>
        </w:tc>
      </w:tr>
      <w:tr w:rsidR="001B3775" w:rsidRPr="003E3613" w14:paraId="5375EF37" w14:textId="77777777" w:rsidTr="004B64DB">
        <w:trPr>
          <w:trHeight w:val="315"/>
        </w:trPr>
        <w:tc>
          <w:tcPr>
            <w:tcW w:w="0" w:type="auto"/>
            <w:tcBorders>
              <w:top w:val="nil"/>
              <w:left w:val="single" w:sz="8" w:space="0" w:color="auto"/>
              <w:bottom w:val="single" w:sz="4" w:space="0" w:color="auto"/>
              <w:right w:val="single" w:sz="8" w:space="0" w:color="auto"/>
            </w:tcBorders>
            <w:noWrap/>
            <w:vAlign w:val="bottom"/>
          </w:tcPr>
          <w:p w14:paraId="55B0F699" w14:textId="77777777" w:rsidR="001B3775" w:rsidRPr="003E3613" w:rsidRDefault="001B3775" w:rsidP="00204696">
            <w:pPr>
              <w:spacing w:after="0"/>
              <w:rPr>
                <w:rFonts w:ascii="Book Antiqua" w:hAnsi="Book Antiqua"/>
                <w:sz w:val="16"/>
                <w:szCs w:val="16"/>
                <w:lang w:val="en-GB"/>
              </w:rPr>
            </w:pPr>
            <w:r w:rsidRPr="003E3613">
              <w:rPr>
                <w:rFonts w:ascii="Book Antiqua" w:hAnsi="Book Antiqua"/>
                <w:sz w:val="16"/>
                <w:szCs w:val="16"/>
                <w:lang w:val="en-GB"/>
              </w:rPr>
              <w:t>Denounciation rejected</w:t>
            </w:r>
          </w:p>
        </w:tc>
        <w:tc>
          <w:tcPr>
            <w:tcW w:w="0" w:type="auto"/>
            <w:tcBorders>
              <w:top w:val="nil"/>
              <w:left w:val="nil"/>
              <w:bottom w:val="single" w:sz="4" w:space="0" w:color="auto"/>
              <w:right w:val="single" w:sz="4" w:space="0" w:color="auto"/>
            </w:tcBorders>
            <w:noWrap/>
            <w:vAlign w:val="bottom"/>
          </w:tcPr>
          <w:p w14:paraId="00F12234"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148</w:t>
            </w:r>
          </w:p>
        </w:tc>
        <w:tc>
          <w:tcPr>
            <w:tcW w:w="0" w:type="auto"/>
            <w:tcBorders>
              <w:top w:val="nil"/>
              <w:left w:val="nil"/>
              <w:bottom w:val="single" w:sz="4" w:space="0" w:color="auto"/>
              <w:right w:val="single" w:sz="4" w:space="0" w:color="auto"/>
            </w:tcBorders>
            <w:noWrap/>
            <w:vAlign w:val="bottom"/>
          </w:tcPr>
          <w:p w14:paraId="3DB9D778"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107</w:t>
            </w:r>
          </w:p>
        </w:tc>
        <w:tc>
          <w:tcPr>
            <w:tcW w:w="0" w:type="auto"/>
            <w:tcBorders>
              <w:top w:val="nil"/>
              <w:left w:val="nil"/>
              <w:bottom w:val="single" w:sz="4" w:space="0" w:color="auto"/>
              <w:right w:val="single" w:sz="4" w:space="0" w:color="auto"/>
            </w:tcBorders>
            <w:noWrap/>
            <w:vAlign w:val="bottom"/>
          </w:tcPr>
          <w:p w14:paraId="1D8BE160"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77</w:t>
            </w:r>
          </w:p>
        </w:tc>
        <w:tc>
          <w:tcPr>
            <w:tcW w:w="0" w:type="auto"/>
            <w:tcBorders>
              <w:top w:val="nil"/>
              <w:left w:val="nil"/>
              <w:bottom w:val="single" w:sz="4" w:space="0" w:color="auto"/>
              <w:right w:val="single" w:sz="8" w:space="0" w:color="auto"/>
            </w:tcBorders>
            <w:noWrap/>
            <w:vAlign w:val="bottom"/>
          </w:tcPr>
          <w:p w14:paraId="1A51E975"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108</w:t>
            </w:r>
          </w:p>
        </w:tc>
      </w:tr>
      <w:tr w:rsidR="001B3775" w:rsidRPr="003E3613" w14:paraId="4A824832" w14:textId="77777777" w:rsidTr="004B64DB">
        <w:trPr>
          <w:trHeight w:val="315"/>
        </w:trPr>
        <w:tc>
          <w:tcPr>
            <w:tcW w:w="0" w:type="auto"/>
            <w:tcBorders>
              <w:top w:val="nil"/>
              <w:left w:val="single" w:sz="8" w:space="0" w:color="auto"/>
              <w:bottom w:val="single" w:sz="4" w:space="0" w:color="auto"/>
              <w:right w:val="single" w:sz="8" w:space="0" w:color="auto"/>
            </w:tcBorders>
            <w:noWrap/>
            <w:vAlign w:val="bottom"/>
          </w:tcPr>
          <w:p w14:paraId="6E66F648" w14:textId="77777777" w:rsidR="001B3775" w:rsidRPr="003E3613" w:rsidRDefault="001B3775" w:rsidP="00204696">
            <w:pPr>
              <w:spacing w:after="0"/>
              <w:rPr>
                <w:rFonts w:ascii="Book Antiqua" w:hAnsi="Book Antiqua"/>
                <w:sz w:val="16"/>
                <w:szCs w:val="16"/>
                <w:lang w:val="en-GB"/>
              </w:rPr>
            </w:pPr>
            <w:r w:rsidRPr="003E3613">
              <w:rPr>
                <w:rFonts w:ascii="Book Antiqua" w:hAnsi="Book Antiqua"/>
                <w:sz w:val="16"/>
                <w:szCs w:val="16"/>
                <w:lang w:val="en-GB"/>
              </w:rPr>
              <w:t>Investigation cancelled</w:t>
            </w:r>
          </w:p>
        </w:tc>
        <w:tc>
          <w:tcPr>
            <w:tcW w:w="0" w:type="auto"/>
            <w:tcBorders>
              <w:top w:val="nil"/>
              <w:left w:val="nil"/>
              <w:bottom w:val="single" w:sz="4" w:space="0" w:color="auto"/>
              <w:right w:val="single" w:sz="4" w:space="0" w:color="auto"/>
            </w:tcBorders>
            <w:noWrap/>
            <w:vAlign w:val="bottom"/>
          </w:tcPr>
          <w:p w14:paraId="7F03182C"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426</w:t>
            </w:r>
          </w:p>
        </w:tc>
        <w:tc>
          <w:tcPr>
            <w:tcW w:w="0" w:type="auto"/>
            <w:tcBorders>
              <w:top w:val="nil"/>
              <w:left w:val="nil"/>
              <w:bottom w:val="single" w:sz="4" w:space="0" w:color="auto"/>
              <w:right w:val="single" w:sz="4" w:space="0" w:color="auto"/>
            </w:tcBorders>
            <w:noWrap/>
            <w:vAlign w:val="bottom"/>
          </w:tcPr>
          <w:p w14:paraId="34C33F1B"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360</w:t>
            </w:r>
          </w:p>
        </w:tc>
        <w:tc>
          <w:tcPr>
            <w:tcW w:w="0" w:type="auto"/>
            <w:tcBorders>
              <w:top w:val="nil"/>
              <w:left w:val="nil"/>
              <w:bottom w:val="single" w:sz="4" w:space="0" w:color="auto"/>
              <w:right w:val="single" w:sz="4" w:space="0" w:color="auto"/>
            </w:tcBorders>
            <w:noWrap/>
            <w:vAlign w:val="bottom"/>
          </w:tcPr>
          <w:p w14:paraId="4158B0AC"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257</w:t>
            </w:r>
          </w:p>
        </w:tc>
        <w:tc>
          <w:tcPr>
            <w:tcW w:w="0" w:type="auto"/>
            <w:tcBorders>
              <w:top w:val="nil"/>
              <w:left w:val="nil"/>
              <w:bottom w:val="single" w:sz="4" w:space="0" w:color="auto"/>
              <w:right w:val="single" w:sz="8" w:space="0" w:color="auto"/>
            </w:tcBorders>
            <w:noWrap/>
            <w:vAlign w:val="bottom"/>
          </w:tcPr>
          <w:p w14:paraId="027E835D"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424</w:t>
            </w:r>
          </w:p>
        </w:tc>
      </w:tr>
      <w:tr w:rsidR="001B3775" w:rsidRPr="003E3613" w14:paraId="0917083D" w14:textId="77777777" w:rsidTr="004B64DB">
        <w:trPr>
          <w:trHeight w:val="315"/>
        </w:trPr>
        <w:tc>
          <w:tcPr>
            <w:tcW w:w="0" w:type="auto"/>
            <w:tcBorders>
              <w:top w:val="nil"/>
              <w:left w:val="single" w:sz="8" w:space="0" w:color="auto"/>
              <w:bottom w:val="single" w:sz="4" w:space="0" w:color="auto"/>
              <w:right w:val="single" w:sz="8" w:space="0" w:color="auto"/>
            </w:tcBorders>
            <w:noWrap/>
            <w:vAlign w:val="bottom"/>
          </w:tcPr>
          <w:p w14:paraId="031895F7" w14:textId="77777777" w:rsidR="001B3775" w:rsidRPr="003E3613" w:rsidRDefault="001B3775" w:rsidP="00204696">
            <w:pPr>
              <w:spacing w:after="0"/>
              <w:rPr>
                <w:rFonts w:ascii="Book Antiqua" w:hAnsi="Book Antiqua"/>
                <w:sz w:val="16"/>
                <w:szCs w:val="16"/>
                <w:lang w:val="en-GB"/>
              </w:rPr>
            </w:pPr>
            <w:r w:rsidRPr="003E3613">
              <w:rPr>
                <w:rFonts w:ascii="Book Antiqua" w:hAnsi="Book Antiqua"/>
                <w:sz w:val="16"/>
                <w:szCs w:val="16"/>
                <w:lang w:val="en-GB"/>
              </w:rPr>
              <w:t>Prosecution</w:t>
            </w:r>
          </w:p>
        </w:tc>
        <w:tc>
          <w:tcPr>
            <w:tcW w:w="0" w:type="auto"/>
            <w:tcBorders>
              <w:top w:val="nil"/>
              <w:left w:val="nil"/>
              <w:bottom w:val="single" w:sz="4" w:space="0" w:color="auto"/>
              <w:right w:val="single" w:sz="4" w:space="0" w:color="auto"/>
            </w:tcBorders>
            <w:noWrap/>
            <w:vAlign w:val="bottom"/>
          </w:tcPr>
          <w:p w14:paraId="613DC925"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719</w:t>
            </w:r>
          </w:p>
        </w:tc>
        <w:tc>
          <w:tcPr>
            <w:tcW w:w="0" w:type="auto"/>
            <w:tcBorders>
              <w:top w:val="nil"/>
              <w:left w:val="nil"/>
              <w:bottom w:val="single" w:sz="4" w:space="0" w:color="auto"/>
              <w:right w:val="single" w:sz="4" w:space="0" w:color="auto"/>
            </w:tcBorders>
            <w:noWrap/>
            <w:vAlign w:val="bottom"/>
          </w:tcPr>
          <w:p w14:paraId="1A5A74ED"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925</w:t>
            </w:r>
          </w:p>
        </w:tc>
        <w:tc>
          <w:tcPr>
            <w:tcW w:w="0" w:type="auto"/>
            <w:tcBorders>
              <w:top w:val="nil"/>
              <w:left w:val="nil"/>
              <w:bottom w:val="single" w:sz="4" w:space="0" w:color="auto"/>
              <w:right w:val="single" w:sz="4" w:space="0" w:color="auto"/>
            </w:tcBorders>
            <w:noWrap/>
            <w:vAlign w:val="bottom"/>
          </w:tcPr>
          <w:p w14:paraId="1B446278"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1082</w:t>
            </w:r>
          </w:p>
        </w:tc>
        <w:tc>
          <w:tcPr>
            <w:tcW w:w="0" w:type="auto"/>
            <w:tcBorders>
              <w:top w:val="nil"/>
              <w:left w:val="nil"/>
              <w:bottom w:val="single" w:sz="4" w:space="0" w:color="auto"/>
              <w:right w:val="single" w:sz="8" w:space="0" w:color="auto"/>
            </w:tcBorders>
            <w:noWrap/>
            <w:vAlign w:val="bottom"/>
          </w:tcPr>
          <w:p w14:paraId="29825C2E"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2069</w:t>
            </w:r>
          </w:p>
        </w:tc>
      </w:tr>
      <w:tr w:rsidR="001B3775" w:rsidRPr="003E3613" w14:paraId="25C9F947" w14:textId="77777777" w:rsidTr="004B64DB">
        <w:trPr>
          <w:trHeight w:val="315"/>
        </w:trPr>
        <w:tc>
          <w:tcPr>
            <w:tcW w:w="0" w:type="auto"/>
            <w:tcBorders>
              <w:top w:val="nil"/>
              <w:left w:val="single" w:sz="8" w:space="0" w:color="auto"/>
              <w:bottom w:val="single" w:sz="4" w:space="0" w:color="auto"/>
              <w:right w:val="single" w:sz="8" w:space="0" w:color="auto"/>
            </w:tcBorders>
            <w:noWrap/>
            <w:vAlign w:val="bottom"/>
          </w:tcPr>
          <w:p w14:paraId="53A3B020" w14:textId="77777777" w:rsidR="001B3775" w:rsidRPr="003E3613" w:rsidRDefault="001B3775" w:rsidP="00204696">
            <w:pPr>
              <w:spacing w:after="0"/>
              <w:rPr>
                <w:rFonts w:ascii="Book Antiqua" w:hAnsi="Book Antiqua"/>
                <w:sz w:val="16"/>
                <w:szCs w:val="16"/>
                <w:lang w:val="en-GB"/>
              </w:rPr>
            </w:pPr>
            <w:r w:rsidRPr="003E3613">
              <w:rPr>
                <w:rFonts w:ascii="Book Antiqua" w:hAnsi="Book Antiqua"/>
                <w:sz w:val="16"/>
                <w:szCs w:val="16"/>
                <w:lang w:val="en-GB"/>
              </w:rPr>
              <w:t>Other outcome</w:t>
            </w:r>
          </w:p>
        </w:tc>
        <w:tc>
          <w:tcPr>
            <w:tcW w:w="0" w:type="auto"/>
            <w:tcBorders>
              <w:top w:val="nil"/>
              <w:left w:val="nil"/>
              <w:bottom w:val="single" w:sz="4" w:space="0" w:color="auto"/>
              <w:right w:val="single" w:sz="4" w:space="0" w:color="auto"/>
            </w:tcBorders>
            <w:noWrap/>
            <w:vAlign w:val="bottom"/>
          </w:tcPr>
          <w:p w14:paraId="49A89CA8"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17</w:t>
            </w:r>
          </w:p>
        </w:tc>
        <w:tc>
          <w:tcPr>
            <w:tcW w:w="0" w:type="auto"/>
            <w:tcBorders>
              <w:top w:val="nil"/>
              <w:left w:val="nil"/>
              <w:bottom w:val="single" w:sz="4" w:space="0" w:color="auto"/>
              <w:right w:val="single" w:sz="4" w:space="0" w:color="auto"/>
            </w:tcBorders>
            <w:noWrap/>
            <w:vAlign w:val="bottom"/>
          </w:tcPr>
          <w:p w14:paraId="648EBB7C"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17</w:t>
            </w:r>
          </w:p>
        </w:tc>
        <w:tc>
          <w:tcPr>
            <w:tcW w:w="0" w:type="auto"/>
            <w:tcBorders>
              <w:top w:val="nil"/>
              <w:left w:val="nil"/>
              <w:bottom w:val="single" w:sz="4" w:space="0" w:color="auto"/>
              <w:right w:val="single" w:sz="4" w:space="0" w:color="auto"/>
            </w:tcBorders>
            <w:noWrap/>
            <w:vAlign w:val="bottom"/>
          </w:tcPr>
          <w:p w14:paraId="52BB77CF"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100</w:t>
            </w:r>
          </w:p>
        </w:tc>
        <w:tc>
          <w:tcPr>
            <w:tcW w:w="0" w:type="auto"/>
            <w:tcBorders>
              <w:top w:val="nil"/>
              <w:left w:val="nil"/>
              <w:bottom w:val="single" w:sz="4" w:space="0" w:color="auto"/>
              <w:right w:val="single" w:sz="8" w:space="0" w:color="auto"/>
            </w:tcBorders>
            <w:noWrap/>
            <w:vAlign w:val="bottom"/>
          </w:tcPr>
          <w:p w14:paraId="7CF03263"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15</w:t>
            </w:r>
          </w:p>
        </w:tc>
      </w:tr>
      <w:tr w:rsidR="001B3775" w:rsidRPr="003E3613" w14:paraId="523E9B08" w14:textId="77777777" w:rsidTr="004B64DB">
        <w:trPr>
          <w:trHeight w:val="330"/>
        </w:trPr>
        <w:tc>
          <w:tcPr>
            <w:tcW w:w="0" w:type="auto"/>
            <w:tcBorders>
              <w:top w:val="nil"/>
              <w:left w:val="single" w:sz="8" w:space="0" w:color="auto"/>
              <w:bottom w:val="single" w:sz="8" w:space="0" w:color="auto"/>
              <w:right w:val="single" w:sz="8" w:space="0" w:color="auto"/>
            </w:tcBorders>
            <w:noWrap/>
            <w:vAlign w:val="bottom"/>
          </w:tcPr>
          <w:p w14:paraId="506CCF44" w14:textId="77777777" w:rsidR="001B3775" w:rsidRPr="003E3613" w:rsidRDefault="001B3775" w:rsidP="00204696">
            <w:pPr>
              <w:spacing w:after="0"/>
              <w:rPr>
                <w:rFonts w:ascii="Book Antiqua" w:hAnsi="Book Antiqua"/>
                <w:sz w:val="16"/>
                <w:szCs w:val="16"/>
                <w:lang w:val="en-GB"/>
              </w:rPr>
            </w:pPr>
            <w:r w:rsidRPr="003E3613">
              <w:rPr>
                <w:rFonts w:ascii="Book Antiqua" w:hAnsi="Book Antiqua"/>
                <w:sz w:val="16"/>
                <w:szCs w:val="16"/>
                <w:lang w:val="en-GB"/>
              </w:rPr>
              <w:t>Diversion</w:t>
            </w:r>
          </w:p>
        </w:tc>
        <w:tc>
          <w:tcPr>
            <w:tcW w:w="0" w:type="auto"/>
            <w:tcBorders>
              <w:top w:val="nil"/>
              <w:left w:val="nil"/>
              <w:bottom w:val="single" w:sz="8" w:space="0" w:color="auto"/>
              <w:right w:val="single" w:sz="4" w:space="0" w:color="auto"/>
            </w:tcBorders>
            <w:noWrap/>
            <w:vAlign w:val="bottom"/>
          </w:tcPr>
          <w:p w14:paraId="79583F90" w14:textId="77777777" w:rsidR="001B3775" w:rsidRPr="003E3613" w:rsidRDefault="001B3775" w:rsidP="00204696">
            <w:pPr>
              <w:spacing w:after="0"/>
              <w:rPr>
                <w:rFonts w:ascii="Book Antiqua" w:hAnsi="Book Antiqua"/>
                <w:sz w:val="16"/>
                <w:szCs w:val="16"/>
                <w:lang w:val="en-GB"/>
              </w:rPr>
            </w:pPr>
            <w:r w:rsidRPr="003E3613">
              <w:rPr>
                <w:rFonts w:ascii="Book Antiqua" w:hAnsi="Book Antiqua"/>
                <w:sz w:val="16"/>
                <w:szCs w:val="16"/>
                <w:lang w:val="en-GB"/>
              </w:rPr>
              <w:t> </w:t>
            </w:r>
          </w:p>
        </w:tc>
        <w:tc>
          <w:tcPr>
            <w:tcW w:w="0" w:type="auto"/>
            <w:tcBorders>
              <w:top w:val="nil"/>
              <w:left w:val="nil"/>
              <w:bottom w:val="single" w:sz="8" w:space="0" w:color="auto"/>
              <w:right w:val="single" w:sz="4" w:space="0" w:color="auto"/>
            </w:tcBorders>
            <w:noWrap/>
            <w:vAlign w:val="bottom"/>
          </w:tcPr>
          <w:p w14:paraId="498B6BAD" w14:textId="77777777" w:rsidR="001B3775" w:rsidRPr="003E3613" w:rsidRDefault="001B3775" w:rsidP="00204696">
            <w:pPr>
              <w:spacing w:after="0"/>
              <w:rPr>
                <w:rFonts w:ascii="Book Antiqua" w:hAnsi="Book Antiqua"/>
                <w:sz w:val="16"/>
                <w:szCs w:val="16"/>
                <w:lang w:val="en-GB"/>
              </w:rPr>
            </w:pPr>
            <w:r w:rsidRPr="003E3613">
              <w:rPr>
                <w:rFonts w:ascii="Book Antiqua" w:hAnsi="Book Antiqua"/>
                <w:sz w:val="16"/>
                <w:szCs w:val="16"/>
                <w:lang w:val="en-GB"/>
              </w:rPr>
              <w:t> </w:t>
            </w:r>
          </w:p>
        </w:tc>
        <w:tc>
          <w:tcPr>
            <w:tcW w:w="0" w:type="auto"/>
            <w:tcBorders>
              <w:top w:val="nil"/>
              <w:left w:val="nil"/>
              <w:bottom w:val="single" w:sz="8" w:space="0" w:color="auto"/>
              <w:right w:val="single" w:sz="4" w:space="0" w:color="auto"/>
            </w:tcBorders>
            <w:noWrap/>
            <w:vAlign w:val="bottom"/>
          </w:tcPr>
          <w:p w14:paraId="04AEA923"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13</w:t>
            </w:r>
          </w:p>
        </w:tc>
        <w:tc>
          <w:tcPr>
            <w:tcW w:w="0" w:type="auto"/>
            <w:tcBorders>
              <w:top w:val="nil"/>
              <w:left w:val="nil"/>
              <w:bottom w:val="single" w:sz="8" w:space="0" w:color="auto"/>
              <w:right w:val="single" w:sz="8" w:space="0" w:color="auto"/>
            </w:tcBorders>
            <w:noWrap/>
            <w:vAlign w:val="bottom"/>
          </w:tcPr>
          <w:p w14:paraId="3B9B5CA9" w14:textId="77777777" w:rsidR="001B3775" w:rsidRPr="003E3613" w:rsidRDefault="001B3775" w:rsidP="00204696">
            <w:pPr>
              <w:spacing w:after="0"/>
              <w:jc w:val="right"/>
              <w:rPr>
                <w:rFonts w:ascii="Book Antiqua" w:hAnsi="Book Antiqua"/>
                <w:sz w:val="16"/>
                <w:szCs w:val="16"/>
                <w:lang w:val="en-GB"/>
              </w:rPr>
            </w:pPr>
            <w:r w:rsidRPr="003E3613">
              <w:rPr>
                <w:rFonts w:ascii="Book Antiqua" w:hAnsi="Book Antiqua"/>
                <w:sz w:val="16"/>
                <w:szCs w:val="16"/>
                <w:lang w:val="en-GB"/>
              </w:rPr>
              <w:t>2</w:t>
            </w:r>
          </w:p>
        </w:tc>
      </w:tr>
      <w:tr w:rsidR="001B3775" w:rsidRPr="003E3613" w14:paraId="068EC2F7" w14:textId="77777777" w:rsidTr="004B64DB">
        <w:trPr>
          <w:trHeight w:val="330"/>
        </w:trPr>
        <w:tc>
          <w:tcPr>
            <w:tcW w:w="0" w:type="auto"/>
            <w:tcBorders>
              <w:top w:val="nil"/>
              <w:left w:val="single" w:sz="8" w:space="0" w:color="auto"/>
              <w:bottom w:val="single" w:sz="8" w:space="0" w:color="auto"/>
              <w:right w:val="single" w:sz="8" w:space="0" w:color="auto"/>
            </w:tcBorders>
            <w:noWrap/>
            <w:vAlign w:val="bottom"/>
          </w:tcPr>
          <w:p w14:paraId="46CE615D" w14:textId="77777777" w:rsidR="001B3775" w:rsidRPr="003E3613" w:rsidRDefault="001B3775" w:rsidP="00204696">
            <w:pPr>
              <w:spacing w:after="0"/>
              <w:rPr>
                <w:rFonts w:ascii="Book Antiqua" w:hAnsi="Book Antiqua"/>
                <w:b/>
                <w:bCs/>
                <w:sz w:val="16"/>
                <w:szCs w:val="16"/>
                <w:lang w:val="en-GB"/>
              </w:rPr>
            </w:pPr>
            <w:r w:rsidRPr="003E3613">
              <w:rPr>
                <w:rFonts w:ascii="Book Antiqua" w:hAnsi="Book Antiqua"/>
                <w:b/>
                <w:bCs/>
                <w:sz w:val="16"/>
                <w:szCs w:val="16"/>
                <w:lang w:val="en-GB"/>
              </w:rPr>
              <w:t>Total:</w:t>
            </w:r>
          </w:p>
        </w:tc>
        <w:tc>
          <w:tcPr>
            <w:tcW w:w="0" w:type="auto"/>
            <w:tcBorders>
              <w:top w:val="nil"/>
              <w:left w:val="nil"/>
              <w:bottom w:val="single" w:sz="8" w:space="0" w:color="auto"/>
              <w:right w:val="single" w:sz="4" w:space="0" w:color="auto"/>
            </w:tcBorders>
            <w:noWrap/>
            <w:vAlign w:val="bottom"/>
          </w:tcPr>
          <w:p w14:paraId="767A165B" w14:textId="77777777" w:rsidR="001B3775" w:rsidRPr="003E3613" w:rsidRDefault="001B3775" w:rsidP="00204696">
            <w:pPr>
              <w:spacing w:after="0"/>
              <w:jc w:val="right"/>
              <w:rPr>
                <w:rFonts w:ascii="Book Antiqua" w:hAnsi="Book Antiqua"/>
                <w:b/>
                <w:bCs/>
                <w:sz w:val="16"/>
                <w:szCs w:val="16"/>
                <w:lang w:val="en-GB"/>
              </w:rPr>
            </w:pPr>
            <w:r w:rsidRPr="003E3613">
              <w:rPr>
                <w:rFonts w:ascii="Book Antiqua" w:hAnsi="Book Antiqua"/>
                <w:b/>
                <w:bCs/>
                <w:sz w:val="16"/>
                <w:szCs w:val="16"/>
                <w:lang w:val="en-GB"/>
              </w:rPr>
              <w:t>1310</w:t>
            </w:r>
          </w:p>
        </w:tc>
        <w:tc>
          <w:tcPr>
            <w:tcW w:w="0" w:type="auto"/>
            <w:tcBorders>
              <w:top w:val="nil"/>
              <w:left w:val="nil"/>
              <w:bottom w:val="single" w:sz="8" w:space="0" w:color="auto"/>
              <w:right w:val="single" w:sz="4" w:space="0" w:color="auto"/>
            </w:tcBorders>
            <w:noWrap/>
            <w:vAlign w:val="bottom"/>
          </w:tcPr>
          <w:p w14:paraId="44B89EA3" w14:textId="77777777" w:rsidR="001B3775" w:rsidRPr="003E3613" w:rsidRDefault="001B3775" w:rsidP="00204696">
            <w:pPr>
              <w:spacing w:after="0"/>
              <w:jc w:val="right"/>
              <w:rPr>
                <w:rFonts w:ascii="Book Antiqua" w:hAnsi="Book Antiqua"/>
                <w:b/>
                <w:bCs/>
                <w:sz w:val="16"/>
                <w:szCs w:val="16"/>
                <w:lang w:val="en-GB"/>
              </w:rPr>
            </w:pPr>
            <w:r w:rsidRPr="003E3613">
              <w:rPr>
                <w:rFonts w:ascii="Book Antiqua" w:hAnsi="Book Antiqua"/>
                <w:b/>
                <w:bCs/>
                <w:sz w:val="16"/>
                <w:szCs w:val="16"/>
                <w:lang w:val="en-GB"/>
              </w:rPr>
              <w:t>1409</w:t>
            </w:r>
          </w:p>
        </w:tc>
        <w:tc>
          <w:tcPr>
            <w:tcW w:w="0" w:type="auto"/>
            <w:tcBorders>
              <w:top w:val="nil"/>
              <w:left w:val="nil"/>
              <w:bottom w:val="single" w:sz="8" w:space="0" w:color="auto"/>
              <w:right w:val="single" w:sz="4" w:space="0" w:color="auto"/>
            </w:tcBorders>
            <w:noWrap/>
            <w:vAlign w:val="bottom"/>
          </w:tcPr>
          <w:p w14:paraId="79AABD89" w14:textId="77777777" w:rsidR="001B3775" w:rsidRPr="003E3613" w:rsidRDefault="001B3775" w:rsidP="00204696">
            <w:pPr>
              <w:spacing w:after="0"/>
              <w:jc w:val="right"/>
              <w:rPr>
                <w:rFonts w:ascii="Book Antiqua" w:hAnsi="Book Antiqua"/>
                <w:b/>
                <w:bCs/>
                <w:sz w:val="16"/>
                <w:szCs w:val="16"/>
                <w:lang w:val="en-GB"/>
              </w:rPr>
            </w:pPr>
            <w:r w:rsidRPr="003E3613">
              <w:rPr>
                <w:rFonts w:ascii="Book Antiqua" w:hAnsi="Book Antiqua"/>
                <w:b/>
                <w:bCs/>
                <w:sz w:val="16"/>
                <w:szCs w:val="16"/>
                <w:lang w:val="en-GB"/>
              </w:rPr>
              <w:t>1529</w:t>
            </w:r>
          </w:p>
        </w:tc>
        <w:tc>
          <w:tcPr>
            <w:tcW w:w="0" w:type="auto"/>
            <w:tcBorders>
              <w:top w:val="nil"/>
              <w:left w:val="nil"/>
              <w:bottom w:val="single" w:sz="8" w:space="0" w:color="auto"/>
              <w:right w:val="single" w:sz="8" w:space="0" w:color="auto"/>
            </w:tcBorders>
            <w:noWrap/>
            <w:vAlign w:val="bottom"/>
          </w:tcPr>
          <w:p w14:paraId="2636274F" w14:textId="77777777" w:rsidR="001B3775" w:rsidRPr="003E3613" w:rsidRDefault="001B3775" w:rsidP="00204696">
            <w:pPr>
              <w:spacing w:after="0"/>
              <w:jc w:val="right"/>
              <w:rPr>
                <w:rFonts w:ascii="Book Antiqua" w:hAnsi="Book Antiqua"/>
                <w:b/>
                <w:bCs/>
                <w:sz w:val="16"/>
                <w:szCs w:val="16"/>
                <w:lang w:val="en-GB"/>
              </w:rPr>
            </w:pPr>
            <w:r w:rsidRPr="003E3613">
              <w:rPr>
                <w:rFonts w:ascii="Book Antiqua" w:hAnsi="Book Antiqua"/>
                <w:b/>
                <w:bCs/>
                <w:sz w:val="16"/>
                <w:szCs w:val="16"/>
                <w:lang w:val="en-GB"/>
              </w:rPr>
              <w:t>2407</w:t>
            </w:r>
          </w:p>
        </w:tc>
      </w:tr>
    </w:tbl>
    <w:p w14:paraId="2DDA393A" w14:textId="77777777" w:rsidR="001B3775" w:rsidRPr="003E3613" w:rsidRDefault="001B3775" w:rsidP="00204696">
      <w:pPr>
        <w:spacing w:after="0"/>
        <w:jc w:val="both"/>
        <w:rPr>
          <w:rFonts w:ascii="Book Antiqua" w:hAnsi="Book Antiqua"/>
          <w:sz w:val="23"/>
          <w:szCs w:val="23"/>
          <w:lang w:val="en-GB"/>
        </w:rPr>
      </w:pPr>
    </w:p>
    <w:p w14:paraId="27D22217" w14:textId="77777777" w:rsidR="001B3775" w:rsidRPr="003E3613" w:rsidRDefault="001B3775" w:rsidP="00204696">
      <w:pPr>
        <w:spacing w:after="0"/>
        <w:jc w:val="both"/>
        <w:rPr>
          <w:rFonts w:ascii="Book Antiqua" w:hAnsi="Book Antiqua"/>
          <w:sz w:val="23"/>
          <w:szCs w:val="23"/>
          <w:lang w:val="en-GB"/>
        </w:rPr>
      </w:pPr>
      <w:r w:rsidRPr="003E3613">
        <w:rPr>
          <w:rFonts w:ascii="Book Antiqua" w:hAnsi="Book Antiqua"/>
          <w:sz w:val="23"/>
          <w:szCs w:val="23"/>
          <w:lang w:val="en-GB"/>
        </w:rPr>
        <w:t>By the modification of the Police Act in 2011, a Reliability Test had been introduced, which is an example of the „integrity test” already well known in international practice. In this test, an artificially simulated situation likely to occur in real life is created, and the lawfulness of the action of the person concerned is investigated. As a result, considering the dissuasive effect of the procedure, public sphere corruption has significantly decreased.</w:t>
      </w:r>
    </w:p>
    <w:p w14:paraId="437292CA" w14:textId="77777777" w:rsidR="001B3775" w:rsidRPr="003E3613" w:rsidRDefault="001B3775" w:rsidP="00204696">
      <w:pPr>
        <w:spacing w:after="0"/>
        <w:jc w:val="both"/>
        <w:rPr>
          <w:rFonts w:ascii="Book Antiqua" w:hAnsi="Book Antiqua"/>
          <w:sz w:val="23"/>
          <w:szCs w:val="23"/>
          <w:lang w:val="en-GB"/>
        </w:rPr>
      </w:pPr>
    </w:p>
    <w:p w14:paraId="1D761F55" w14:textId="77777777" w:rsidR="002F5F40" w:rsidRPr="003E3613" w:rsidRDefault="002F5F40"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In Hungary, 97% of corruption charges end in sanctions or prosecutions. It is worth mentioning, that the European Commission previously stated in connection with the new regulation concerning the protection of whistle-blowers acting in the public interest, that with respect to 10 European countries no major legal harmonization is required due to their effective and detailed system. Hungary was among these 10 countries. </w:t>
      </w:r>
    </w:p>
    <w:p w14:paraId="579CD273" w14:textId="77777777" w:rsidR="00CE7DB3" w:rsidRPr="003E3613" w:rsidRDefault="00CE7DB3" w:rsidP="00204696">
      <w:pPr>
        <w:spacing w:after="0"/>
        <w:jc w:val="both"/>
        <w:rPr>
          <w:rFonts w:ascii="Book Antiqua" w:hAnsi="Book Antiqua"/>
          <w:i/>
          <w:sz w:val="23"/>
          <w:szCs w:val="23"/>
          <w:lang w:val="en-GB"/>
        </w:rPr>
      </w:pPr>
    </w:p>
    <w:p w14:paraId="36426610" w14:textId="77777777" w:rsidR="00FE58EF" w:rsidRPr="003E3613" w:rsidRDefault="000D0F81" w:rsidP="00204696">
      <w:pPr>
        <w:spacing w:after="0"/>
        <w:jc w:val="both"/>
        <w:rPr>
          <w:rFonts w:ascii="Book Antiqua" w:hAnsi="Book Antiqua"/>
          <w:b/>
          <w:sz w:val="23"/>
          <w:szCs w:val="23"/>
          <w:lang w:val="en-GB"/>
        </w:rPr>
      </w:pPr>
      <w:r w:rsidRPr="003E3613">
        <w:rPr>
          <w:rFonts w:ascii="Book Antiqua" w:hAnsi="Book Antiqua"/>
          <w:b/>
          <w:sz w:val="23"/>
          <w:szCs w:val="23"/>
          <w:lang w:val="en-GB"/>
        </w:rPr>
        <w:t>The rules concerning the conflict of interest and asset declarations of the members of the Hungarian National Assembly are one of the strictest in the European Union. Furthermore, the Hungarian Government takes firm measures to prevent corruption and national legislation is also suitable to take effective steps against corruption. Therefore, it is not justified to mention the elements of recitals 20-24 in a reasoned proposal requesting the Council to determine, pursuant to Article 7(1) of the Treaty on European Union, the existence of a clear risk of a serious breach by Hungary of the values on which the Union is founded.</w:t>
      </w:r>
    </w:p>
    <w:p w14:paraId="2C5236F3" w14:textId="77777777" w:rsidR="00FE58EF" w:rsidRPr="003E3613" w:rsidRDefault="00FE58EF" w:rsidP="00204696">
      <w:pPr>
        <w:spacing w:after="0"/>
        <w:jc w:val="both"/>
        <w:rPr>
          <w:rFonts w:ascii="Book Antiqua" w:hAnsi="Book Antiqua"/>
          <w:i/>
          <w:sz w:val="23"/>
          <w:szCs w:val="23"/>
          <w:lang w:val="en-GB"/>
        </w:rPr>
      </w:pPr>
    </w:p>
    <w:p w14:paraId="275D277A" w14:textId="77777777" w:rsidR="00204696" w:rsidRDefault="00204696">
      <w:pPr>
        <w:rPr>
          <w:rFonts w:ascii="Book Antiqua" w:eastAsiaTheme="majorEastAsia" w:hAnsi="Book Antiqua" w:cstheme="majorBidi"/>
          <w:b/>
          <w:bCs/>
          <w:sz w:val="23"/>
          <w:szCs w:val="23"/>
          <w:lang w:val="en-GB" w:eastAsia="en-US"/>
        </w:rPr>
      </w:pPr>
      <w:r>
        <w:rPr>
          <w:rFonts w:ascii="Book Antiqua" w:hAnsi="Book Antiqua"/>
          <w:sz w:val="23"/>
          <w:szCs w:val="23"/>
          <w:lang w:val="en-GB"/>
        </w:rPr>
        <w:br w:type="page"/>
      </w:r>
    </w:p>
    <w:p w14:paraId="6912D886" w14:textId="720AE76D" w:rsidR="00507F12" w:rsidRPr="003E3613" w:rsidRDefault="00507F12" w:rsidP="00204696">
      <w:pPr>
        <w:pStyle w:val="Heading1"/>
        <w:keepNext w:val="0"/>
        <w:keepLines w:val="0"/>
        <w:pBdr>
          <w:top w:val="single" w:sz="4" w:space="1" w:color="auto"/>
          <w:left w:val="single" w:sz="4" w:space="4" w:color="auto"/>
          <w:bottom w:val="single" w:sz="4" w:space="1" w:color="auto"/>
          <w:right w:val="single" w:sz="4" w:space="4" w:color="auto"/>
        </w:pBdr>
        <w:shd w:val="clear" w:color="auto" w:fill="C6D9F1" w:themeFill="text2" w:themeFillTint="33"/>
        <w:spacing w:before="0"/>
        <w:rPr>
          <w:rFonts w:ascii="Book Antiqua" w:hAnsi="Book Antiqua"/>
          <w:color w:val="auto"/>
          <w:sz w:val="23"/>
          <w:szCs w:val="23"/>
          <w:lang w:val="en-GB"/>
        </w:rPr>
      </w:pPr>
      <w:bookmarkStart w:id="23" w:name="_Toc19120784"/>
      <w:r w:rsidRPr="003E3613">
        <w:rPr>
          <w:rFonts w:ascii="Book Antiqua" w:hAnsi="Book Antiqua"/>
          <w:color w:val="auto"/>
          <w:sz w:val="23"/>
          <w:szCs w:val="23"/>
          <w:lang w:val="en-GB"/>
        </w:rPr>
        <w:lastRenderedPageBreak/>
        <w:t>Privacy and data protection</w:t>
      </w:r>
      <w:bookmarkEnd w:id="23"/>
    </w:p>
    <w:p w14:paraId="13097B21" w14:textId="77777777" w:rsidR="002B3E40" w:rsidRPr="003E3613" w:rsidRDefault="002B3E40" w:rsidP="00204696">
      <w:pPr>
        <w:spacing w:after="0"/>
        <w:jc w:val="both"/>
        <w:rPr>
          <w:rFonts w:ascii="Book Antiqua" w:hAnsi="Book Antiqua"/>
          <w:sz w:val="23"/>
          <w:szCs w:val="23"/>
          <w:lang w:val="en-GB"/>
        </w:rPr>
      </w:pPr>
    </w:p>
    <w:p w14:paraId="4C42911A" w14:textId="77777777" w:rsidR="00257BB1" w:rsidRPr="003E3613" w:rsidRDefault="00257BB1" w:rsidP="00204696">
      <w:pPr>
        <w:spacing w:after="0"/>
        <w:jc w:val="both"/>
        <w:rPr>
          <w:rFonts w:ascii="Book Antiqua" w:hAnsi="Book Antiqua"/>
          <w:sz w:val="23"/>
          <w:szCs w:val="23"/>
          <w:lang w:val="en-GB"/>
        </w:rPr>
      </w:pPr>
      <w:r w:rsidRPr="003E3613">
        <w:rPr>
          <w:rFonts w:ascii="Book Antiqua" w:hAnsi="Book Antiqua"/>
          <w:sz w:val="23"/>
          <w:szCs w:val="23"/>
          <w:lang w:val="en-GB"/>
        </w:rPr>
        <w:t>Within this context, it should be emphasised that the reconciliation of data protection and national/public security requirements is a global challenge and a key issue all across the EU as well. Besides, the Hungarian legal norms called into question by the European Court of Human Rights and the UN Human Rights Committee were in force already at the time of Hungary’s accession to the EU, and they cannot be regarded at all as reasons for launching an Article 7(1) TEU procedure. The competent Hungarian authorities have taken steps to bring the Hungarian law in line with the judgement of the European Court of Human Rights and with the recommendation of the UN Human Rights Committee. As regards secret surveillance, the Hungarian legislation currently in force already provides effective control mechanisms regarding its execution and ex-post control.</w:t>
      </w:r>
    </w:p>
    <w:p w14:paraId="30C56E62" w14:textId="77777777" w:rsidR="00257BB1" w:rsidRPr="003E3613" w:rsidRDefault="00257BB1" w:rsidP="00204696">
      <w:pPr>
        <w:spacing w:after="0"/>
        <w:jc w:val="both"/>
        <w:rPr>
          <w:rFonts w:ascii="Book Antiqua" w:hAnsi="Book Antiqua"/>
          <w:i/>
          <w:sz w:val="23"/>
          <w:szCs w:val="23"/>
          <w:lang w:val="en-GB"/>
        </w:rPr>
      </w:pPr>
    </w:p>
    <w:p w14:paraId="21287A93" w14:textId="77777777" w:rsidR="00257BB1" w:rsidRPr="003E3613" w:rsidRDefault="00257BB1" w:rsidP="00204696">
      <w:pPr>
        <w:pStyle w:val="Heading2"/>
        <w:keepNext w:val="0"/>
        <w:keepLines w:val="0"/>
        <w:spacing w:before="0"/>
        <w:rPr>
          <w:rFonts w:ascii="Book Antiqua" w:hAnsi="Book Antiqua"/>
          <w:color w:val="auto"/>
          <w:sz w:val="23"/>
          <w:szCs w:val="23"/>
          <w:lang w:val="en-GB"/>
        </w:rPr>
      </w:pPr>
      <w:bookmarkStart w:id="24" w:name="_Toc19120785"/>
      <w:r w:rsidRPr="003E3613">
        <w:rPr>
          <w:rFonts w:ascii="Book Antiqua" w:hAnsi="Book Antiqua"/>
          <w:color w:val="auto"/>
          <w:sz w:val="23"/>
          <w:szCs w:val="23"/>
          <w:lang w:val="en-GB"/>
        </w:rPr>
        <w:t>Violation of the respect for private life (Szabó and Vissy v. Hungary)</w:t>
      </w:r>
      <w:bookmarkEnd w:id="24"/>
    </w:p>
    <w:p w14:paraId="28F30C21" w14:textId="77777777" w:rsidR="00257BB1" w:rsidRPr="003E3613" w:rsidRDefault="00257BB1" w:rsidP="00204696">
      <w:pPr>
        <w:spacing w:after="0"/>
        <w:jc w:val="both"/>
        <w:rPr>
          <w:rFonts w:ascii="Book Antiqua" w:hAnsi="Book Antiqua"/>
          <w:i/>
          <w:sz w:val="23"/>
          <w:szCs w:val="23"/>
          <w:lang w:val="en-GB"/>
        </w:rPr>
      </w:pPr>
    </w:p>
    <w:p w14:paraId="0F2526B5" w14:textId="77777777" w:rsidR="00257BB1" w:rsidRPr="003E3613" w:rsidRDefault="00257BB1" w:rsidP="00204696">
      <w:pPr>
        <w:spacing w:after="0"/>
        <w:jc w:val="both"/>
        <w:rPr>
          <w:rFonts w:ascii="Book Antiqua" w:hAnsi="Book Antiqua"/>
          <w:i/>
          <w:sz w:val="23"/>
          <w:szCs w:val="23"/>
          <w:lang w:val="en-GB"/>
        </w:rPr>
      </w:pPr>
      <w:r w:rsidRPr="003E3613">
        <w:rPr>
          <w:rFonts w:ascii="Book Antiqua" w:hAnsi="Book Antiqua"/>
          <w:i/>
          <w:sz w:val="23"/>
          <w:szCs w:val="23"/>
          <w:lang w:val="en-GB"/>
        </w:rPr>
        <w:t>(25) In its judgment of 12 January 2016, Szabó and Vissy v. Hungary, the ECtHR found that the right to respect for private life was violated on account of the insufficient legal guarantees against possible unlawful secret surveillance for national security purposes, including related to the use of telecommunications. The applicants did not allege that they had been subjected to any secret surveillance measures, therefore no further individual measure appeared necessary. The amendment of the relevant legislation is necessary as a general measure. Proposals for amendment of the Act on National Security Services are currently being discussed by the experts of the competent ministries of Hungary. The execution of this judgment is, therefore, still pending.</w:t>
      </w:r>
    </w:p>
    <w:p w14:paraId="1F4AA3A1" w14:textId="77777777" w:rsidR="00257BB1" w:rsidRPr="003E3613" w:rsidRDefault="00257BB1" w:rsidP="00204696">
      <w:pPr>
        <w:spacing w:after="0"/>
        <w:jc w:val="both"/>
        <w:rPr>
          <w:rFonts w:ascii="Book Antiqua" w:hAnsi="Book Antiqua"/>
          <w:i/>
          <w:sz w:val="23"/>
          <w:szCs w:val="23"/>
          <w:lang w:val="en-GB"/>
        </w:rPr>
      </w:pPr>
    </w:p>
    <w:p w14:paraId="0D7421F8" w14:textId="77777777" w:rsidR="00257BB1" w:rsidRPr="003E3613" w:rsidRDefault="00257BB1"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Referring to the judgment of the ECtHR of 12 January 2016 in the case “Szabó and Vissy v. Hungary”, the European Parliament raised an important and sensitive question discussed in many countries, namely the balance between two equally important constitutional principles, </w:t>
      </w:r>
      <w:r w:rsidRPr="003E3613">
        <w:rPr>
          <w:rFonts w:ascii="Book Antiqua" w:hAnsi="Book Antiqua"/>
          <w:i/>
          <w:sz w:val="23"/>
          <w:szCs w:val="23"/>
          <w:lang w:val="en-GB"/>
        </w:rPr>
        <w:t>i.e.</w:t>
      </w:r>
      <w:r w:rsidRPr="003E3613">
        <w:rPr>
          <w:rFonts w:ascii="Book Antiqua" w:hAnsi="Book Antiqua"/>
          <w:sz w:val="23"/>
          <w:szCs w:val="23"/>
          <w:lang w:val="en-GB"/>
        </w:rPr>
        <w:t xml:space="preserve"> the respect of private life and the protection of national/public security (under Article 4(2) TEU “national security remains the sole responsibility of each Member State”). It is a relevant issue to be solved, however, it does not qualify as a basis requesting the Council to launch an Article 7(1) TEU procedure. </w:t>
      </w:r>
    </w:p>
    <w:p w14:paraId="3B47EFB3" w14:textId="30E38173" w:rsidR="00257BB1" w:rsidRPr="003E3613" w:rsidRDefault="00257BB1"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execution of the judgment of the ECtHR is in the pipeline in terms of legislative amendments. Proposals for amendment of the Act on National Security Services </w:t>
      </w:r>
      <w:r w:rsidR="001F6F2B" w:rsidRPr="003E3613">
        <w:rPr>
          <w:rFonts w:ascii="Book Antiqua" w:hAnsi="Book Antiqua"/>
          <w:sz w:val="23"/>
          <w:szCs w:val="23"/>
          <w:lang w:val="en-GB"/>
        </w:rPr>
        <w:t>we</w:t>
      </w:r>
      <w:r w:rsidRPr="003E3613">
        <w:rPr>
          <w:rFonts w:ascii="Book Antiqua" w:hAnsi="Book Antiqua"/>
          <w:sz w:val="23"/>
          <w:szCs w:val="23"/>
          <w:lang w:val="en-GB"/>
        </w:rPr>
        <w:t>re discussed by the experts of the competent ministries. This legislation dates back to 1995 and needs detailed revision and consideration in order to comply with the judgment and also the needs of modern times.</w:t>
      </w:r>
    </w:p>
    <w:p w14:paraId="51C3803E" w14:textId="77777777" w:rsidR="00257BB1" w:rsidRPr="003E3613" w:rsidRDefault="00257BB1" w:rsidP="00204696">
      <w:pPr>
        <w:spacing w:after="0"/>
        <w:jc w:val="both"/>
        <w:rPr>
          <w:rFonts w:ascii="Book Antiqua" w:hAnsi="Book Antiqua"/>
          <w:sz w:val="23"/>
          <w:szCs w:val="23"/>
          <w:lang w:val="en-GB"/>
        </w:rPr>
      </w:pPr>
    </w:p>
    <w:p w14:paraId="541B98AC" w14:textId="77777777" w:rsidR="00257BB1" w:rsidRPr="003E3613" w:rsidRDefault="00257BB1" w:rsidP="00204696">
      <w:pPr>
        <w:spacing w:after="0"/>
        <w:jc w:val="both"/>
        <w:rPr>
          <w:rFonts w:ascii="Book Antiqua" w:hAnsi="Book Antiqua"/>
          <w:sz w:val="23"/>
          <w:szCs w:val="23"/>
          <w:lang w:val="en-GB"/>
        </w:rPr>
      </w:pPr>
      <w:r w:rsidRPr="003E3613">
        <w:rPr>
          <w:rFonts w:ascii="Book Antiqua" w:hAnsi="Book Antiqua"/>
          <w:sz w:val="23"/>
          <w:szCs w:val="23"/>
          <w:lang w:val="en-GB"/>
        </w:rPr>
        <w:t>It should be stressed that in the case cited, the judgment did not concern actual measures of surveillance but the mere possibility of the application of such measures sufficed to establish the applicants’ victim status within the meaning of the Convention.</w:t>
      </w:r>
    </w:p>
    <w:p w14:paraId="41BCE9A2" w14:textId="77777777" w:rsidR="00257BB1" w:rsidRPr="003E3613" w:rsidRDefault="00257BB1" w:rsidP="00204696">
      <w:pPr>
        <w:spacing w:after="0"/>
        <w:jc w:val="both"/>
        <w:rPr>
          <w:rFonts w:ascii="Book Antiqua" w:hAnsi="Book Antiqua"/>
          <w:sz w:val="23"/>
          <w:szCs w:val="23"/>
          <w:lang w:val="en-GB"/>
        </w:rPr>
      </w:pPr>
    </w:p>
    <w:p w14:paraId="07BF5948" w14:textId="77777777" w:rsidR="00A117C9" w:rsidRDefault="00A117C9">
      <w:pPr>
        <w:rPr>
          <w:rStyle w:val="sae070d1d"/>
          <w:rFonts w:ascii="Book Antiqua" w:eastAsia="Times New Roman" w:hAnsi="Book Antiqua" w:cs="Times New Roman"/>
          <w:sz w:val="23"/>
          <w:szCs w:val="23"/>
          <w:lang w:val="en-GB"/>
        </w:rPr>
      </w:pPr>
      <w:r>
        <w:rPr>
          <w:rStyle w:val="sae070d1d"/>
          <w:rFonts w:ascii="Book Antiqua" w:hAnsi="Book Antiqua"/>
          <w:sz w:val="23"/>
          <w:szCs w:val="23"/>
          <w:lang w:val="en-GB"/>
        </w:rPr>
        <w:br w:type="page"/>
      </w:r>
    </w:p>
    <w:p w14:paraId="075BBBF4" w14:textId="4CEEFF27" w:rsidR="00257BB1" w:rsidRPr="003E3613" w:rsidRDefault="00257BB1" w:rsidP="00204696">
      <w:pPr>
        <w:pStyle w:val="jupara"/>
        <w:spacing w:line="276" w:lineRule="auto"/>
        <w:ind w:firstLine="0"/>
        <w:rPr>
          <w:rFonts w:ascii="Book Antiqua" w:hAnsi="Book Antiqua"/>
          <w:sz w:val="23"/>
          <w:szCs w:val="23"/>
          <w:lang w:val="en-GB"/>
        </w:rPr>
      </w:pPr>
      <w:r w:rsidRPr="003E3613">
        <w:rPr>
          <w:rStyle w:val="sae070d1d"/>
          <w:rFonts w:ascii="Book Antiqua" w:hAnsi="Book Antiqua"/>
          <w:sz w:val="23"/>
          <w:szCs w:val="23"/>
          <w:lang w:val="en-GB"/>
        </w:rPr>
        <w:lastRenderedPageBreak/>
        <w:t>Furthermore, the violation found did not result from specific provisions introduced in 2011 but from the background regulation as in force since 1996 (Act CXXV of 1995 on National Security Services, which was already in force at the time of Hungary’s accession to the EU). In the course of the execution of the judgment, i</w:t>
      </w:r>
      <w:r w:rsidRPr="003E3613">
        <w:rPr>
          <w:rFonts w:ascii="Book Antiqua" w:hAnsi="Book Antiqua"/>
          <w:sz w:val="23"/>
          <w:szCs w:val="23"/>
          <w:lang w:val="en-GB"/>
        </w:rPr>
        <w:t xml:space="preserve">t is agreed that amendment of the relevant legislation is necessary as a general measure. However, examination of the requirements stemming from the judgment in terms of legislative amendments, which is currently underway, is expected to take some time. It is due to the fact that although the applicants had complained only about the lack of judicial authorisation of secret surveillance for national security purposes, the Court’s judgment identified additional problems of the relevant legislation while its findings concerning the applicants’ original arguments remained ambiguous. Proposals for the amendment of the Act on National Security Services were discussed by the experts of the competent ministries and the further elaboration of those is in progress. </w:t>
      </w:r>
    </w:p>
    <w:p w14:paraId="654639C8" w14:textId="77777777" w:rsidR="00257BB1" w:rsidRPr="003E3613" w:rsidRDefault="00257BB1" w:rsidP="00204696">
      <w:pPr>
        <w:pStyle w:val="jupara"/>
        <w:spacing w:line="276" w:lineRule="auto"/>
        <w:ind w:firstLine="0"/>
        <w:rPr>
          <w:rFonts w:ascii="Book Antiqua" w:hAnsi="Book Antiqua"/>
          <w:sz w:val="23"/>
          <w:szCs w:val="23"/>
          <w:lang w:val="en-GB"/>
        </w:rPr>
      </w:pPr>
    </w:p>
    <w:p w14:paraId="5223AC0F" w14:textId="6D18DC48" w:rsidR="00257BB1" w:rsidRPr="003E3613" w:rsidRDefault="00257BB1"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As regards secret surveillance, the Hungarian legislation currently in force already provides effective control mechanisms regarding its execution and </w:t>
      </w:r>
      <w:r w:rsidRPr="003E3613">
        <w:rPr>
          <w:rFonts w:ascii="Book Antiqua" w:hAnsi="Book Antiqua"/>
          <w:i/>
          <w:sz w:val="23"/>
          <w:szCs w:val="23"/>
          <w:lang w:val="en-GB"/>
        </w:rPr>
        <w:t>ex-post</w:t>
      </w:r>
      <w:r w:rsidRPr="003E3613">
        <w:rPr>
          <w:rFonts w:ascii="Book Antiqua" w:hAnsi="Book Antiqua"/>
          <w:sz w:val="23"/>
          <w:szCs w:val="23"/>
          <w:lang w:val="en-GB"/>
        </w:rPr>
        <w:t xml:space="preserve"> control. Based on a constitutional provision, the Act CXII of 2011 on</w:t>
      </w:r>
      <w:r w:rsidR="001F6F2B" w:rsidRPr="003E3613">
        <w:rPr>
          <w:rFonts w:ascii="Book Antiqua" w:hAnsi="Book Antiqua"/>
          <w:sz w:val="23"/>
          <w:szCs w:val="23"/>
          <w:lang w:val="en-GB"/>
        </w:rPr>
        <w:t xml:space="preserve"> </w:t>
      </w:r>
      <w:r w:rsidRPr="003E3613">
        <w:rPr>
          <w:rFonts w:ascii="Book Antiqua" w:hAnsi="Book Antiqua"/>
          <w:sz w:val="23"/>
          <w:szCs w:val="23"/>
          <w:lang w:val="en-GB"/>
        </w:rPr>
        <w:t>the right to informational self-determination and on the freedom of information (hereinafter referred to as the Act CXII of 2011), which</w:t>
      </w:r>
      <w:r w:rsidR="001F6F2B" w:rsidRPr="003E3613">
        <w:rPr>
          <w:rFonts w:ascii="Book Antiqua" w:hAnsi="Book Antiqua"/>
          <w:sz w:val="23"/>
          <w:szCs w:val="23"/>
          <w:lang w:val="en-GB"/>
        </w:rPr>
        <w:t xml:space="preserve"> </w:t>
      </w:r>
      <w:r w:rsidRPr="003E3613">
        <w:rPr>
          <w:rFonts w:ascii="Book Antiqua" w:hAnsi="Book Antiqua"/>
          <w:sz w:val="23"/>
          <w:szCs w:val="23"/>
          <w:lang w:val="en-GB"/>
        </w:rPr>
        <w:t>entered into force on 1 January 2012,</w:t>
      </w:r>
      <w:r w:rsidR="001F6F2B" w:rsidRPr="003E3613">
        <w:rPr>
          <w:rFonts w:ascii="Book Antiqua" w:hAnsi="Book Antiqua"/>
          <w:sz w:val="23"/>
          <w:szCs w:val="23"/>
          <w:lang w:val="en-GB"/>
        </w:rPr>
        <w:t xml:space="preserve"> </w:t>
      </w:r>
      <w:r w:rsidRPr="003E3613">
        <w:rPr>
          <w:rFonts w:ascii="Book Antiqua" w:hAnsi="Book Antiqua"/>
          <w:sz w:val="23"/>
          <w:szCs w:val="23"/>
          <w:lang w:val="en-GB"/>
        </w:rPr>
        <w:t xml:space="preserve">established the National Authority for Data Protection and Freedom of Information (NAIH). This autonomous and independent authority is responsible, </w:t>
      </w:r>
      <w:r w:rsidRPr="003E3613">
        <w:rPr>
          <w:rFonts w:ascii="Book Antiqua" w:hAnsi="Book Antiqua"/>
          <w:i/>
          <w:sz w:val="23"/>
          <w:szCs w:val="23"/>
          <w:lang w:val="en-GB"/>
        </w:rPr>
        <w:t>inter alia</w:t>
      </w:r>
      <w:r w:rsidRPr="003E3613">
        <w:rPr>
          <w:rFonts w:ascii="Book Antiqua" w:hAnsi="Book Antiqua"/>
          <w:sz w:val="23"/>
          <w:szCs w:val="23"/>
          <w:lang w:val="en-GB"/>
        </w:rPr>
        <w:t xml:space="preserve">, for monitoring and promoting the enforcement of the right to the protection of personal data in Hungary. The Act CXII of 2011 is applicable to all data processing operations undertaken in Hungary regardless of the public or private legal status of those performing such operations, thus including also law enforcement and national security and defence sectors. Concerning the secret surveillance, due to the recent amendment to the Act CXII of 2011 (by Act CXCVII of 2017, entered into force on 1 July 2018) the NAIH may conduct both inquiry and compliance procedures. In practice, the NAIH conducts inquiry procedures regarding each and every complaint filed. </w:t>
      </w:r>
    </w:p>
    <w:p w14:paraId="3D8CA5B3" w14:textId="77777777" w:rsidR="00257BB1" w:rsidRPr="003E3613" w:rsidRDefault="00257BB1" w:rsidP="00204696">
      <w:pPr>
        <w:spacing w:after="0"/>
        <w:jc w:val="both"/>
        <w:rPr>
          <w:rFonts w:ascii="Book Antiqua" w:eastAsia="Times New Roman" w:hAnsi="Book Antiqua" w:cs="Times New Roman"/>
          <w:sz w:val="23"/>
          <w:szCs w:val="23"/>
          <w:lang w:val="en-GB"/>
        </w:rPr>
      </w:pPr>
    </w:p>
    <w:p w14:paraId="57BD8D3B" w14:textId="77777777" w:rsidR="00257BB1" w:rsidRPr="003E3613" w:rsidRDefault="00257BB1" w:rsidP="00204696">
      <w:pPr>
        <w:spacing w:after="0"/>
        <w:jc w:val="both"/>
        <w:rPr>
          <w:rFonts w:ascii="Book Antiqua" w:hAnsi="Book Antiqua"/>
          <w:sz w:val="23"/>
          <w:szCs w:val="23"/>
          <w:lang w:val="en-GB"/>
        </w:rPr>
      </w:pPr>
      <w:r w:rsidRPr="003E3613">
        <w:rPr>
          <w:rFonts w:ascii="Book Antiqua" w:eastAsia="Times New Roman" w:hAnsi="Book Antiqua" w:cs="Times New Roman"/>
          <w:sz w:val="23"/>
          <w:szCs w:val="23"/>
          <w:lang w:val="en-GB"/>
        </w:rPr>
        <w:t>In addition, NAIH has carried out a complete data protection audit of the Hungarian government agency responsible for secret surveillance which is unprecedented in the European Union.</w:t>
      </w:r>
    </w:p>
    <w:p w14:paraId="1DDFFC08" w14:textId="77777777" w:rsidR="00257BB1" w:rsidRPr="003E3613" w:rsidRDefault="00257BB1" w:rsidP="00204696">
      <w:pPr>
        <w:spacing w:after="0"/>
        <w:jc w:val="both"/>
        <w:rPr>
          <w:rFonts w:ascii="Book Antiqua" w:hAnsi="Book Antiqua"/>
          <w:i/>
          <w:sz w:val="23"/>
          <w:szCs w:val="23"/>
          <w:lang w:val="en-GB"/>
        </w:rPr>
      </w:pPr>
    </w:p>
    <w:p w14:paraId="34D49274" w14:textId="77777777" w:rsidR="00257BB1" w:rsidRPr="003E3613" w:rsidRDefault="00257BB1" w:rsidP="00204696">
      <w:pPr>
        <w:pStyle w:val="Heading2"/>
        <w:keepNext w:val="0"/>
        <w:keepLines w:val="0"/>
        <w:spacing w:before="0"/>
        <w:rPr>
          <w:rFonts w:ascii="Book Antiqua" w:hAnsi="Book Antiqua"/>
          <w:color w:val="auto"/>
          <w:sz w:val="23"/>
          <w:szCs w:val="23"/>
          <w:lang w:val="en-GB"/>
        </w:rPr>
      </w:pPr>
      <w:bookmarkStart w:id="25" w:name="_Toc19120786"/>
      <w:r w:rsidRPr="003E3613">
        <w:rPr>
          <w:rFonts w:ascii="Book Antiqua" w:hAnsi="Book Antiqua"/>
          <w:color w:val="auto"/>
          <w:sz w:val="23"/>
          <w:szCs w:val="23"/>
          <w:lang w:val="en-GB"/>
        </w:rPr>
        <w:t>Legal framework on secret surveillance for national security purposes</w:t>
      </w:r>
      <w:bookmarkEnd w:id="25"/>
    </w:p>
    <w:p w14:paraId="5A0333EC" w14:textId="77777777" w:rsidR="00257BB1" w:rsidRPr="003E3613" w:rsidRDefault="00257BB1" w:rsidP="00204696">
      <w:pPr>
        <w:spacing w:after="0"/>
        <w:jc w:val="both"/>
        <w:rPr>
          <w:rFonts w:ascii="Book Antiqua" w:hAnsi="Book Antiqua"/>
          <w:i/>
          <w:sz w:val="23"/>
          <w:szCs w:val="23"/>
          <w:lang w:val="en-GB"/>
        </w:rPr>
      </w:pPr>
    </w:p>
    <w:p w14:paraId="47EBBF06" w14:textId="77777777" w:rsidR="00257BB1" w:rsidRPr="003E3613" w:rsidRDefault="00257BB1" w:rsidP="00204696">
      <w:pPr>
        <w:spacing w:after="0"/>
        <w:jc w:val="both"/>
        <w:rPr>
          <w:rFonts w:ascii="Book Antiqua" w:hAnsi="Book Antiqua"/>
          <w:i/>
          <w:sz w:val="23"/>
          <w:szCs w:val="23"/>
          <w:lang w:val="en-GB"/>
        </w:rPr>
      </w:pPr>
      <w:r w:rsidRPr="003E3613">
        <w:rPr>
          <w:rFonts w:ascii="Book Antiqua" w:hAnsi="Book Antiqua"/>
          <w:i/>
          <w:sz w:val="23"/>
          <w:szCs w:val="23"/>
          <w:lang w:val="en-GB"/>
        </w:rPr>
        <w:t>(26) In the concluding observations of 5 April 2018, the UN Human Rights Committee expressed concerns that Hungary’s legal framework on secret surveillance for national security purposes allows for mass interception of communications and contains insufficient safeguards against arbitrary interference with the right to privacy. It was also concerned at the lack of provisions to ensure effective remedies in cases of abuse, and notification to the person concerned as soon as possible, without endangering the purpose of the restriction, after the termination of the surveillance measure.</w:t>
      </w:r>
    </w:p>
    <w:p w14:paraId="3A0C1E4D" w14:textId="77777777" w:rsidR="00257BB1" w:rsidRPr="003E3613" w:rsidRDefault="00257BB1" w:rsidP="00204696">
      <w:pPr>
        <w:spacing w:after="0"/>
        <w:jc w:val="both"/>
        <w:rPr>
          <w:rFonts w:ascii="Book Antiqua" w:hAnsi="Book Antiqua"/>
          <w:i/>
          <w:sz w:val="23"/>
          <w:szCs w:val="23"/>
          <w:lang w:val="en-GB"/>
        </w:rPr>
      </w:pPr>
    </w:p>
    <w:p w14:paraId="7DF330A2" w14:textId="77777777" w:rsidR="00257BB1" w:rsidRPr="003E3613" w:rsidRDefault="00257BB1"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 xml:space="preserve">Any national security related issue requires great cautiousness and an integrated approach. The national security related legislation is under the competence of the Member States. However, any criticism against them should be considered carefully and with great attention. The Hungarian rules in this regard are integrated and provide the adequate level of protection from all aspects. </w:t>
      </w:r>
    </w:p>
    <w:p w14:paraId="759DADAF" w14:textId="77777777" w:rsidR="00257BB1" w:rsidRPr="003E3613" w:rsidRDefault="00257BB1" w:rsidP="00204696">
      <w:pPr>
        <w:spacing w:after="0"/>
        <w:jc w:val="both"/>
        <w:rPr>
          <w:rFonts w:ascii="Book Antiqua" w:hAnsi="Book Antiqua"/>
          <w:sz w:val="23"/>
          <w:szCs w:val="23"/>
          <w:lang w:val="en-GB"/>
        </w:rPr>
      </w:pPr>
    </w:p>
    <w:p w14:paraId="3D1D15ED" w14:textId="77777777" w:rsidR="00257BB1" w:rsidRPr="003E3613" w:rsidRDefault="00257BB1" w:rsidP="00204696">
      <w:pPr>
        <w:spacing w:after="0"/>
        <w:jc w:val="both"/>
        <w:rPr>
          <w:rFonts w:ascii="Book Antiqua" w:hAnsi="Book Antiqua"/>
          <w:sz w:val="23"/>
          <w:szCs w:val="23"/>
          <w:lang w:val="en-GB"/>
        </w:rPr>
      </w:pPr>
      <w:r w:rsidRPr="003E3613">
        <w:rPr>
          <w:rFonts w:ascii="Book Antiqua" w:hAnsi="Book Antiqua"/>
          <w:sz w:val="23"/>
          <w:szCs w:val="23"/>
          <w:lang w:val="en-GB"/>
        </w:rPr>
        <w:t>However, it is currently being examined whether the proposals for the amendment of the Act on National Security Services mentioned under recital (25) could include more precise rules in order to address the above mentioned concerns of the UN Human Rights Committee. The proposals</w:t>
      </w:r>
      <w:r w:rsidRPr="003E3613">
        <w:rPr>
          <w:lang w:val="en-GB"/>
        </w:rPr>
        <w:t xml:space="preserve"> </w:t>
      </w:r>
      <w:r w:rsidRPr="003E3613">
        <w:rPr>
          <w:rFonts w:ascii="Book Antiqua" w:hAnsi="Book Antiqua"/>
          <w:sz w:val="23"/>
          <w:szCs w:val="23"/>
          <w:lang w:val="en-GB"/>
        </w:rPr>
        <w:t>were discussed by the experts of the competent ministries and the further elaboration of those is in progress.</w:t>
      </w:r>
    </w:p>
    <w:p w14:paraId="1FDEE89C" w14:textId="77777777" w:rsidR="00257BB1" w:rsidRPr="003E3613" w:rsidRDefault="00257BB1" w:rsidP="00204696">
      <w:pPr>
        <w:spacing w:after="0"/>
        <w:jc w:val="both"/>
        <w:rPr>
          <w:rFonts w:ascii="Book Antiqua" w:hAnsi="Book Antiqua"/>
          <w:sz w:val="23"/>
          <w:szCs w:val="23"/>
          <w:lang w:val="en-GB"/>
        </w:rPr>
      </w:pPr>
    </w:p>
    <w:p w14:paraId="458E7566" w14:textId="77777777" w:rsidR="00257BB1" w:rsidRDefault="00257BB1" w:rsidP="00204696">
      <w:pPr>
        <w:spacing w:after="0"/>
        <w:jc w:val="both"/>
        <w:rPr>
          <w:rFonts w:ascii="Book Antiqua" w:hAnsi="Book Antiqua"/>
          <w:b/>
          <w:sz w:val="23"/>
          <w:szCs w:val="23"/>
          <w:lang w:val="en-GB"/>
        </w:rPr>
      </w:pPr>
      <w:r w:rsidRPr="003E3613">
        <w:rPr>
          <w:rFonts w:ascii="Book Antiqua" w:hAnsi="Book Antiqua"/>
          <w:b/>
          <w:sz w:val="23"/>
          <w:szCs w:val="23"/>
          <w:lang w:val="en-GB"/>
        </w:rPr>
        <w:t>As regards secret surveillance, the Hungarian legislation currently in force already provides effective control mechanisms regarding its execution and ex-post control. Therefore, it is not justified to mention the elements of recitals 25-26 in a reasoned proposal requesting the Council to determine, pursuant to Article 7(1) of the Treaty on European Union, the existence of a clear risk of a serious breach by Hungary of the values on which the Union is founded.</w:t>
      </w:r>
    </w:p>
    <w:p w14:paraId="6CA5CC50" w14:textId="77777777" w:rsidR="007A7E18" w:rsidRPr="003E3613" w:rsidRDefault="007A7E18" w:rsidP="00204696">
      <w:pPr>
        <w:spacing w:after="0"/>
        <w:jc w:val="both"/>
        <w:rPr>
          <w:rFonts w:ascii="Book Antiqua" w:hAnsi="Book Antiqua"/>
          <w:b/>
          <w:sz w:val="23"/>
          <w:szCs w:val="23"/>
          <w:lang w:val="en-GB"/>
        </w:rPr>
      </w:pPr>
    </w:p>
    <w:p w14:paraId="2BBAA76E" w14:textId="77777777" w:rsidR="00507F12" w:rsidRPr="003E3613" w:rsidRDefault="00507F12" w:rsidP="00204696">
      <w:pPr>
        <w:pStyle w:val="Heading1"/>
        <w:keepNext w:val="0"/>
        <w:keepLines w:val="0"/>
        <w:pBdr>
          <w:top w:val="single" w:sz="4" w:space="1" w:color="auto"/>
          <w:left w:val="single" w:sz="4" w:space="4" w:color="auto"/>
          <w:bottom w:val="single" w:sz="4" w:space="1" w:color="auto"/>
          <w:right w:val="single" w:sz="4" w:space="4" w:color="auto"/>
        </w:pBdr>
        <w:shd w:val="clear" w:color="auto" w:fill="C6D9F1" w:themeFill="text2" w:themeFillTint="33"/>
        <w:spacing w:before="0"/>
        <w:rPr>
          <w:rFonts w:ascii="Book Antiqua" w:hAnsi="Book Antiqua"/>
          <w:color w:val="auto"/>
          <w:sz w:val="23"/>
          <w:szCs w:val="23"/>
          <w:lang w:val="en-GB"/>
        </w:rPr>
      </w:pPr>
      <w:bookmarkStart w:id="26" w:name="_Toc19120787"/>
      <w:r w:rsidRPr="003E3613">
        <w:rPr>
          <w:rFonts w:ascii="Book Antiqua" w:hAnsi="Book Antiqua"/>
          <w:color w:val="auto"/>
          <w:sz w:val="23"/>
          <w:szCs w:val="23"/>
          <w:lang w:val="en-GB"/>
        </w:rPr>
        <w:t>Freedom of expression</w:t>
      </w:r>
      <w:bookmarkEnd w:id="26"/>
    </w:p>
    <w:p w14:paraId="32B5ED8B" w14:textId="77777777" w:rsidR="00507F12" w:rsidRPr="003E3613" w:rsidRDefault="00507F12" w:rsidP="00204696">
      <w:pPr>
        <w:spacing w:after="0"/>
        <w:jc w:val="both"/>
        <w:rPr>
          <w:rFonts w:ascii="Book Antiqua" w:hAnsi="Book Antiqua"/>
          <w:sz w:val="23"/>
          <w:szCs w:val="23"/>
          <w:lang w:val="en-GB"/>
        </w:rPr>
      </w:pPr>
    </w:p>
    <w:p w14:paraId="0866CB63" w14:textId="77777777" w:rsidR="007E2EF3" w:rsidRPr="003E3613" w:rsidRDefault="007E2EF3" w:rsidP="00204696">
      <w:pPr>
        <w:spacing w:after="0"/>
        <w:jc w:val="both"/>
        <w:rPr>
          <w:rFonts w:ascii="Book Antiqua" w:hAnsi="Book Antiqua"/>
          <w:sz w:val="23"/>
          <w:szCs w:val="23"/>
          <w:lang w:val="en-GB"/>
        </w:rPr>
      </w:pPr>
      <w:r w:rsidRPr="003E3613">
        <w:rPr>
          <w:rFonts w:ascii="Book Antiqua" w:hAnsi="Book Antiqua"/>
          <w:sz w:val="23"/>
          <w:szCs w:val="23"/>
          <w:lang w:val="en-GB"/>
        </w:rPr>
        <w:t>The accusations raised by the reasoned proposal with regard to the freedom of expression in Hungary are completely unfounded or based on subjective perceptions. The Fundamental Law stipulates that everyone shall have the right to freedom of expression and that Hungary recognizes and protects the freedom and diversity of the press. The Fundamental Law ensures also the diversity and the balanced functioning of the media market. The Hungarian Government is committed to ensure these rights. The radical changes in information technology – the digitalization and the internet – called for a revision of Hungarian media regulations – dating back to 1995 and even 1986 – and the adoption of an effective, transparent, and up-to-date new regulation became inevitable by 2010. In 2010, the main focus and intention of the Hungarian legislator was to create – in line with the general principle of technology neutrality – a time worthy, modern structure and definition base for future Hungarian media regulation, representing and seeking ”a minimal common European regulatory approach”. The Hungarian legislator took into consideration the recommendations of the Council of Europe and of other bodies several times and did amendments in their sense. A number of issues raised by the reasoned proposal have been closed with the satisfaction of both parties. The Hungarian Government is committed to ensure freedom of expression and editorial freedom, as a consequence the functioning and publications of privately owned media outlets and the developments on the media market fall outside of the competences of the Hungarian Government.</w:t>
      </w:r>
    </w:p>
    <w:p w14:paraId="5EA12397" w14:textId="77777777" w:rsidR="00A117C9" w:rsidRDefault="00A117C9">
      <w:pPr>
        <w:rPr>
          <w:rFonts w:ascii="Book Antiqua" w:eastAsiaTheme="majorEastAsia" w:hAnsi="Book Antiqua" w:cstheme="majorBidi"/>
          <w:b/>
          <w:bCs/>
          <w:sz w:val="23"/>
          <w:szCs w:val="23"/>
          <w:lang w:val="en-GB"/>
        </w:rPr>
      </w:pPr>
      <w:bookmarkStart w:id="27" w:name="_Toc19120788"/>
      <w:r>
        <w:rPr>
          <w:rFonts w:ascii="Book Antiqua" w:hAnsi="Book Antiqua"/>
          <w:sz w:val="23"/>
          <w:szCs w:val="23"/>
          <w:lang w:val="en-GB"/>
        </w:rPr>
        <w:br w:type="page"/>
      </w:r>
    </w:p>
    <w:p w14:paraId="79B5E37D" w14:textId="0DFDDA01" w:rsidR="00733E15" w:rsidRPr="003E3613" w:rsidRDefault="00733E15" w:rsidP="00204696">
      <w:pPr>
        <w:pStyle w:val="Heading2"/>
        <w:keepNext w:val="0"/>
        <w:keepLines w:val="0"/>
        <w:spacing w:before="0"/>
        <w:jc w:val="both"/>
        <w:rPr>
          <w:rFonts w:ascii="Book Antiqua" w:hAnsi="Book Antiqua"/>
          <w:color w:val="auto"/>
          <w:sz w:val="23"/>
          <w:szCs w:val="23"/>
          <w:lang w:val="en-GB"/>
        </w:rPr>
      </w:pPr>
      <w:r w:rsidRPr="003E3613">
        <w:rPr>
          <w:rFonts w:ascii="Book Antiqua" w:hAnsi="Book Antiqua"/>
          <w:color w:val="auto"/>
          <w:sz w:val="23"/>
          <w:szCs w:val="23"/>
          <w:lang w:val="en-GB"/>
        </w:rPr>
        <w:lastRenderedPageBreak/>
        <w:t>Media legislation</w:t>
      </w:r>
      <w:bookmarkEnd w:id="27"/>
      <w:r w:rsidRPr="003E3613">
        <w:rPr>
          <w:rFonts w:ascii="Book Antiqua" w:hAnsi="Book Antiqua"/>
          <w:color w:val="auto"/>
          <w:sz w:val="23"/>
          <w:szCs w:val="23"/>
          <w:lang w:val="en-GB"/>
        </w:rPr>
        <w:t xml:space="preserve"> </w:t>
      </w:r>
    </w:p>
    <w:p w14:paraId="51E53B3A" w14:textId="77777777" w:rsidR="00733E15" w:rsidRPr="003E3613" w:rsidRDefault="00733E15" w:rsidP="00204696">
      <w:pPr>
        <w:spacing w:after="0"/>
        <w:jc w:val="both"/>
        <w:rPr>
          <w:rFonts w:ascii="Book Antiqua" w:hAnsi="Book Antiqua"/>
          <w:b/>
          <w:sz w:val="23"/>
          <w:szCs w:val="23"/>
          <w:lang w:val="en-GB"/>
        </w:rPr>
      </w:pPr>
    </w:p>
    <w:p w14:paraId="621E13FC" w14:textId="77777777" w:rsidR="00507F12" w:rsidRPr="003E3613" w:rsidRDefault="00507F12"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DD3A62" w:rsidRPr="003E3613">
        <w:rPr>
          <w:rFonts w:ascii="Book Antiqua" w:hAnsi="Book Antiqua"/>
          <w:i/>
          <w:sz w:val="23"/>
          <w:szCs w:val="23"/>
          <w:lang w:val="en-GB"/>
        </w:rPr>
        <w:t>27</w:t>
      </w:r>
      <w:r w:rsidRPr="003E3613">
        <w:rPr>
          <w:rFonts w:ascii="Book Antiqua" w:hAnsi="Book Antiqua"/>
          <w:i/>
          <w:sz w:val="23"/>
          <w:szCs w:val="23"/>
          <w:lang w:val="en-GB"/>
        </w:rPr>
        <w:t xml:space="preserve">) On 22 June 2015 the Venice Commission adopted its Opinion on Media Legislation (Act CLXXXV on Media Services and on the Mass Media, Act CIV on the Freedom of the Press, and the Legislation on Taxation of Advertisement Revenues of Mass Media) of Hungary, which called for several changes to the Press Act and the Media Act, in particular concerning the definition of “illegal media content”, the disclosure of journalistic sources and sanctions on media outlets. Similar concerns had been expressed in the analysis commissioned by the Office of the OSCE Representative on Freedom of the Media in February 2011, by the previous Council of Europe’s Commissioner for Human Rights in his opinion on Hungary’s media legislation in light of Council of Europe standards on freedom of the media of 25 February 2011, as well as by Council of Europe experts on Hungarian media legislation in their expertise of 11 May 2012. </w:t>
      </w:r>
      <w:r w:rsidR="00DD3A62" w:rsidRPr="003E3613">
        <w:rPr>
          <w:rFonts w:ascii="Book Antiqua" w:hAnsi="Book Antiqua"/>
          <w:i/>
          <w:sz w:val="23"/>
          <w:szCs w:val="23"/>
          <w:lang w:val="en-GB"/>
        </w:rPr>
        <w:t xml:space="preserve">In his statement of 29 January 2013, the Council of Europe’s Secretary General welcomed the fact that discussions in the field of media have led to several important changes. Nevertheless, the remaining concerns were reiterated </w:t>
      </w:r>
      <w:r w:rsidRPr="003E3613">
        <w:rPr>
          <w:rFonts w:ascii="Book Antiqua" w:hAnsi="Book Antiqua"/>
          <w:i/>
          <w:sz w:val="23"/>
          <w:szCs w:val="23"/>
          <w:lang w:val="en-GB"/>
        </w:rPr>
        <w:t xml:space="preserve">by the Council of Europe’s Commissioner for Human Rights in the report following his visit to Hungary, which was published on 16 December 2014. The Commissioner also mentioned the issues of concentration of media ownership and </w:t>
      </w:r>
      <w:r w:rsidR="00551DB2" w:rsidRPr="003E3613">
        <w:rPr>
          <w:rFonts w:ascii="Book Antiqua" w:hAnsi="Book Antiqua"/>
          <w:i/>
          <w:sz w:val="23"/>
          <w:szCs w:val="23"/>
          <w:lang w:val="en-GB"/>
        </w:rPr>
        <w:t>self-censorship</w:t>
      </w:r>
      <w:r w:rsidRPr="003E3613">
        <w:rPr>
          <w:rFonts w:ascii="Book Antiqua" w:hAnsi="Book Antiqua"/>
          <w:i/>
          <w:sz w:val="23"/>
          <w:szCs w:val="23"/>
          <w:lang w:val="en-GB"/>
        </w:rPr>
        <w:t xml:space="preserve"> and indicated that the legal framework criminalising defamation should be repealed.</w:t>
      </w:r>
    </w:p>
    <w:p w14:paraId="36F18450" w14:textId="77777777" w:rsidR="00803789" w:rsidRPr="003E3613" w:rsidRDefault="00803789" w:rsidP="00204696">
      <w:pPr>
        <w:spacing w:after="0"/>
        <w:jc w:val="both"/>
        <w:rPr>
          <w:rFonts w:ascii="Book Antiqua" w:hAnsi="Book Antiqua"/>
          <w:i/>
          <w:sz w:val="23"/>
          <w:szCs w:val="23"/>
          <w:lang w:val="en-GB"/>
        </w:rPr>
      </w:pPr>
    </w:p>
    <w:p w14:paraId="6A6DBBC4" w14:textId="22E9D82B" w:rsidR="00C56E5B" w:rsidRPr="003E3613" w:rsidRDefault="002F1670"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As far as the </w:t>
      </w:r>
      <w:r w:rsidR="00680FD4" w:rsidRPr="003E3613">
        <w:rPr>
          <w:rFonts w:ascii="Book Antiqua" w:hAnsi="Book Antiqua"/>
          <w:iCs/>
          <w:sz w:val="23"/>
          <w:szCs w:val="23"/>
          <w:lang w:val="en-GB"/>
        </w:rPr>
        <w:t>accusation of vague and restrictive regulation of media content</w:t>
      </w:r>
      <w:r w:rsidRPr="003E3613">
        <w:rPr>
          <w:rFonts w:ascii="Book Antiqua" w:hAnsi="Book Antiqua"/>
          <w:iCs/>
          <w:sz w:val="23"/>
          <w:szCs w:val="23"/>
          <w:lang w:val="en-GB"/>
        </w:rPr>
        <w:t xml:space="preserve"> is concerned</w:t>
      </w:r>
      <w:r w:rsidR="00680FD4" w:rsidRPr="003E3613">
        <w:rPr>
          <w:rFonts w:ascii="Book Antiqua" w:hAnsi="Book Antiqua"/>
          <w:iCs/>
          <w:sz w:val="23"/>
          <w:szCs w:val="23"/>
          <w:lang w:val="en-GB"/>
        </w:rPr>
        <w:t xml:space="preserve">, the current Hungarian regulation is based on a two-decade practice of regulatory and judiciary enforcement, therefore it is well-identifiable and predictable for both market players and law enforcement bodies. </w:t>
      </w:r>
      <w:r w:rsidR="004C54C7" w:rsidRPr="003E3613">
        <w:rPr>
          <w:rFonts w:ascii="Book Antiqua" w:hAnsi="Book Antiqua"/>
          <w:iCs/>
          <w:sz w:val="23"/>
          <w:szCs w:val="23"/>
          <w:lang w:val="en-GB"/>
        </w:rPr>
        <w:t xml:space="preserve">The radical changes in information technology – </w:t>
      </w:r>
      <w:r w:rsidR="00803354" w:rsidRPr="003E3613">
        <w:rPr>
          <w:rFonts w:ascii="Book Antiqua" w:hAnsi="Book Antiqua"/>
          <w:iCs/>
          <w:sz w:val="23"/>
          <w:szCs w:val="23"/>
          <w:lang w:val="en-GB"/>
        </w:rPr>
        <w:t>the</w:t>
      </w:r>
      <w:r w:rsidR="004C54C7" w:rsidRPr="003E3613">
        <w:rPr>
          <w:rFonts w:ascii="Book Antiqua" w:hAnsi="Book Antiqua"/>
          <w:iCs/>
          <w:sz w:val="23"/>
          <w:szCs w:val="23"/>
          <w:lang w:val="en-GB"/>
        </w:rPr>
        <w:t xml:space="preserve"> digitalization and the internet – called for a revision of Hungarian media regulations – dating back to 1995 and even 1986 – and the adoption of an effective, transparent, and up-to-date new regula</w:t>
      </w:r>
      <w:r w:rsidR="00733E15" w:rsidRPr="003E3613">
        <w:rPr>
          <w:rFonts w:ascii="Book Antiqua" w:hAnsi="Book Antiqua"/>
          <w:iCs/>
          <w:sz w:val="23"/>
          <w:szCs w:val="23"/>
          <w:lang w:val="en-GB"/>
        </w:rPr>
        <w:t xml:space="preserve">tion became inevitable by 2010. </w:t>
      </w:r>
    </w:p>
    <w:p w14:paraId="0EC92BB8" w14:textId="77777777" w:rsidR="00C56E5B" w:rsidRPr="003E3613" w:rsidRDefault="00C56E5B" w:rsidP="00204696">
      <w:pPr>
        <w:spacing w:after="0"/>
        <w:jc w:val="both"/>
        <w:rPr>
          <w:rFonts w:ascii="Book Antiqua" w:hAnsi="Book Antiqua"/>
          <w:iCs/>
          <w:sz w:val="23"/>
          <w:szCs w:val="23"/>
          <w:lang w:val="en-GB"/>
        </w:rPr>
      </w:pPr>
    </w:p>
    <w:p w14:paraId="569ED954" w14:textId="77777777" w:rsidR="00C56E5B" w:rsidRPr="003E3613" w:rsidRDefault="00C56E5B" w:rsidP="00204696">
      <w:pPr>
        <w:spacing w:after="0"/>
        <w:jc w:val="both"/>
        <w:rPr>
          <w:rFonts w:ascii="Book Antiqua" w:hAnsi="Book Antiqua"/>
          <w:iCs/>
          <w:sz w:val="23"/>
          <w:szCs w:val="23"/>
          <w:lang w:val="en-GB"/>
        </w:rPr>
      </w:pPr>
      <w:r w:rsidRPr="003E3613">
        <w:rPr>
          <w:rFonts w:ascii="Book Antiqua" w:hAnsi="Book Antiqua"/>
          <w:iCs/>
          <w:sz w:val="23"/>
          <w:szCs w:val="23"/>
          <w:lang w:val="en-GB"/>
        </w:rPr>
        <w:t>In 2010, the main focus and intention of the Hungarian legislator was to create – in line with the general principle of technolo</w:t>
      </w:r>
      <w:r w:rsidR="00D94097" w:rsidRPr="003E3613">
        <w:rPr>
          <w:rFonts w:ascii="Book Antiqua" w:hAnsi="Book Antiqua"/>
          <w:iCs/>
          <w:sz w:val="23"/>
          <w:szCs w:val="23"/>
          <w:lang w:val="en-GB"/>
        </w:rPr>
        <w:t xml:space="preserve">gy neutrality – a time worthy, </w:t>
      </w:r>
      <w:r w:rsidRPr="003E3613">
        <w:rPr>
          <w:rFonts w:ascii="Book Antiqua" w:hAnsi="Book Antiqua"/>
          <w:iCs/>
          <w:sz w:val="23"/>
          <w:szCs w:val="23"/>
          <w:lang w:val="en-GB"/>
        </w:rPr>
        <w:t xml:space="preserve">modern structure and definition base for future Hungarian media regulation, representing and seeking ”a minimal common </w:t>
      </w:r>
      <w:r w:rsidR="00D94097" w:rsidRPr="003E3613">
        <w:rPr>
          <w:rFonts w:ascii="Book Antiqua" w:hAnsi="Book Antiqua"/>
          <w:iCs/>
          <w:sz w:val="23"/>
          <w:szCs w:val="23"/>
          <w:lang w:val="en-GB"/>
        </w:rPr>
        <w:t xml:space="preserve">European regulatory approach”. </w:t>
      </w:r>
      <w:r w:rsidRPr="003E3613">
        <w:rPr>
          <w:rFonts w:ascii="Book Antiqua" w:hAnsi="Book Antiqua"/>
          <w:iCs/>
          <w:sz w:val="23"/>
          <w:szCs w:val="23"/>
          <w:lang w:val="en-GB"/>
        </w:rPr>
        <w:t xml:space="preserve">Provisions of the </w:t>
      </w:r>
      <w:r w:rsidR="00522CE5" w:rsidRPr="003E3613">
        <w:rPr>
          <w:rFonts w:ascii="Book Antiqua" w:hAnsi="Book Antiqua"/>
          <w:iCs/>
          <w:sz w:val="23"/>
          <w:szCs w:val="23"/>
          <w:lang w:val="en-GB"/>
        </w:rPr>
        <w:t>Audio-visual</w:t>
      </w:r>
      <w:r w:rsidRPr="003E3613">
        <w:rPr>
          <w:rFonts w:ascii="Book Antiqua" w:hAnsi="Book Antiqua"/>
          <w:iCs/>
          <w:sz w:val="23"/>
          <w:szCs w:val="23"/>
          <w:lang w:val="en-GB"/>
        </w:rPr>
        <w:t xml:space="preserve"> Media Services Directive were adequately implemented, and advanced regulatory concepts were introduced such as the then European novelty of ”co-regulation” into the field of media regulation.</w:t>
      </w:r>
    </w:p>
    <w:p w14:paraId="27046128" w14:textId="77777777" w:rsidR="00680FD4" w:rsidRPr="003E3613" w:rsidRDefault="00680FD4" w:rsidP="00204696">
      <w:pPr>
        <w:spacing w:after="0"/>
        <w:jc w:val="both"/>
        <w:rPr>
          <w:rFonts w:ascii="Book Antiqua" w:hAnsi="Book Antiqua"/>
          <w:iCs/>
          <w:sz w:val="23"/>
          <w:szCs w:val="23"/>
          <w:lang w:val="en-GB"/>
        </w:rPr>
      </w:pPr>
    </w:p>
    <w:p w14:paraId="6E0FF5C0" w14:textId="77777777" w:rsidR="00680FD4" w:rsidRPr="003E3613" w:rsidRDefault="00680FD4" w:rsidP="00204696">
      <w:pPr>
        <w:jc w:val="both"/>
        <w:rPr>
          <w:rFonts w:ascii="Book Antiqua" w:hAnsi="Book Antiqua"/>
          <w:iCs/>
          <w:sz w:val="23"/>
          <w:szCs w:val="23"/>
          <w:lang w:val="en-GB"/>
        </w:rPr>
      </w:pPr>
      <w:r w:rsidRPr="003E3613">
        <w:rPr>
          <w:rFonts w:ascii="Book Antiqua" w:hAnsi="Book Antiqua"/>
          <w:iCs/>
          <w:sz w:val="23"/>
          <w:szCs w:val="23"/>
          <w:lang w:val="en-GB"/>
        </w:rPr>
        <w:t xml:space="preserve">In January 2011, the European Commission (Neelie Kroes </w:t>
      </w:r>
      <w:r w:rsidR="002F1670" w:rsidRPr="003E3613">
        <w:rPr>
          <w:rFonts w:ascii="Book Antiqua" w:hAnsi="Book Antiqua"/>
          <w:iCs/>
          <w:sz w:val="23"/>
          <w:szCs w:val="23"/>
          <w:lang w:val="en-GB"/>
        </w:rPr>
        <w:t>then</w:t>
      </w:r>
      <w:r w:rsidRPr="003E3613">
        <w:rPr>
          <w:rFonts w:ascii="Book Antiqua" w:hAnsi="Book Antiqua"/>
          <w:iCs/>
          <w:sz w:val="23"/>
          <w:szCs w:val="23"/>
          <w:lang w:val="en-GB"/>
        </w:rPr>
        <w:t xml:space="preserve"> Commissioner for Digital Agenda) expressed concerns of the Hungarian media regulation with regards to extending the scope of the law to foreign media companies; providing too broad requirements for balanced information; broadly extended registration requirements (even blogs should have been registered); too strict content legislation to prohibit the harm of individuals and the minority or the majority. As a result of the dialogue with the Commission, Hungary introduced provisions in the </w:t>
      </w:r>
      <w:r w:rsidR="002F1670" w:rsidRPr="003E3613">
        <w:rPr>
          <w:rFonts w:ascii="Book Antiqua" w:hAnsi="Book Antiqua"/>
          <w:iCs/>
          <w:sz w:val="23"/>
          <w:szCs w:val="23"/>
          <w:lang w:val="en-GB"/>
        </w:rPr>
        <w:t xml:space="preserve">Act </w:t>
      </w:r>
      <w:r w:rsidRPr="003E3613">
        <w:rPr>
          <w:rFonts w:ascii="Book Antiqua" w:hAnsi="Book Antiqua"/>
          <w:iCs/>
          <w:sz w:val="23"/>
          <w:szCs w:val="23"/>
          <w:lang w:val="en-GB"/>
        </w:rPr>
        <w:t xml:space="preserve">CLXXXV of 2010 on the Media Services and on the Mass Media aiming at preventing market concentration and regulating media service providers with significant powers of influence in line with the Audio-visual Media Services Directive. In this context, the </w:t>
      </w:r>
      <w:r w:rsidRPr="003E3613">
        <w:rPr>
          <w:rFonts w:ascii="Book Antiqua" w:hAnsi="Book Antiqua"/>
          <w:iCs/>
          <w:sz w:val="23"/>
          <w:szCs w:val="23"/>
          <w:lang w:val="en-GB"/>
        </w:rPr>
        <w:lastRenderedPageBreak/>
        <w:t xml:space="preserve">public statements of the Council of Europe’s Secretary General, Thorbjørn Jagland in early 2013 found that the fundamental problems of Hungarian media legislation had been resolved. </w:t>
      </w:r>
    </w:p>
    <w:p w14:paraId="7553A5C2" w14:textId="77777777" w:rsidR="00C56E5B" w:rsidRPr="003E3613" w:rsidRDefault="00C56E5B" w:rsidP="00204696">
      <w:pPr>
        <w:spacing w:after="0"/>
        <w:jc w:val="both"/>
        <w:rPr>
          <w:rFonts w:ascii="Book Antiqua" w:hAnsi="Book Antiqua"/>
          <w:iCs/>
          <w:sz w:val="23"/>
          <w:szCs w:val="23"/>
          <w:lang w:val="en-GB"/>
        </w:rPr>
      </w:pPr>
    </w:p>
    <w:p w14:paraId="250AE99B" w14:textId="77777777" w:rsidR="00602F2A" w:rsidRPr="003E3613" w:rsidRDefault="004C54C7" w:rsidP="00204696">
      <w:pPr>
        <w:spacing w:after="0"/>
        <w:jc w:val="both"/>
        <w:rPr>
          <w:rFonts w:ascii="Book Antiqua" w:hAnsi="Book Antiqua"/>
          <w:iCs/>
          <w:sz w:val="23"/>
          <w:szCs w:val="23"/>
          <w:lang w:val="en-GB"/>
        </w:rPr>
      </w:pPr>
      <w:r w:rsidRPr="003E3613">
        <w:rPr>
          <w:rFonts w:ascii="Book Antiqua" w:hAnsi="Book Antiqua"/>
          <w:iCs/>
          <w:sz w:val="23"/>
          <w:szCs w:val="23"/>
          <w:lang w:val="en-GB"/>
        </w:rPr>
        <w:t>The s</w:t>
      </w:r>
      <w:r w:rsidR="00733E15" w:rsidRPr="003E3613">
        <w:rPr>
          <w:rFonts w:ascii="Book Antiqua" w:hAnsi="Book Antiqua"/>
          <w:iCs/>
          <w:sz w:val="23"/>
          <w:szCs w:val="23"/>
          <w:lang w:val="en-GB"/>
        </w:rPr>
        <w:t>o called ‘Media Constitution</w:t>
      </w:r>
      <w:r w:rsidRPr="003E3613">
        <w:rPr>
          <w:rFonts w:ascii="Book Antiqua" w:hAnsi="Book Antiqua"/>
          <w:iCs/>
          <w:sz w:val="23"/>
          <w:szCs w:val="23"/>
          <w:lang w:val="en-GB"/>
        </w:rPr>
        <w:t>’</w:t>
      </w:r>
      <w:r w:rsidR="00733E15" w:rsidRPr="003E3613">
        <w:rPr>
          <w:rFonts w:ascii="Book Antiqua" w:hAnsi="Book Antiqua"/>
          <w:iCs/>
          <w:sz w:val="23"/>
          <w:szCs w:val="23"/>
          <w:lang w:val="en-GB"/>
        </w:rPr>
        <w:t xml:space="preserve"> (Act CIV on the Freedom of the Press, and the Legislation on Taxation of Advertisement Revenues of Mass Media)</w:t>
      </w:r>
      <w:r w:rsidRPr="003E3613">
        <w:rPr>
          <w:rFonts w:ascii="Book Antiqua" w:hAnsi="Book Antiqua"/>
          <w:iCs/>
          <w:sz w:val="23"/>
          <w:szCs w:val="23"/>
          <w:lang w:val="en-GB"/>
        </w:rPr>
        <w:t xml:space="preserve"> of 2010 defines and protects the editorial and journalistic freedom of expression,</w:t>
      </w:r>
      <w:r w:rsidR="002E7875" w:rsidRPr="003E3613">
        <w:rPr>
          <w:rFonts w:ascii="Book Antiqua" w:hAnsi="Book Antiqua"/>
          <w:iCs/>
          <w:sz w:val="23"/>
          <w:szCs w:val="23"/>
          <w:lang w:val="en-GB"/>
        </w:rPr>
        <w:t xml:space="preserve"> namely that any person</w:t>
      </w:r>
      <w:r w:rsidRPr="003E3613">
        <w:rPr>
          <w:rFonts w:ascii="Book Antiqua" w:hAnsi="Book Antiqua"/>
          <w:iCs/>
          <w:sz w:val="23"/>
          <w:szCs w:val="23"/>
          <w:lang w:val="en-GB"/>
        </w:rPr>
        <w:t xml:space="preserve"> employed by media content providers shall have the right to professional sovereignty and independence from the owners or sponsors of the provider, as well as from any natural or legal person.</w:t>
      </w:r>
      <w:r w:rsidR="00DD7114" w:rsidRPr="003E3613">
        <w:rPr>
          <w:rFonts w:ascii="Book Antiqua" w:hAnsi="Book Antiqua"/>
          <w:iCs/>
          <w:sz w:val="23"/>
          <w:szCs w:val="23"/>
          <w:lang w:val="en-GB"/>
        </w:rPr>
        <w:t xml:space="preserve"> </w:t>
      </w:r>
    </w:p>
    <w:p w14:paraId="2EB0A8F7" w14:textId="77777777" w:rsidR="00602F2A" w:rsidRPr="003E3613" w:rsidRDefault="00602F2A" w:rsidP="00204696">
      <w:pPr>
        <w:spacing w:after="0"/>
        <w:jc w:val="both"/>
        <w:rPr>
          <w:rFonts w:ascii="Book Antiqua" w:hAnsi="Book Antiqua"/>
          <w:iCs/>
          <w:sz w:val="23"/>
          <w:szCs w:val="23"/>
          <w:lang w:val="en-GB"/>
        </w:rPr>
      </w:pPr>
    </w:p>
    <w:p w14:paraId="4A4ED469" w14:textId="0016B6BA" w:rsidR="004C4327" w:rsidRPr="003E3613" w:rsidRDefault="00602F2A"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As far as the advertising tax is concerned, </w:t>
      </w:r>
      <w:r w:rsidR="002F1670" w:rsidRPr="003E3613">
        <w:rPr>
          <w:rFonts w:ascii="Book Antiqua" w:hAnsi="Book Antiqua"/>
          <w:iCs/>
          <w:sz w:val="23"/>
          <w:szCs w:val="23"/>
          <w:lang w:val="en-GB"/>
        </w:rPr>
        <w:t xml:space="preserve">we </w:t>
      </w:r>
      <w:r w:rsidRPr="003E3613">
        <w:rPr>
          <w:rFonts w:ascii="Book Antiqua" w:hAnsi="Book Antiqua"/>
          <w:iCs/>
          <w:sz w:val="23"/>
          <w:szCs w:val="23"/>
          <w:lang w:val="en-GB"/>
        </w:rPr>
        <w:t>point out that the regulation has been modified by the Hungarian National Assembly in accordance with the requirements of the European Commission</w:t>
      </w:r>
      <w:r w:rsidR="009653DE" w:rsidRPr="003E3613">
        <w:rPr>
          <w:rFonts w:ascii="Book Antiqua" w:hAnsi="Book Antiqua"/>
          <w:iCs/>
          <w:sz w:val="23"/>
          <w:szCs w:val="23"/>
          <w:lang w:val="en-GB"/>
        </w:rPr>
        <w:t xml:space="preserve">, </w:t>
      </w:r>
      <w:r w:rsidR="003E771B" w:rsidRPr="003E3613">
        <w:rPr>
          <w:rFonts w:ascii="Book Antiqua" w:hAnsi="Book Antiqua"/>
          <w:iCs/>
          <w:sz w:val="23"/>
          <w:szCs w:val="23"/>
          <w:lang w:val="en-GB"/>
        </w:rPr>
        <w:t xml:space="preserve">– </w:t>
      </w:r>
      <w:r w:rsidR="009653DE" w:rsidRPr="003E3613">
        <w:rPr>
          <w:rFonts w:ascii="Book Antiqua" w:hAnsi="Book Antiqua"/>
          <w:iCs/>
          <w:sz w:val="23"/>
          <w:szCs w:val="23"/>
          <w:lang w:val="en-GB"/>
        </w:rPr>
        <w:t>despite the fact that Hungary had been in disagreement</w:t>
      </w:r>
      <w:r w:rsidR="003E771B" w:rsidRPr="003E3613">
        <w:rPr>
          <w:rFonts w:ascii="Book Antiqua" w:hAnsi="Book Antiqua"/>
          <w:iCs/>
          <w:sz w:val="23"/>
          <w:szCs w:val="23"/>
          <w:lang w:val="en-GB"/>
        </w:rPr>
        <w:t xml:space="preserve"> –</w:t>
      </w:r>
      <w:r w:rsidRPr="003E3613">
        <w:rPr>
          <w:rFonts w:ascii="Book Antiqua" w:hAnsi="Book Antiqua"/>
          <w:iCs/>
          <w:sz w:val="23"/>
          <w:szCs w:val="23"/>
          <w:lang w:val="en-GB"/>
        </w:rPr>
        <w:t>, and as a consequence, the progressive characteristic of the tax has become linear. Nevertheless,</w:t>
      </w:r>
      <w:r w:rsidR="00307D73" w:rsidRPr="003E3613">
        <w:rPr>
          <w:rFonts w:ascii="Book Antiqua" w:hAnsi="Book Antiqua"/>
          <w:iCs/>
          <w:sz w:val="23"/>
          <w:szCs w:val="23"/>
          <w:lang w:val="en-GB"/>
        </w:rPr>
        <w:t xml:space="preserve"> the Commisson has adopted a state aid decision that Hungary has</w:t>
      </w:r>
      <w:r w:rsidR="004C4327" w:rsidRPr="003E3613">
        <w:rPr>
          <w:rFonts w:ascii="Book Antiqua" w:hAnsi="Book Antiqua"/>
          <w:iCs/>
          <w:sz w:val="23"/>
          <w:szCs w:val="23"/>
          <w:lang w:val="en-GB"/>
        </w:rPr>
        <w:t>, in turn,</w:t>
      </w:r>
      <w:r w:rsidR="00307D73" w:rsidRPr="003E3613">
        <w:rPr>
          <w:rFonts w:ascii="Book Antiqua" w:hAnsi="Book Antiqua"/>
          <w:iCs/>
          <w:sz w:val="23"/>
          <w:szCs w:val="23"/>
          <w:lang w:val="en-GB"/>
        </w:rPr>
        <w:t xml:space="preserve"> challenged before the Court of Justice of the European Union</w:t>
      </w:r>
      <w:r w:rsidRPr="003E3613">
        <w:rPr>
          <w:rFonts w:ascii="Book Antiqua" w:hAnsi="Book Antiqua"/>
          <w:iCs/>
          <w:sz w:val="23"/>
          <w:szCs w:val="23"/>
          <w:lang w:val="en-GB"/>
        </w:rPr>
        <w:t xml:space="preserve">. </w:t>
      </w:r>
      <w:r w:rsidR="004C4327" w:rsidRPr="003E3613">
        <w:rPr>
          <w:rFonts w:ascii="Book Antiqua" w:hAnsi="Book Antiqua"/>
          <w:iCs/>
          <w:sz w:val="23"/>
          <w:szCs w:val="23"/>
          <w:lang w:val="en-GB"/>
        </w:rPr>
        <w:t>In its judgment of 27 June 2019 in case T-20/17, Hungary v Commission, the General Court has decided in favour of the Hungarian Government approving in general the concept of progressive tax measures.</w:t>
      </w:r>
      <w:r w:rsidR="001F3318" w:rsidRPr="003E3613">
        <w:rPr>
          <w:rFonts w:ascii="Book Antiqua" w:hAnsi="Book Antiqua"/>
          <w:iCs/>
          <w:sz w:val="23"/>
          <w:szCs w:val="23"/>
          <w:lang w:val="en-GB"/>
        </w:rPr>
        <w:t xml:space="preserve"> Thus, the General Court annulled the contested Commission Decision</w:t>
      </w:r>
      <w:r w:rsidR="00007744" w:rsidRPr="003E3613">
        <w:rPr>
          <w:rStyle w:val="FootnoteReference"/>
          <w:rFonts w:ascii="Book Antiqua" w:hAnsi="Book Antiqua"/>
          <w:iCs/>
          <w:sz w:val="23"/>
          <w:szCs w:val="23"/>
          <w:lang w:val="en-GB"/>
        </w:rPr>
        <w:footnoteReference w:id="27"/>
      </w:r>
      <w:r w:rsidR="001F3318" w:rsidRPr="003E3613">
        <w:rPr>
          <w:rFonts w:ascii="Book Antiqua" w:hAnsi="Book Antiqua"/>
          <w:iCs/>
          <w:sz w:val="23"/>
          <w:szCs w:val="23"/>
          <w:lang w:val="en-GB"/>
        </w:rPr>
        <w:t>.</w:t>
      </w:r>
      <w:r w:rsidR="004C4327" w:rsidRPr="003E3613">
        <w:rPr>
          <w:rFonts w:ascii="Book Antiqua" w:hAnsi="Book Antiqua"/>
          <w:iCs/>
          <w:sz w:val="23"/>
          <w:szCs w:val="23"/>
          <w:lang w:val="en-GB"/>
        </w:rPr>
        <w:t xml:space="preserve"> On appeal of the Commission (C-596/19 P) the case is still pending.</w:t>
      </w:r>
      <w:r w:rsidR="0043152B" w:rsidRPr="003E3613">
        <w:rPr>
          <w:rFonts w:ascii="Book Antiqua" w:hAnsi="Book Antiqua"/>
          <w:iCs/>
          <w:sz w:val="23"/>
          <w:szCs w:val="23"/>
          <w:lang w:val="en-GB"/>
        </w:rPr>
        <w:t xml:space="preserve"> It is important to note that regarding</w:t>
      </w:r>
      <w:r w:rsidR="004C4327" w:rsidRPr="003E3613">
        <w:rPr>
          <w:rFonts w:ascii="Book Antiqua" w:hAnsi="Book Antiqua"/>
          <w:iCs/>
          <w:sz w:val="23"/>
          <w:szCs w:val="23"/>
          <w:lang w:val="en-GB"/>
        </w:rPr>
        <w:t xml:space="preserve"> two pending preliminary ruling cases</w:t>
      </w:r>
      <w:r w:rsidR="00915B68" w:rsidRPr="003E3613">
        <w:rPr>
          <w:rFonts w:ascii="Book Antiqua" w:hAnsi="Book Antiqua"/>
          <w:iCs/>
          <w:sz w:val="23"/>
          <w:szCs w:val="23"/>
          <w:lang w:val="en-GB"/>
        </w:rPr>
        <w:t>,</w:t>
      </w:r>
      <w:r w:rsidR="004C4327" w:rsidRPr="003E3613">
        <w:rPr>
          <w:rFonts w:ascii="Book Antiqua" w:hAnsi="Book Antiqua"/>
          <w:iCs/>
          <w:sz w:val="23"/>
          <w:szCs w:val="23"/>
          <w:lang w:val="en-GB"/>
        </w:rPr>
        <w:t xml:space="preserve"> the Advocate General confirmed that Hungarian measures similar to the advertisement tax are not only not contrary to state aid rules but are also in conformity with the free movement rules.</w:t>
      </w:r>
    </w:p>
    <w:p w14:paraId="4D37A153" w14:textId="77777777" w:rsidR="004C4327" w:rsidRPr="003E3613" w:rsidRDefault="004C4327" w:rsidP="00204696">
      <w:pPr>
        <w:spacing w:after="0"/>
        <w:jc w:val="both"/>
        <w:rPr>
          <w:rFonts w:ascii="Book Antiqua" w:hAnsi="Book Antiqua"/>
          <w:iCs/>
          <w:sz w:val="23"/>
          <w:szCs w:val="23"/>
          <w:lang w:val="en-GB"/>
        </w:rPr>
      </w:pPr>
    </w:p>
    <w:p w14:paraId="6A34DD8B" w14:textId="026CAD87" w:rsidR="00602F2A" w:rsidRPr="003E3613" w:rsidRDefault="00602F2A"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The taxation of advertising revenue is widely accepted in Europe, but compared to the Hungarian </w:t>
      </w:r>
      <w:r w:rsidR="00A02823" w:rsidRPr="003E3613">
        <w:rPr>
          <w:rFonts w:ascii="Book Antiqua" w:hAnsi="Book Antiqua"/>
          <w:iCs/>
          <w:sz w:val="23"/>
          <w:szCs w:val="23"/>
          <w:lang w:val="en-GB"/>
        </w:rPr>
        <w:t>regulation</w:t>
      </w:r>
      <w:r w:rsidRPr="003E3613">
        <w:rPr>
          <w:rFonts w:ascii="Book Antiqua" w:hAnsi="Book Antiqua"/>
          <w:iCs/>
          <w:sz w:val="23"/>
          <w:szCs w:val="23"/>
          <w:lang w:val="en-GB"/>
        </w:rPr>
        <w:t xml:space="preserve">, </w:t>
      </w:r>
      <w:r w:rsidR="00A02823" w:rsidRPr="003E3613">
        <w:rPr>
          <w:rFonts w:ascii="Book Antiqua" w:hAnsi="Book Antiqua"/>
          <w:iCs/>
          <w:sz w:val="23"/>
          <w:szCs w:val="23"/>
          <w:lang w:val="en-GB"/>
        </w:rPr>
        <w:t xml:space="preserve">in some </w:t>
      </w:r>
      <w:r w:rsidRPr="003E3613">
        <w:rPr>
          <w:rFonts w:ascii="Book Antiqua" w:hAnsi="Book Antiqua"/>
          <w:iCs/>
          <w:sz w:val="23"/>
          <w:szCs w:val="23"/>
          <w:lang w:val="en-GB"/>
        </w:rPr>
        <w:t>other Member States advertising tax</w:t>
      </w:r>
      <w:r w:rsidR="00F73C86" w:rsidRPr="003E3613">
        <w:rPr>
          <w:rFonts w:ascii="Book Antiqua" w:hAnsi="Book Antiqua"/>
          <w:iCs/>
          <w:sz w:val="23"/>
          <w:szCs w:val="23"/>
          <w:lang w:val="en-GB"/>
        </w:rPr>
        <w:t>es are not levied on</w:t>
      </w:r>
      <w:r w:rsidRPr="003E3613">
        <w:rPr>
          <w:rFonts w:ascii="Book Antiqua" w:hAnsi="Book Antiqua"/>
          <w:iCs/>
          <w:sz w:val="23"/>
          <w:szCs w:val="23"/>
          <w:lang w:val="en-GB"/>
        </w:rPr>
        <w:t xml:space="preserve"> certain publishing methods </w:t>
      </w:r>
      <w:r w:rsidR="00F73C86" w:rsidRPr="003E3613">
        <w:rPr>
          <w:rFonts w:ascii="Book Antiqua" w:hAnsi="Book Antiqua"/>
          <w:iCs/>
          <w:sz w:val="23"/>
          <w:szCs w:val="23"/>
          <w:lang w:val="en-GB"/>
        </w:rPr>
        <w:t>which might give rise to distortions among different branches of the</w:t>
      </w:r>
      <w:r w:rsidRPr="003E3613">
        <w:rPr>
          <w:rFonts w:ascii="Book Antiqua" w:hAnsi="Book Antiqua"/>
          <w:iCs/>
          <w:sz w:val="23"/>
          <w:szCs w:val="23"/>
          <w:lang w:val="en-GB"/>
        </w:rPr>
        <w:t xml:space="preserve"> media. In Hungary, however, the advertising tax applies not only to the advertising revenue </w:t>
      </w:r>
      <w:r w:rsidR="0026438A" w:rsidRPr="003E3613">
        <w:rPr>
          <w:rFonts w:ascii="Book Antiqua" w:hAnsi="Book Antiqua"/>
          <w:iCs/>
          <w:sz w:val="23"/>
          <w:szCs w:val="23"/>
          <w:lang w:val="en-GB"/>
        </w:rPr>
        <w:t xml:space="preserve">of </w:t>
      </w:r>
      <w:r w:rsidRPr="003E3613">
        <w:rPr>
          <w:rFonts w:ascii="Book Antiqua" w:hAnsi="Book Antiqua"/>
          <w:iCs/>
          <w:sz w:val="23"/>
          <w:szCs w:val="23"/>
          <w:lang w:val="en-GB"/>
        </w:rPr>
        <w:t>the</w:t>
      </w:r>
      <w:r w:rsidR="0026438A" w:rsidRPr="003E3613">
        <w:rPr>
          <w:rFonts w:ascii="Book Antiqua" w:hAnsi="Book Antiqua"/>
          <w:iCs/>
          <w:sz w:val="23"/>
          <w:szCs w:val="23"/>
          <w:lang w:val="en-GB"/>
        </w:rPr>
        <w:t xml:space="preserve"> “conventional” electronic</w:t>
      </w:r>
      <w:r w:rsidRPr="003E3613">
        <w:rPr>
          <w:rFonts w:ascii="Book Antiqua" w:hAnsi="Book Antiqua"/>
          <w:iCs/>
          <w:sz w:val="23"/>
          <w:szCs w:val="23"/>
          <w:lang w:val="en-GB"/>
        </w:rPr>
        <w:t xml:space="preserve"> media </w:t>
      </w:r>
      <w:r w:rsidR="0026438A" w:rsidRPr="003E3613">
        <w:rPr>
          <w:rFonts w:ascii="Book Antiqua" w:hAnsi="Book Antiqua"/>
          <w:iCs/>
          <w:sz w:val="23"/>
          <w:szCs w:val="23"/>
          <w:lang w:val="en-GB"/>
        </w:rPr>
        <w:t>or the offline press</w:t>
      </w:r>
      <w:r w:rsidRPr="003E3613">
        <w:rPr>
          <w:rFonts w:ascii="Book Antiqua" w:hAnsi="Book Antiqua"/>
          <w:iCs/>
          <w:sz w:val="23"/>
          <w:szCs w:val="23"/>
          <w:lang w:val="en-GB"/>
        </w:rPr>
        <w:t xml:space="preserve">, but </w:t>
      </w:r>
      <w:r w:rsidR="00CF50B4" w:rsidRPr="003E3613">
        <w:rPr>
          <w:rFonts w:ascii="Book Antiqua" w:hAnsi="Book Antiqua"/>
          <w:iCs/>
          <w:sz w:val="23"/>
          <w:szCs w:val="23"/>
          <w:lang w:val="en-GB"/>
        </w:rPr>
        <w:t>of</w:t>
      </w:r>
      <w:r w:rsidRPr="003E3613">
        <w:rPr>
          <w:rFonts w:ascii="Book Antiqua" w:hAnsi="Book Antiqua"/>
          <w:iCs/>
          <w:sz w:val="23"/>
          <w:szCs w:val="23"/>
          <w:lang w:val="en-GB"/>
        </w:rPr>
        <w:t xml:space="preserve"> all platforms</w:t>
      </w:r>
      <w:r w:rsidR="00CF50B4" w:rsidRPr="003E3613">
        <w:rPr>
          <w:rFonts w:ascii="Book Antiqua" w:hAnsi="Book Antiqua"/>
          <w:iCs/>
          <w:sz w:val="23"/>
          <w:szCs w:val="23"/>
          <w:lang w:val="en-GB"/>
        </w:rPr>
        <w:t xml:space="preserve"> and venues, including among others the online press and social media. This is all the more important as digital platforms in Hungary are now generating more advertising revenue than their offline competitors. Moreover, market share of global online platforms has hit 20% of total, due to their booming growth rate, being 3-4 times higher than that of local competitiors. These phenomena played a role in prompting</w:t>
      </w:r>
      <w:r w:rsidRPr="003E3613">
        <w:rPr>
          <w:rFonts w:ascii="Book Antiqua" w:hAnsi="Book Antiqua"/>
          <w:iCs/>
          <w:sz w:val="23"/>
          <w:szCs w:val="23"/>
          <w:lang w:val="en-GB"/>
        </w:rPr>
        <w:t xml:space="preserve"> the European Commission </w:t>
      </w:r>
      <w:r w:rsidR="00461AAA" w:rsidRPr="003E3613">
        <w:rPr>
          <w:rFonts w:ascii="Book Antiqua" w:hAnsi="Book Antiqua"/>
          <w:iCs/>
          <w:sz w:val="23"/>
          <w:szCs w:val="23"/>
          <w:lang w:val="en-GB"/>
        </w:rPr>
        <w:t xml:space="preserve">to </w:t>
      </w:r>
      <w:r w:rsidRPr="003E3613">
        <w:rPr>
          <w:rFonts w:ascii="Book Antiqua" w:hAnsi="Book Antiqua"/>
          <w:iCs/>
          <w:sz w:val="23"/>
          <w:szCs w:val="23"/>
          <w:lang w:val="en-GB"/>
        </w:rPr>
        <w:t xml:space="preserve">suggest the use of a European Union-wide digital service tax for taxing advertising revenues (with a similar type of system that it criticized in the case of the Hungarian regulation). </w:t>
      </w:r>
      <w:r w:rsidR="00461AAA" w:rsidRPr="003E3613">
        <w:rPr>
          <w:rFonts w:ascii="Book Antiqua" w:hAnsi="Book Antiqua"/>
          <w:iCs/>
          <w:sz w:val="23"/>
          <w:szCs w:val="23"/>
          <w:lang w:val="en-GB"/>
        </w:rPr>
        <w:t>We are certain that the Eupoean Commission would not promote an approach harming the rule of law and thus we are confident that any such concerns regarding the Hungarian advertising tax are going to be dismissed based on equal standards of evaluation.</w:t>
      </w:r>
    </w:p>
    <w:p w14:paraId="09240906" w14:textId="77777777" w:rsidR="004C54C7" w:rsidRPr="003E3613" w:rsidRDefault="004C54C7" w:rsidP="00204696">
      <w:pPr>
        <w:spacing w:after="0"/>
        <w:jc w:val="both"/>
        <w:rPr>
          <w:rFonts w:ascii="Book Antiqua" w:hAnsi="Book Antiqua"/>
          <w:iCs/>
          <w:sz w:val="23"/>
          <w:szCs w:val="23"/>
          <w:lang w:val="en-GB"/>
        </w:rPr>
      </w:pPr>
      <w:r w:rsidRPr="003E3613">
        <w:rPr>
          <w:rFonts w:ascii="Book Antiqua" w:hAnsi="Book Antiqua"/>
          <w:iCs/>
          <w:sz w:val="23"/>
          <w:szCs w:val="23"/>
          <w:lang w:val="en-GB"/>
        </w:rPr>
        <w:lastRenderedPageBreak/>
        <w:t>Furthermore, the principle of transparency enshrined in the ‘Media Constitution’ obliges all bodies of the central and local governments to provide assistance to media content providers in discharging their information duties by means of making available the necessary information to media content providers in due time.</w:t>
      </w:r>
    </w:p>
    <w:p w14:paraId="467AD165" w14:textId="77777777" w:rsidR="00EA277C" w:rsidRPr="003E3613" w:rsidRDefault="00EA277C"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It must be pointed out that the criticized term "illegal media content” </w:t>
      </w:r>
      <w:r w:rsidR="00D94097" w:rsidRPr="003E3613">
        <w:rPr>
          <w:rFonts w:ascii="Book Antiqua" w:hAnsi="Book Antiqua"/>
          <w:sz w:val="23"/>
          <w:szCs w:val="23"/>
          <w:lang w:val="en-GB"/>
        </w:rPr>
        <w:t xml:space="preserve">does not exist </w:t>
      </w:r>
      <w:r w:rsidRPr="003E3613">
        <w:rPr>
          <w:rFonts w:ascii="Book Antiqua" w:hAnsi="Book Antiqua"/>
          <w:sz w:val="23"/>
          <w:szCs w:val="23"/>
          <w:lang w:val="en-GB"/>
        </w:rPr>
        <w:t xml:space="preserve">in the legislation mentioned by the reasoned proposal. Some of the obscure terms originally used in the Venice Commission's report (such as public morals) cannot be the subject of official proceedings, </w:t>
      </w:r>
      <w:r w:rsidR="00C356F9" w:rsidRPr="003E3613">
        <w:rPr>
          <w:rFonts w:ascii="Book Antiqua" w:hAnsi="Book Antiqua"/>
          <w:sz w:val="23"/>
          <w:szCs w:val="23"/>
          <w:lang w:val="en-GB"/>
        </w:rPr>
        <w:t xml:space="preserve">and the rest </w:t>
      </w:r>
      <w:r w:rsidRPr="003E3613">
        <w:rPr>
          <w:rFonts w:ascii="Book Antiqua" w:hAnsi="Book Antiqua"/>
          <w:sz w:val="23"/>
          <w:szCs w:val="23"/>
          <w:lang w:val="en-GB"/>
        </w:rPr>
        <w:t xml:space="preserve">is based on almost two decades of administrative and judicial practices, being easily recognizable by the market players and the law enforcement practitioners. </w:t>
      </w:r>
      <w:r w:rsidR="00C356F9" w:rsidRPr="003E3613">
        <w:rPr>
          <w:rFonts w:ascii="Book Antiqua" w:hAnsi="Book Antiqua"/>
          <w:sz w:val="23"/>
          <w:szCs w:val="23"/>
          <w:lang w:val="en-GB"/>
        </w:rPr>
        <w:t>T</w:t>
      </w:r>
      <w:r w:rsidRPr="003E3613">
        <w:rPr>
          <w:rFonts w:ascii="Book Antiqua" w:hAnsi="Book Antiqua"/>
          <w:sz w:val="23"/>
          <w:szCs w:val="23"/>
          <w:lang w:val="en-GB"/>
        </w:rPr>
        <w:t>he concerned service provider may</w:t>
      </w:r>
      <w:r w:rsidR="00C356F9" w:rsidRPr="003E3613">
        <w:rPr>
          <w:rFonts w:ascii="Book Antiqua" w:hAnsi="Book Antiqua"/>
          <w:sz w:val="23"/>
          <w:szCs w:val="23"/>
          <w:lang w:val="en-GB"/>
        </w:rPr>
        <w:t xml:space="preserve">, however, </w:t>
      </w:r>
      <w:r w:rsidRPr="003E3613">
        <w:rPr>
          <w:rFonts w:ascii="Book Antiqua" w:hAnsi="Book Antiqua"/>
          <w:sz w:val="23"/>
          <w:szCs w:val="23"/>
          <w:lang w:val="en-GB"/>
        </w:rPr>
        <w:t xml:space="preserve">submit a constitutional complaint if </w:t>
      </w:r>
      <w:r w:rsidR="00C356F9" w:rsidRPr="003E3613">
        <w:rPr>
          <w:rFonts w:ascii="Book Antiqua" w:hAnsi="Book Antiqua"/>
          <w:sz w:val="23"/>
          <w:szCs w:val="23"/>
          <w:lang w:val="en-GB"/>
        </w:rPr>
        <w:t xml:space="preserve">they </w:t>
      </w:r>
      <w:r w:rsidRPr="003E3613">
        <w:rPr>
          <w:rFonts w:ascii="Book Antiqua" w:hAnsi="Book Antiqua"/>
          <w:sz w:val="23"/>
          <w:szCs w:val="23"/>
          <w:lang w:val="en-GB"/>
        </w:rPr>
        <w:t>consider that the Court's interpretation viol</w:t>
      </w:r>
      <w:r w:rsidR="00D94097" w:rsidRPr="003E3613">
        <w:rPr>
          <w:rFonts w:ascii="Book Antiqua" w:hAnsi="Book Antiqua"/>
          <w:sz w:val="23"/>
          <w:szCs w:val="23"/>
          <w:lang w:val="en-GB"/>
        </w:rPr>
        <w:t>ates the freedom of the press.</w:t>
      </w:r>
    </w:p>
    <w:p w14:paraId="70BFDB97" w14:textId="77777777" w:rsidR="00EA277C" w:rsidRPr="003E3613" w:rsidRDefault="00EA277C" w:rsidP="00204696">
      <w:pPr>
        <w:spacing w:after="0"/>
        <w:jc w:val="both"/>
        <w:rPr>
          <w:rFonts w:ascii="Book Antiqua" w:hAnsi="Book Antiqua"/>
          <w:iCs/>
          <w:sz w:val="23"/>
          <w:szCs w:val="23"/>
          <w:lang w:val="en-GB"/>
        </w:rPr>
      </w:pPr>
    </w:p>
    <w:p w14:paraId="0B583023" w14:textId="77777777" w:rsidR="000250CC" w:rsidRPr="003E3613" w:rsidRDefault="000250CC" w:rsidP="00204696">
      <w:pPr>
        <w:spacing w:after="0"/>
        <w:jc w:val="both"/>
        <w:rPr>
          <w:rFonts w:ascii="Book Antiqua" w:hAnsi="Book Antiqua"/>
          <w:iCs/>
          <w:sz w:val="23"/>
          <w:szCs w:val="23"/>
          <w:lang w:val="en-GB"/>
        </w:rPr>
      </w:pPr>
      <w:r w:rsidRPr="003E3613">
        <w:rPr>
          <w:rFonts w:ascii="Book Antiqua" w:hAnsi="Book Antiqua"/>
          <w:iCs/>
          <w:sz w:val="23"/>
          <w:szCs w:val="23"/>
          <w:lang w:val="en-GB"/>
        </w:rPr>
        <w:t>The criticisms of the Venice Commission on the rules of protecting the source of information, focused on the fact that the provisions guaranteeing such a protection [Act CIV on the Freedom of the Press of 2010, 6.</w:t>
      </w:r>
      <w:r w:rsidR="00C640E1" w:rsidRPr="003E3613">
        <w:rPr>
          <w:rFonts w:ascii="Book Antiqua" w:hAnsi="Book Antiqua"/>
          <w:iCs/>
          <w:sz w:val="23"/>
          <w:szCs w:val="23"/>
          <w:lang w:val="en-GB"/>
        </w:rPr>
        <w:t xml:space="preserve"> </w:t>
      </w:r>
      <w:r w:rsidRPr="003E3613">
        <w:rPr>
          <w:rFonts w:ascii="Book Antiqua" w:hAnsi="Book Antiqua"/>
          <w:iCs/>
          <w:sz w:val="23"/>
          <w:szCs w:val="23"/>
          <w:lang w:val="en-GB"/>
        </w:rPr>
        <w:t>§ (2)] refers explicitly to criminal cases. This statement is inaccurate, as the general rules of the Act are detailed in each code of procedural law (civil, criminal, administrative and offence), and the missing provision is contained in Section 174 (2) of the Criminal Procedure</w:t>
      </w:r>
      <w:r w:rsidR="006D3CA9" w:rsidRPr="003E3613">
        <w:rPr>
          <w:rFonts w:ascii="Book Antiqua" w:hAnsi="Book Antiqua"/>
          <w:iCs/>
          <w:sz w:val="23"/>
          <w:szCs w:val="23"/>
          <w:lang w:val="en-GB"/>
        </w:rPr>
        <w:t xml:space="preserve"> Code</w:t>
      </w:r>
      <w:r w:rsidRPr="003E3613">
        <w:rPr>
          <w:rFonts w:ascii="Book Antiqua" w:hAnsi="Book Antiqua"/>
          <w:iCs/>
          <w:sz w:val="23"/>
          <w:szCs w:val="23"/>
          <w:lang w:val="en-GB"/>
        </w:rPr>
        <w:t>. In addition to the general rules, Article 6 (2) of the Media Act lays down the exceptional cases when the journalist may be obliged to disclose their source (surrender of information). Only a) a court, b) in order to investigate a criminal offence, c) in cases that are specified by law and d) in the case of exceptionally justified circumstances, may require the journalist to do so. The exact content of the scope of section 6 (2) of the Act, and in particular of the mentioned "</w:t>
      </w:r>
      <w:r w:rsidRPr="003E3613">
        <w:rPr>
          <w:rFonts w:ascii="Book Antiqua" w:hAnsi="Book Antiqua"/>
          <w:i/>
          <w:iCs/>
          <w:sz w:val="23"/>
          <w:szCs w:val="23"/>
          <w:lang w:val="en-GB"/>
        </w:rPr>
        <w:t>exceptionally justified case</w:t>
      </w:r>
      <w:r w:rsidRPr="003E3613">
        <w:rPr>
          <w:rFonts w:ascii="Book Antiqua" w:hAnsi="Book Antiqua"/>
          <w:iCs/>
          <w:sz w:val="23"/>
          <w:szCs w:val="23"/>
          <w:lang w:val="en-GB"/>
        </w:rPr>
        <w:t>", is determined by Section 174 (2) of the Criminal Procedure</w:t>
      </w:r>
      <w:r w:rsidR="00A21CD6" w:rsidRPr="003E3613">
        <w:rPr>
          <w:rFonts w:ascii="Book Antiqua" w:hAnsi="Book Antiqua"/>
          <w:iCs/>
          <w:sz w:val="23"/>
          <w:szCs w:val="23"/>
          <w:lang w:val="en-GB"/>
        </w:rPr>
        <w:t xml:space="preserve"> Code</w:t>
      </w:r>
      <w:r w:rsidRPr="003E3613">
        <w:rPr>
          <w:rFonts w:ascii="Book Antiqua" w:hAnsi="Book Antiqua"/>
          <w:iCs/>
          <w:sz w:val="23"/>
          <w:szCs w:val="23"/>
          <w:lang w:val="en-GB"/>
        </w:rPr>
        <w:t>.</w:t>
      </w:r>
      <w:r w:rsidRPr="003E3613">
        <w:rPr>
          <w:lang w:val="en-GB"/>
        </w:rPr>
        <w:t xml:space="preserve"> </w:t>
      </w:r>
      <w:r w:rsidRPr="003E3613">
        <w:rPr>
          <w:rFonts w:ascii="Book Antiqua" w:hAnsi="Book Antiqua"/>
          <w:iCs/>
          <w:sz w:val="23"/>
          <w:szCs w:val="23"/>
          <w:lang w:val="en-GB"/>
        </w:rPr>
        <w:t>These are conjunctive requirements and the fact that the information cannot be provided by any other means shall always be defined as a result of careful and detailed investigation.</w:t>
      </w:r>
    </w:p>
    <w:p w14:paraId="513B60FE" w14:textId="77777777" w:rsidR="000250CC" w:rsidRPr="003E3613" w:rsidRDefault="000250CC" w:rsidP="00204696">
      <w:pPr>
        <w:spacing w:after="0"/>
        <w:jc w:val="both"/>
        <w:rPr>
          <w:rFonts w:ascii="Book Antiqua" w:hAnsi="Book Antiqua"/>
          <w:iCs/>
          <w:sz w:val="23"/>
          <w:szCs w:val="23"/>
          <w:lang w:val="en-GB"/>
        </w:rPr>
      </w:pPr>
    </w:p>
    <w:p w14:paraId="06081508" w14:textId="77777777" w:rsidR="00A117C9" w:rsidRDefault="000A354E"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Compared to previous press legislation the new ‘Media Constitution’ allows journalists generally to </w:t>
      </w:r>
      <w:r w:rsidR="004F2784" w:rsidRPr="003E3613">
        <w:rPr>
          <w:rFonts w:ascii="Book Antiqua" w:hAnsi="Book Antiqua"/>
          <w:iCs/>
          <w:sz w:val="23"/>
          <w:szCs w:val="23"/>
          <w:lang w:val="en-GB"/>
        </w:rPr>
        <w:t>hide</w:t>
      </w:r>
      <w:r w:rsidR="002E7875" w:rsidRPr="003E3613">
        <w:rPr>
          <w:rFonts w:ascii="Book Antiqua" w:hAnsi="Book Antiqua"/>
          <w:iCs/>
          <w:sz w:val="23"/>
          <w:szCs w:val="23"/>
          <w:lang w:val="en-GB"/>
        </w:rPr>
        <w:t xml:space="preserve"> their information </w:t>
      </w:r>
      <w:r w:rsidRPr="003E3613">
        <w:rPr>
          <w:rFonts w:ascii="Book Antiqua" w:hAnsi="Book Antiqua"/>
          <w:iCs/>
          <w:sz w:val="23"/>
          <w:szCs w:val="23"/>
          <w:lang w:val="en-GB"/>
        </w:rPr>
        <w:t>sources</w:t>
      </w:r>
      <w:r w:rsidR="004F2784" w:rsidRPr="003E3613">
        <w:rPr>
          <w:rFonts w:ascii="Book Antiqua" w:hAnsi="Book Antiqua"/>
          <w:iCs/>
          <w:sz w:val="23"/>
          <w:szCs w:val="23"/>
          <w:lang w:val="en-GB"/>
        </w:rPr>
        <w:t xml:space="preserve"> in administrative and judicial procedures</w:t>
      </w:r>
      <w:r w:rsidR="00A72969" w:rsidRPr="003E3613">
        <w:rPr>
          <w:rFonts w:ascii="Book Antiqua" w:hAnsi="Book Antiqua"/>
          <w:iCs/>
          <w:sz w:val="23"/>
          <w:szCs w:val="23"/>
          <w:lang w:val="en-GB"/>
        </w:rPr>
        <w:t>.</w:t>
      </w:r>
      <w:r w:rsidR="004F2784" w:rsidRPr="003E3613">
        <w:rPr>
          <w:rFonts w:ascii="Book Antiqua" w:hAnsi="Book Antiqua"/>
          <w:iCs/>
          <w:sz w:val="23"/>
          <w:szCs w:val="23"/>
          <w:lang w:val="en-GB"/>
        </w:rPr>
        <w:t xml:space="preserve"> In accordance with the former Press Act of 1986 </w:t>
      </w:r>
      <w:r w:rsidR="004C0396" w:rsidRPr="003E3613">
        <w:rPr>
          <w:rFonts w:ascii="Book Antiqua" w:hAnsi="Book Antiqua"/>
          <w:iCs/>
          <w:sz w:val="23"/>
          <w:szCs w:val="23"/>
          <w:lang w:val="en-GB"/>
        </w:rPr>
        <w:t>(</w:t>
      </w:r>
      <w:r w:rsidR="00A72969" w:rsidRPr="003E3613">
        <w:rPr>
          <w:rFonts w:ascii="Book Antiqua" w:hAnsi="Book Antiqua"/>
          <w:iCs/>
          <w:sz w:val="23"/>
          <w:szCs w:val="23"/>
          <w:lang w:val="en-GB"/>
        </w:rPr>
        <w:t>Stv.</w:t>
      </w:r>
      <w:r w:rsidR="004C0396" w:rsidRPr="003E3613">
        <w:rPr>
          <w:rFonts w:ascii="Book Antiqua" w:hAnsi="Book Antiqua"/>
          <w:iCs/>
          <w:sz w:val="23"/>
          <w:szCs w:val="23"/>
          <w:lang w:val="en-GB"/>
        </w:rPr>
        <w:t>)</w:t>
      </w:r>
      <w:r w:rsidR="004F2784" w:rsidRPr="003E3613">
        <w:rPr>
          <w:rFonts w:ascii="Book Antiqua" w:hAnsi="Book Antiqua"/>
          <w:iCs/>
          <w:sz w:val="23"/>
          <w:szCs w:val="23"/>
          <w:lang w:val="en-GB"/>
        </w:rPr>
        <w:t xml:space="preserve"> the journalist</w:t>
      </w:r>
      <w:r w:rsidR="003A6DF3" w:rsidRPr="003E3613">
        <w:rPr>
          <w:rFonts w:ascii="Book Antiqua" w:hAnsi="Book Antiqua"/>
          <w:iCs/>
          <w:sz w:val="23"/>
          <w:szCs w:val="23"/>
          <w:lang w:val="en-GB"/>
        </w:rPr>
        <w:t>s</w:t>
      </w:r>
      <w:r w:rsidR="004F2784" w:rsidRPr="003E3613">
        <w:rPr>
          <w:rFonts w:ascii="Book Antiqua" w:hAnsi="Book Antiqua"/>
          <w:iCs/>
          <w:sz w:val="23"/>
          <w:szCs w:val="23"/>
          <w:lang w:val="en-GB"/>
        </w:rPr>
        <w:t xml:space="preserve"> could (and upon the request of the source had to) conceal</w:t>
      </w:r>
      <w:r w:rsidR="00A72969" w:rsidRPr="003E3613">
        <w:rPr>
          <w:rFonts w:ascii="Book Antiqua" w:hAnsi="Book Antiqua"/>
          <w:iCs/>
          <w:sz w:val="23"/>
          <w:szCs w:val="23"/>
          <w:lang w:val="en-GB"/>
        </w:rPr>
        <w:t xml:space="preserve"> </w:t>
      </w:r>
      <w:r w:rsidR="004F2784" w:rsidRPr="003E3613">
        <w:rPr>
          <w:rFonts w:ascii="Book Antiqua" w:hAnsi="Book Antiqua"/>
          <w:iCs/>
          <w:sz w:val="23"/>
          <w:szCs w:val="23"/>
          <w:lang w:val="en-GB"/>
        </w:rPr>
        <w:t xml:space="preserve">the name </w:t>
      </w:r>
      <w:r w:rsidR="00240858" w:rsidRPr="003E3613">
        <w:rPr>
          <w:rFonts w:ascii="Book Antiqua" w:hAnsi="Book Antiqua"/>
          <w:iCs/>
          <w:sz w:val="23"/>
          <w:szCs w:val="23"/>
          <w:lang w:val="en-GB"/>
        </w:rPr>
        <w:t xml:space="preserve">of </w:t>
      </w:r>
      <w:r w:rsidR="003A6DF3" w:rsidRPr="003E3613">
        <w:rPr>
          <w:rFonts w:ascii="Book Antiqua" w:hAnsi="Book Antiqua"/>
          <w:iCs/>
          <w:sz w:val="23"/>
          <w:szCs w:val="23"/>
          <w:lang w:val="en-GB"/>
        </w:rPr>
        <w:t>their</w:t>
      </w:r>
      <w:r w:rsidR="004F2784" w:rsidRPr="003E3613">
        <w:rPr>
          <w:rFonts w:ascii="Book Antiqua" w:hAnsi="Book Antiqua"/>
          <w:iCs/>
          <w:sz w:val="23"/>
          <w:szCs w:val="23"/>
          <w:lang w:val="en-GB"/>
        </w:rPr>
        <w:t xml:space="preserve"> source</w:t>
      </w:r>
      <w:r w:rsidR="00A72969" w:rsidRPr="003E3613">
        <w:rPr>
          <w:rFonts w:ascii="Book Antiqua" w:hAnsi="Book Antiqua"/>
          <w:iCs/>
          <w:sz w:val="23"/>
          <w:szCs w:val="23"/>
          <w:lang w:val="en-GB"/>
        </w:rPr>
        <w:t>,</w:t>
      </w:r>
      <w:r w:rsidR="004F2784" w:rsidRPr="003E3613">
        <w:rPr>
          <w:rFonts w:ascii="Book Antiqua" w:hAnsi="Book Antiqua"/>
          <w:iCs/>
          <w:sz w:val="23"/>
          <w:szCs w:val="23"/>
          <w:lang w:val="en-GB"/>
        </w:rPr>
        <w:t xml:space="preserve"> however, this right did</w:t>
      </w:r>
      <w:r w:rsidR="00F231D1" w:rsidRPr="003E3613">
        <w:rPr>
          <w:rFonts w:ascii="Book Antiqua" w:hAnsi="Book Antiqua"/>
          <w:iCs/>
          <w:sz w:val="23"/>
          <w:szCs w:val="23"/>
          <w:lang w:val="en-GB"/>
        </w:rPr>
        <w:t xml:space="preserve"> not apply to denying testimony in criminal procedures; instead, the Stv. referred the case for the former Criminal Procedure Act which, however, failed to regulate it</w:t>
      </w:r>
      <w:r w:rsidR="00A72969" w:rsidRPr="003E3613">
        <w:rPr>
          <w:rFonts w:ascii="Book Antiqua" w:hAnsi="Book Antiqua"/>
          <w:iCs/>
          <w:sz w:val="23"/>
          <w:szCs w:val="23"/>
          <w:lang w:val="en-GB"/>
        </w:rPr>
        <w:t>.</w:t>
      </w:r>
      <w:r w:rsidR="00F231D1" w:rsidRPr="003E3613">
        <w:rPr>
          <w:rFonts w:ascii="Book Antiqua" w:hAnsi="Book Antiqua"/>
          <w:iCs/>
          <w:sz w:val="23"/>
          <w:szCs w:val="23"/>
          <w:lang w:val="en-GB"/>
        </w:rPr>
        <w:t xml:space="preserve"> In contrast, the new ‘Media Con</w:t>
      </w:r>
      <w:r w:rsidR="00733E15" w:rsidRPr="003E3613">
        <w:rPr>
          <w:rFonts w:ascii="Book Antiqua" w:hAnsi="Book Antiqua"/>
          <w:iCs/>
          <w:sz w:val="23"/>
          <w:szCs w:val="23"/>
          <w:lang w:val="en-GB"/>
        </w:rPr>
        <w:t>stitution’ declares</w:t>
      </w:r>
      <w:r w:rsidR="00F231D1" w:rsidRPr="003E3613">
        <w:rPr>
          <w:rFonts w:ascii="Book Antiqua" w:hAnsi="Book Antiqua"/>
          <w:iCs/>
          <w:sz w:val="23"/>
          <w:szCs w:val="23"/>
          <w:lang w:val="en-GB"/>
        </w:rPr>
        <w:t xml:space="preserve"> the general rule of protecting the source of information</w:t>
      </w:r>
      <w:r w:rsidR="00B542DE" w:rsidRPr="003E3613">
        <w:rPr>
          <w:rFonts w:ascii="Book Antiqua" w:hAnsi="Book Antiqua"/>
          <w:iCs/>
          <w:sz w:val="23"/>
          <w:szCs w:val="23"/>
          <w:lang w:val="en-GB"/>
        </w:rPr>
        <w:t xml:space="preserve"> requiring that the public interest concerning making the information public had to be substantiated</w:t>
      </w:r>
      <w:r w:rsidR="00A72969" w:rsidRPr="003E3613">
        <w:rPr>
          <w:rFonts w:ascii="Book Antiqua" w:hAnsi="Book Antiqua"/>
          <w:iCs/>
          <w:sz w:val="23"/>
          <w:szCs w:val="23"/>
          <w:lang w:val="en-GB"/>
        </w:rPr>
        <w:t xml:space="preserve">. </w:t>
      </w:r>
      <w:r w:rsidR="00684308" w:rsidRPr="003E3613">
        <w:rPr>
          <w:rFonts w:ascii="Book Antiqua" w:hAnsi="Book Antiqua"/>
          <w:iCs/>
          <w:sz w:val="23"/>
          <w:szCs w:val="23"/>
          <w:lang w:val="en-GB"/>
        </w:rPr>
        <w:t>In this</w:t>
      </w:r>
      <w:r w:rsidR="00CB200A" w:rsidRPr="003E3613">
        <w:rPr>
          <w:rFonts w:ascii="Book Antiqua" w:hAnsi="Book Antiqua"/>
          <w:iCs/>
          <w:sz w:val="23"/>
          <w:szCs w:val="23"/>
          <w:lang w:val="en-GB"/>
        </w:rPr>
        <w:t xml:space="preserve"> case</w:t>
      </w:r>
      <w:r w:rsidR="003A6DF3" w:rsidRPr="003E3613">
        <w:rPr>
          <w:rFonts w:ascii="Book Antiqua" w:hAnsi="Book Antiqua"/>
          <w:iCs/>
          <w:sz w:val="23"/>
          <w:szCs w:val="23"/>
          <w:lang w:val="en-GB"/>
        </w:rPr>
        <w:t>,</w:t>
      </w:r>
      <w:r w:rsidR="00684308" w:rsidRPr="003E3613">
        <w:rPr>
          <w:rFonts w:ascii="Book Antiqua" w:hAnsi="Book Antiqua"/>
          <w:iCs/>
          <w:sz w:val="23"/>
          <w:szCs w:val="23"/>
          <w:lang w:val="en-GB"/>
        </w:rPr>
        <w:t xml:space="preserve"> the affected person</w:t>
      </w:r>
      <w:r w:rsidR="00CB200A" w:rsidRPr="003E3613">
        <w:rPr>
          <w:rFonts w:ascii="Book Antiqua" w:hAnsi="Book Antiqua"/>
          <w:iCs/>
          <w:sz w:val="23"/>
          <w:szCs w:val="23"/>
          <w:lang w:val="en-GB"/>
        </w:rPr>
        <w:t>,</w:t>
      </w:r>
      <w:r w:rsidR="00684308" w:rsidRPr="003E3613">
        <w:rPr>
          <w:rFonts w:ascii="Book Antiqua" w:hAnsi="Book Antiqua"/>
          <w:iCs/>
          <w:sz w:val="23"/>
          <w:szCs w:val="23"/>
          <w:lang w:val="en-GB"/>
        </w:rPr>
        <w:t xml:space="preserve"> </w:t>
      </w:r>
      <w:r w:rsidR="00CB200A" w:rsidRPr="003E3613">
        <w:rPr>
          <w:rFonts w:ascii="Book Antiqua" w:hAnsi="Book Antiqua"/>
          <w:iCs/>
          <w:sz w:val="23"/>
          <w:szCs w:val="23"/>
          <w:lang w:val="en-GB"/>
        </w:rPr>
        <w:t xml:space="preserve">with narrow exceptions, </w:t>
      </w:r>
      <w:r w:rsidR="00684308" w:rsidRPr="003E3613">
        <w:rPr>
          <w:rFonts w:ascii="Book Antiqua" w:hAnsi="Book Antiqua"/>
          <w:iCs/>
          <w:sz w:val="23"/>
          <w:szCs w:val="23"/>
          <w:lang w:val="en-GB"/>
        </w:rPr>
        <w:t xml:space="preserve">could deny </w:t>
      </w:r>
      <w:r w:rsidR="000B01D2" w:rsidRPr="003E3613">
        <w:rPr>
          <w:rFonts w:ascii="Book Antiqua" w:hAnsi="Book Antiqua"/>
          <w:iCs/>
          <w:sz w:val="23"/>
          <w:szCs w:val="23"/>
          <w:lang w:val="en-GB"/>
        </w:rPr>
        <w:t>revealing</w:t>
      </w:r>
      <w:r w:rsidR="00684308" w:rsidRPr="003E3613">
        <w:rPr>
          <w:rFonts w:ascii="Book Antiqua" w:hAnsi="Book Antiqua"/>
          <w:iCs/>
          <w:sz w:val="23"/>
          <w:szCs w:val="23"/>
          <w:lang w:val="en-GB"/>
        </w:rPr>
        <w:t xml:space="preserve"> the identity of the </w:t>
      </w:r>
      <w:r w:rsidR="000B01D2" w:rsidRPr="003E3613">
        <w:rPr>
          <w:rFonts w:ascii="Book Antiqua" w:hAnsi="Book Antiqua"/>
          <w:iCs/>
          <w:sz w:val="23"/>
          <w:szCs w:val="23"/>
          <w:lang w:val="en-GB"/>
        </w:rPr>
        <w:t>source;</w:t>
      </w:r>
      <w:r w:rsidR="00CB200A" w:rsidRPr="003E3613">
        <w:rPr>
          <w:rFonts w:ascii="Book Antiqua" w:hAnsi="Book Antiqua"/>
          <w:iCs/>
          <w:sz w:val="23"/>
          <w:szCs w:val="23"/>
          <w:lang w:val="en-GB"/>
        </w:rPr>
        <w:t xml:space="preserve"> however, the provision on verifying the public </w:t>
      </w:r>
    </w:p>
    <w:p w14:paraId="5FAF5A8E" w14:textId="77777777" w:rsidR="00A117C9" w:rsidRDefault="00A117C9">
      <w:pPr>
        <w:rPr>
          <w:rFonts w:ascii="Book Antiqua" w:hAnsi="Book Antiqua"/>
          <w:iCs/>
          <w:sz w:val="23"/>
          <w:szCs w:val="23"/>
          <w:lang w:val="en-GB"/>
        </w:rPr>
      </w:pPr>
      <w:r>
        <w:rPr>
          <w:rFonts w:ascii="Book Antiqua" w:hAnsi="Book Antiqua"/>
          <w:iCs/>
          <w:sz w:val="23"/>
          <w:szCs w:val="23"/>
          <w:lang w:val="en-GB"/>
        </w:rPr>
        <w:br w:type="page"/>
      </w:r>
    </w:p>
    <w:p w14:paraId="6E04C58A" w14:textId="7F1B91A5" w:rsidR="00A72969" w:rsidRPr="003E3613" w:rsidRDefault="00CB200A" w:rsidP="00204696">
      <w:pPr>
        <w:spacing w:after="0"/>
        <w:jc w:val="both"/>
        <w:rPr>
          <w:rFonts w:ascii="Book Antiqua" w:hAnsi="Book Antiqua"/>
          <w:iCs/>
          <w:sz w:val="23"/>
          <w:szCs w:val="23"/>
          <w:lang w:val="en-GB"/>
        </w:rPr>
      </w:pPr>
      <w:r w:rsidRPr="003E3613">
        <w:rPr>
          <w:rFonts w:ascii="Book Antiqua" w:hAnsi="Book Antiqua"/>
          <w:iCs/>
          <w:sz w:val="23"/>
          <w:szCs w:val="23"/>
          <w:lang w:val="en-GB"/>
        </w:rPr>
        <w:lastRenderedPageBreak/>
        <w:t xml:space="preserve">interest was annulled by the </w:t>
      </w:r>
      <w:r w:rsidR="003A6DF3" w:rsidRPr="003E3613">
        <w:rPr>
          <w:rFonts w:ascii="Book Antiqua" w:hAnsi="Book Antiqua"/>
          <w:iCs/>
          <w:sz w:val="23"/>
          <w:szCs w:val="23"/>
          <w:lang w:val="en-GB"/>
        </w:rPr>
        <w:t xml:space="preserve">Decision </w:t>
      </w:r>
      <w:r w:rsidR="00C640E1" w:rsidRPr="003E3613">
        <w:rPr>
          <w:rFonts w:ascii="Book Antiqua" w:hAnsi="Book Antiqua"/>
          <w:iCs/>
          <w:sz w:val="23"/>
          <w:szCs w:val="23"/>
          <w:lang w:val="en-GB"/>
        </w:rPr>
        <w:t xml:space="preserve">No. </w:t>
      </w:r>
      <w:r w:rsidR="003A6DF3" w:rsidRPr="003E3613">
        <w:rPr>
          <w:rFonts w:ascii="Book Antiqua" w:hAnsi="Book Antiqua"/>
          <w:iCs/>
          <w:sz w:val="23"/>
          <w:szCs w:val="23"/>
          <w:lang w:val="en-GB"/>
        </w:rPr>
        <w:t>165/2011 (XII. 20.)</w:t>
      </w:r>
      <w:r w:rsidR="00C640E1" w:rsidRPr="003E3613">
        <w:rPr>
          <w:rFonts w:ascii="Book Antiqua" w:hAnsi="Book Antiqua"/>
          <w:iCs/>
          <w:sz w:val="23"/>
          <w:szCs w:val="23"/>
          <w:lang w:val="en-GB"/>
        </w:rPr>
        <w:t xml:space="preserve"> of the</w:t>
      </w:r>
      <w:r w:rsidR="003A6DF3" w:rsidRPr="003E3613">
        <w:rPr>
          <w:rFonts w:ascii="Book Antiqua" w:hAnsi="Book Antiqua"/>
          <w:iCs/>
          <w:sz w:val="23"/>
          <w:szCs w:val="23"/>
          <w:lang w:val="en-GB"/>
        </w:rPr>
        <w:t xml:space="preserve"> </w:t>
      </w:r>
      <w:r w:rsidRPr="003E3613">
        <w:rPr>
          <w:rFonts w:ascii="Book Antiqua" w:hAnsi="Book Antiqua"/>
          <w:iCs/>
          <w:sz w:val="23"/>
          <w:szCs w:val="23"/>
          <w:lang w:val="en-GB"/>
        </w:rPr>
        <w:t>Constitutional Court</w:t>
      </w:r>
      <w:r w:rsidR="00A72969" w:rsidRPr="003E3613">
        <w:rPr>
          <w:rFonts w:ascii="Book Antiqua" w:hAnsi="Book Antiqua"/>
          <w:iCs/>
          <w:sz w:val="23"/>
          <w:szCs w:val="23"/>
          <w:lang w:val="en-GB"/>
        </w:rPr>
        <w:t>.</w:t>
      </w:r>
      <w:r w:rsidRPr="003E3613">
        <w:rPr>
          <w:rFonts w:ascii="Book Antiqua" w:hAnsi="Book Antiqua"/>
          <w:iCs/>
          <w:sz w:val="23"/>
          <w:szCs w:val="23"/>
          <w:lang w:val="en-GB"/>
        </w:rPr>
        <w:t xml:space="preserve"> As a result, the Hungarian </w:t>
      </w:r>
      <w:r w:rsidR="00733E15" w:rsidRPr="003E3613">
        <w:rPr>
          <w:rFonts w:ascii="Book Antiqua" w:hAnsi="Book Antiqua"/>
          <w:iCs/>
          <w:sz w:val="23"/>
          <w:szCs w:val="23"/>
          <w:lang w:val="en-GB"/>
        </w:rPr>
        <w:t>Parliament</w:t>
      </w:r>
      <w:r w:rsidRPr="003E3613">
        <w:rPr>
          <w:rFonts w:ascii="Book Antiqua" w:hAnsi="Book Antiqua"/>
          <w:iCs/>
          <w:sz w:val="23"/>
          <w:szCs w:val="23"/>
          <w:lang w:val="en-GB"/>
        </w:rPr>
        <w:t xml:space="preserve"> amended the rules taking into consideration the decision of the Hungarian Constitutional Court</w:t>
      </w:r>
      <w:r w:rsidR="00733E15" w:rsidRPr="003E3613">
        <w:rPr>
          <w:rFonts w:ascii="Book Antiqua" w:hAnsi="Book Antiqua"/>
          <w:iCs/>
          <w:sz w:val="23"/>
          <w:szCs w:val="23"/>
          <w:lang w:val="en-GB"/>
        </w:rPr>
        <w:t>,</w:t>
      </w:r>
      <w:r w:rsidRPr="003E3613">
        <w:rPr>
          <w:rFonts w:ascii="Book Antiqua" w:hAnsi="Book Antiqua"/>
          <w:iCs/>
          <w:sz w:val="23"/>
          <w:szCs w:val="23"/>
          <w:lang w:val="en-GB"/>
        </w:rPr>
        <w:t xml:space="preserve"> as well as the recommendations of the Council of Europe.</w:t>
      </w:r>
      <w:r w:rsidR="00733E15" w:rsidRPr="003E3613">
        <w:rPr>
          <w:rFonts w:ascii="Book Antiqua" w:hAnsi="Book Antiqua"/>
          <w:iCs/>
          <w:sz w:val="23"/>
          <w:szCs w:val="23"/>
          <w:lang w:val="en-GB"/>
        </w:rPr>
        <w:t xml:space="preserve"> </w:t>
      </w:r>
      <w:r w:rsidR="000B01D2" w:rsidRPr="003E3613">
        <w:rPr>
          <w:rFonts w:ascii="Book Antiqua" w:hAnsi="Book Antiqua"/>
          <w:iCs/>
          <w:sz w:val="23"/>
          <w:szCs w:val="23"/>
          <w:lang w:val="en-GB"/>
        </w:rPr>
        <w:t xml:space="preserve">The new rules, effective as of July </w:t>
      </w:r>
      <w:r w:rsidR="00A72969" w:rsidRPr="003E3613">
        <w:rPr>
          <w:rFonts w:ascii="Book Antiqua" w:hAnsi="Book Antiqua"/>
          <w:iCs/>
          <w:sz w:val="23"/>
          <w:szCs w:val="23"/>
          <w:lang w:val="en-GB"/>
        </w:rPr>
        <w:t>2012</w:t>
      </w:r>
      <w:r w:rsidR="000B01D2" w:rsidRPr="003E3613">
        <w:rPr>
          <w:rFonts w:ascii="Book Antiqua" w:hAnsi="Book Antiqua"/>
          <w:iCs/>
          <w:sz w:val="23"/>
          <w:szCs w:val="23"/>
          <w:lang w:val="en-GB"/>
        </w:rPr>
        <w:t>, provided a more effective protection for information sources</w:t>
      </w:r>
      <w:r w:rsidR="00A72969" w:rsidRPr="003E3613">
        <w:rPr>
          <w:rFonts w:ascii="Book Antiqua" w:hAnsi="Book Antiqua"/>
          <w:iCs/>
          <w:sz w:val="23"/>
          <w:szCs w:val="23"/>
          <w:lang w:val="en-GB"/>
        </w:rPr>
        <w:t>.</w:t>
      </w:r>
      <w:r w:rsidR="000B01D2" w:rsidRPr="003E3613">
        <w:rPr>
          <w:rFonts w:ascii="Book Antiqua" w:hAnsi="Book Antiqua"/>
          <w:iCs/>
          <w:sz w:val="23"/>
          <w:szCs w:val="23"/>
          <w:lang w:val="en-GB"/>
        </w:rPr>
        <w:t xml:space="preserve"> On the one hand it made the term ‘information source’ more precise and removed the requirement on public interest from the text</w:t>
      </w:r>
      <w:r w:rsidR="00A72969" w:rsidRPr="003E3613">
        <w:rPr>
          <w:rFonts w:ascii="Book Antiqua" w:hAnsi="Book Antiqua"/>
          <w:iCs/>
          <w:sz w:val="23"/>
          <w:szCs w:val="23"/>
          <w:lang w:val="en-GB"/>
        </w:rPr>
        <w:t>,</w:t>
      </w:r>
      <w:r w:rsidR="000B01D2" w:rsidRPr="003E3613">
        <w:rPr>
          <w:rFonts w:ascii="Book Antiqua" w:hAnsi="Book Antiqua"/>
          <w:iCs/>
          <w:sz w:val="23"/>
          <w:szCs w:val="23"/>
          <w:lang w:val="en-GB"/>
        </w:rPr>
        <w:t xml:space="preserve"> on the other hand the ‘exemption reason’, (the possibility to</w:t>
      </w:r>
      <w:r w:rsidR="00773B89" w:rsidRPr="003E3613">
        <w:rPr>
          <w:rFonts w:ascii="Book Antiqua" w:hAnsi="Book Antiqua"/>
          <w:iCs/>
          <w:sz w:val="23"/>
          <w:szCs w:val="23"/>
          <w:lang w:val="en-GB"/>
        </w:rPr>
        <w:t xml:space="preserve"> deny testimony meant to</w:t>
      </w:r>
      <w:r w:rsidR="000B01D2" w:rsidRPr="003E3613">
        <w:rPr>
          <w:rFonts w:ascii="Book Antiqua" w:hAnsi="Book Antiqua"/>
          <w:iCs/>
          <w:sz w:val="23"/>
          <w:szCs w:val="23"/>
          <w:lang w:val="en-GB"/>
        </w:rPr>
        <w:t xml:space="preserve"> reveal the </w:t>
      </w:r>
      <w:r w:rsidR="00773B89" w:rsidRPr="003E3613">
        <w:rPr>
          <w:rFonts w:ascii="Book Antiqua" w:hAnsi="Book Antiqua"/>
          <w:iCs/>
          <w:sz w:val="23"/>
          <w:szCs w:val="23"/>
          <w:lang w:val="en-GB"/>
        </w:rPr>
        <w:t>identity of the source) shall subsist even following the termination of the journalist</w:t>
      </w:r>
      <w:r w:rsidR="003A6DF3" w:rsidRPr="003E3613">
        <w:rPr>
          <w:rFonts w:ascii="Book Antiqua" w:hAnsi="Book Antiqua"/>
          <w:iCs/>
          <w:sz w:val="23"/>
          <w:szCs w:val="23"/>
          <w:lang w:val="en-GB"/>
        </w:rPr>
        <w:t>’s</w:t>
      </w:r>
      <w:r w:rsidR="00773B89" w:rsidRPr="003E3613">
        <w:rPr>
          <w:rFonts w:ascii="Book Antiqua" w:hAnsi="Book Antiqua"/>
          <w:iCs/>
          <w:sz w:val="23"/>
          <w:szCs w:val="23"/>
          <w:lang w:val="en-GB"/>
        </w:rPr>
        <w:t xml:space="preserve"> employment</w:t>
      </w:r>
      <w:r w:rsidR="00A72969" w:rsidRPr="003E3613">
        <w:rPr>
          <w:rFonts w:ascii="Book Antiqua" w:hAnsi="Book Antiqua"/>
          <w:iCs/>
          <w:sz w:val="23"/>
          <w:szCs w:val="23"/>
          <w:lang w:val="en-GB"/>
        </w:rPr>
        <w:t xml:space="preserve">. </w:t>
      </w:r>
    </w:p>
    <w:p w14:paraId="481B3419" w14:textId="77777777" w:rsidR="00181A3A" w:rsidRPr="003E3613" w:rsidRDefault="00181A3A" w:rsidP="00204696">
      <w:pPr>
        <w:spacing w:after="0"/>
        <w:jc w:val="both"/>
        <w:rPr>
          <w:rFonts w:ascii="Book Antiqua" w:hAnsi="Book Antiqua"/>
          <w:iCs/>
          <w:sz w:val="23"/>
          <w:szCs w:val="23"/>
          <w:lang w:val="en-GB"/>
        </w:rPr>
      </w:pPr>
    </w:p>
    <w:p w14:paraId="56AA6B63" w14:textId="77777777" w:rsidR="00181A3A" w:rsidRPr="003E3613" w:rsidRDefault="00181A3A" w:rsidP="00204696">
      <w:pPr>
        <w:spacing w:after="0"/>
        <w:jc w:val="both"/>
        <w:rPr>
          <w:rFonts w:ascii="Book Antiqua" w:hAnsi="Book Antiqua"/>
          <w:iCs/>
          <w:sz w:val="23"/>
          <w:szCs w:val="23"/>
          <w:lang w:val="en-GB"/>
        </w:rPr>
      </w:pPr>
      <w:r w:rsidRPr="003E3613">
        <w:rPr>
          <w:rFonts w:ascii="Book Antiqua" w:hAnsi="Book Antiqua"/>
          <w:iCs/>
          <w:sz w:val="23"/>
          <w:szCs w:val="23"/>
          <w:lang w:val="en-GB"/>
        </w:rPr>
        <w:t>Therefore, it is to be stressed that the Hungarian legislation fulfils all the requirements of the Recommendation adopted by the Council of Europe, as the following wording was implemented verbatim: "</w:t>
      </w:r>
      <w:r w:rsidRPr="003E3613">
        <w:rPr>
          <w:rFonts w:ascii="Book Antiqua" w:hAnsi="Book Antiqua"/>
          <w:i/>
          <w:iCs/>
          <w:sz w:val="23"/>
          <w:szCs w:val="23"/>
          <w:lang w:val="en-GB"/>
        </w:rPr>
        <w:t>disclosure may be ordered only where reasonable alternative measures to the disclosure do not exist or have been exhausted, and where the legitimate interest in the disclosure clearly outweighs the public interest</w:t>
      </w:r>
      <w:r w:rsidR="008070F7" w:rsidRPr="003E3613">
        <w:rPr>
          <w:rFonts w:ascii="Book Antiqua" w:hAnsi="Book Antiqua"/>
          <w:i/>
          <w:iCs/>
          <w:sz w:val="23"/>
          <w:szCs w:val="23"/>
          <w:lang w:val="en-GB"/>
        </w:rPr>
        <w:t>.</w:t>
      </w:r>
      <w:r w:rsidRPr="003E3613">
        <w:rPr>
          <w:rFonts w:ascii="Book Antiqua" w:hAnsi="Book Antiqua"/>
          <w:iCs/>
          <w:sz w:val="23"/>
          <w:szCs w:val="23"/>
          <w:lang w:val="en-GB"/>
        </w:rPr>
        <w:t>"</w:t>
      </w:r>
    </w:p>
    <w:p w14:paraId="62E699AB" w14:textId="77777777" w:rsidR="000470D9" w:rsidRPr="003E3613" w:rsidRDefault="000470D9" w:rsidP="00204696">
      <w:pPr>
        <w:spacing w:after="0"/>
        <w:jc w:val="both"/>
        <w:rPr>
          <w:rFonts w:ascii="Book Antiqua" w:hAnsi="Book Antiqua"/>
          <w:iCs/>
          <w:sz w:val="23"/>
          <w:szCs w:val="23"/>
          <w:lang w:val="en-GB"/>
        </w:rPr>
      </w:pPr>
    </w:p>
    <w:p w14:paraId="43A213C1" w14:textId="77777777" w:rsidR="003E7622" w:rsidRPr="003E3613" w:rsidRDefault="00773B89" w:rsidP="00204696">
      <w:pPr>
        <w:spacing w:after="0"/>
        <w:jc w:val="both"/>
        <w:rPr>
          <w:rFonts w:ascii="Book Antiqua" w:hAnsi="Book Antiqua"/>
          <w:iCs/>
          <w:sz w:val="23"/>
          <w:szCs w:val="23"/>
          <w:lang w:val="en-GB"/>
        </w:rPr>
      </w:pPr>
      <w:r w:rsidRPr="003E3613">
        <w:rPr>
          <w:rFonts w:ascii="Book Antiqua" w:hAnsi="Book Antiqua"/>
          <w:iCs/>
          <w:sz w:val="23"/>
          <w:szCs w:val="23"/>
          <w:lang w:val="en-GB"/>
        </w:rPr>
        <w:t>As for financial penalties it must be highlighted that these sanctions may be imposed when media administration rules are violated</w:t>
      </w:r>
      <w:r w:rsidR="00A8750A" w:rsidRPr="003E3613">
        <w:rPr>
          <w:rFonts w:ascii="Book Antiqua" w:hAnsi="Book Antiqua"/>
          <w:iCs/>
          <w:sz w:val="23"/>
          <w:szCs w:val="23"/>
          <w:lang w:val="en-GB"/>
        </w:rPr>
        <w:t>.</w:t>
      </w:r>
      <w:r w:rsidRPr="003E3613">
        <w:rPr>
          <w:rFonts w:ascii="Book Antiqua" w:hAnsi="Book Antiqua"/>
          <w:iCs/>
          <w:sz w:val="23"/>
          <w:szCs w:val="23"/>
          <w:lang w:val="en-GB"/>
        </w:rPr>
        <w:t xml:space="preserve"> </w:t>
      </w:r>
      <w:r w:rsidR="003E7622" w:rsidRPr="003E3613">
        <w:rPr>
          <w:rFonts w:ascii="Book Antiqua" w:hAnsi="Book Antiqua"/>
          <w:iCs/>
          <w:sz w:val="23"/>
          <w:szCs w:val="23"/>
          <w:lang w:val="en-GB"/>
        </w:rPr>
        <w:t>The legal consequences that can be applied under the Media Act form a differentiated sanction system in accordance with the framework of general administrative law and constitutional principles.</w:t>
      </w:r>
      <w:r w:rsidR="003E7622" w:rsidRPr="003E3613">
        <w:rPr>
          <w:lang w:val="en-GB"/>
        </w:rPr>
        <w:t xml:space="preserve"> </w:t>
      </w:r>
      <w:r w:rsidR="003E7622" w:rsidRPr="003E3613">
        <w:rPr>
          <w:rFonts w:ascii="Book Antiqua" w:hAnsi="Book Antiqua"/>
          <w:iCs/>
          <w:sz w:val="23"/>
          <w:szCs w:val="23"/>
          <w:lang w:val="en-GB"/>
        </w:rPr>
        <w:t>The law takes into account the constitutional and legal requirements of administrative law, and takes into account the practice of the former Media Authority and the wide variety of potential violations.</w:t>
      </w:r>
      <w:r w:rsidR="003E7622" w:rsidRPr="003E3613">
        <w:rPr>
          <w:lang w:val="en-GB"/>
        </w:rPr>
        <w:t xml:space="preserve"> </w:t>
      </w:r>
      <w:r w:rsidR="003E7622" w:rsidRPr="003E3613">
        <w:rPr>
          <w:rFonts w:ascii="Book Antiqua" w:hAnsi="Book Antiqua"/>
          <w:iCs/>
          <w:sz w:val="23"/>
          <w:szCs w:val="23"/>
          <w:lang w:val="en-GB"/>
        </w:rPr>
        <w:t xml:space="preserve">The legal consequences and the principles set out therein make it clear that the Media Act establishes objective, clear and predictable rules along the principles of proportionality, gradual and equal treatment which, while complying with the requirements of the rule of law and legal certainty, focus on encouraging voluntary compliance. </w:t>
      </w:r>
      <w:r w:rsidRPr="003E3613">
        <w:rPr>
          <w:rFonts w:ascii="Book Antiqua" w:hAnsi="Book Antiqua"/>
          <w:iCs/>
          <w:sz w:val="23"/>
          <w:szCs w:val="23"/>
          <w:lang w:val="en-GB"/>
        </w:rPr>
        <w:t>A serious</w:t>
      </w:r>
      <w:r w:rsidR="00C3014D" w:rsidRPr="003E3613">
        <w:rPr>
          <w:rFonts w:ascii="Book Antiqua" w:hAnsi="Book Antiqua"/>
          <w:iCs/>
          <w:sz w:val="23"/>
          <w:szCs w:val="23"/>
          <w:lang w:val="en-GB"/>
        </w:rPr>
        <w:t xml:space="preserve"> monetary</w:t>
      </w:r>
      <w:r w:rsidRPr="003E3613">
        <w:rPr>
          <w:rFonts w:ascii="Book Antiqua" w:hAnsi="Book Antiqua"/>
          <w:iCs/>
          <w:sz w:val="23"/>
          <w:szCs w:val="23"/>
          <w:lang w:val="en-GB"/>
        </w:rPr>
        <w:t xml:space="preserve"> penalty may only be </w:t>
      </w:r>
      <w:r w:rsidR="00C3014D" w:rsidRPr="003E3613">
        <w:rPr>
          <w:rFonts w:ascii="Book Antiqua" w:hAnsi="Book Antiqua"/>
          <w:iCs/>
          <w:sz w:val="23"/>
          <w:szCs w:val="23"/>
          <w:lang w:val="en-GB"/>
        </w:rPr>
        <w:t>levied in case of a recurring violation and the Media Council shall take into account the principles of graduation and proportionality. The amount of the penalty is also limited.</w:t>
      </w:r>
      <w:r w:rsidR="00A8750A" w:rsidRPr="003E3613">
        <w:rPr>
          <w:rFonts w:ascii="Book Antiqua" w:hAnsi="Book Antiqua"/>
          <w:iCs/>
          <w:sz w:val="23"/>
          <w:szCs w:val="23"/>
          <w:lang w:val="en-GB"/>
        </w:rPr>
        <w:t xml:space="preserve"> </w:t>
      </w:r>
      <w:r w:rsidR="003E7622" w:rsidRPr="003E3613">
        <w:rPr>
          <w:rFonts w:ascii="Book Antiqua" w:hAnsi="Book Antiqua"/>
          <w:iCs/>
          <w:sz w:val="23"/>
          <w:szCs w:val="23"/>
          <w:lang w:val="en-GB"/>
        </w:rPr>
        <w:t xml:space="preserve">As a result of the gradual approach and the requirement of proportionality, the imposition of unfair penalties for the "first" infringement is subject to the least restrictive sanction which is already capable of achieving the desired effect. When determining the level of sanction when "first" sanctioning, it is therefore essential to be proportionate, effective and take into account the "increasibility" of the sanction. </w:t>
      </w:r>
      <w:r w:rsidR="00C3014D" w:rsidRPr="003E3613">
        <w:rPr>
          <w:rFonts w:ascii="Book Antiqua" w:hAnsi="Book Antiqua"/>
          <w:iCs/>
          <w:sz w:val="23"/>
          <w:szCs w:val="23"/>
          <w:lang w:val="en-GB"/>
        </w:rPr>
        <w:t>There are regulations in place against decisions on penalties, too.</w:t>
      </w:r>
      <w:r w:rsidR="004065C7" w:rsidRPr="003E3613">
        <w:rPr>
          <w:rFonts w:ascii="Book Antiqua" w:hAnsi="Book Antiqua"/>
          <w:iCs/>
          <w:sz w:val="23"/>
          <w:szCs w:val="23"/>
          <w:lang w:val="en-GB"/>
        </w:rPr>
        <w:t xml:space="preserve"> The predecessor of the Media Council, the ORTT could impose penalties as well, however, this provision remained unchanged since</w:t>
      </w:r>
      <w:r w:rsidR="00C3014D" w:rsidRPr="003E3613">
        <w:rPr>
          <w:rFonts w:ascii="Book Antiqua" w:hAnsi="Book Antiqua"/>
          <w:iCs/>
          <w:sz w:val="23"/>
          <w:szCs w:val="23"/>
          <w:lang w:val="en-GB"/>
        </w:rPr>
        <w:t xml:space="preserve"> </w:t>
      </w:r>
      <w:r w:rsidR="00A8750A" w:rsidRPr="003E3613">
        <w:rPr>
          <w:rFonts w:ascii="Book Antiqua" w:hAnsi="Book Antiqua"/>
          <w:iCs/>
          <w:sz w:val="23"/>
          <w:szCs w:val="23"/>
          <w:lang w:val="en-GB"/>
        </w:rPr>
        <w:t>1996</w:t>
      </w:r>
      <w:r w:rsidR="004065C7" w:rsidRPr="003E3613">
        <w:rPr>
          <w:rFonts w:ascii="Book Antiqua" w:hAnsi="Book Antiqua"/>
          <w:iCs/>
          <w:sz w:val="23"/>
          <w:szCs w:val="23"/>
          <w:lang w:val="en-GB"/>
        </w:rPr>
        <w:t xml:space="preserve"> resulting in a shrinking dissuasive effect of penalties. </w:t>
      </w:r>
    </w:p>
    <w:p w14:paraId="3BDCBCC3" w14:textId="77777777" w:rsidR="003E7622" w:rsidRPr="003E3613" w:rsidRDefault="003E7622"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In case of repeated infringements, it is possible to aggravate the sanction. The importance of the gradual approach is thus the expression of the repeated progression and the predictability of the sanction in the application of repeated penalties, possibly with other sanctions and measures. (Of course, when applying sanctions for the "first" time, consideration should be given to the fact that it may be further exacerbated.) Certain legal disadvantages are explicitly the </w:t>
      </w:r>
      <w:r w:rsidRPr="003E3613">
        <w:rPr>
          <w:rFonts w:ascii="Book Antiqua" w:hAnsi="Book Antiqua"/>
          <w:i/>
          <w:iCs/>
          <w:sz w:val="23"/>
          <w:szCs w:val="23"/>
          <w:lang w:val="en-GB"/>
        </w:rPr>
        <w:t>ultimae ratio</w:t>
      </w:r>
      <w:r w:rsidRPr="003E3613">
        <w:rPr>
          <w:rFonts w:ascii="Book Antiqua" w:hAnsi="Book Antiqua"/>
          <w:iCs/>
          <w:sz w:val="23"/>
          <w:szCs w:val="23"/>
          <w:lang w:val="en-GB"/>
        </w:rPr>
        <w:t xml:space="preserve"> of media law administration, such as the case, when the Media Council cancels the media service from its register</w:t>
      </w:r>
      <w:r w:rsidR="0045488F" w:rsidRPr="003E3613">
        <w:rPr>
          <w:rFonts w:ascii="Book Antiqua" w:hAnsi="Book Antiqua"/>
          <w:iCs/>
          <w:sz w:val="23"/>
          <w:szCs w:val="23"/>
          <w:lang w:val="en-GB"/>
        </w:rPr>
        <w:t>.</w:t>
      </w:r>
    </w:p>
    <w:p w14:paraId="1E426307" w14:textId="77777777" w:rsidR="00EA277C" w:rsidRPr="003E3613" w:rsidRDefault="004065C7" w:rsidP="00204696">
      <w:pPr>
        <w:spacing w:after="0"/>
        <w:jc w:val="both"/>
        <w:rPr>
          <w:rFonts w:ascii="Book Antiqua" w:hAnsi="Book Antiqua"/>
          <w:iCs/>
          <w:sz w:val="23"/>
          <w:szCs w:val="23"/>
          <w:lang w:val="en-GB"/>
        </w:rPr>
      </w:pPr>
      <w:r w:rsidRPr="003E3613">
        <w:rPr>
          <w:rFonts w:ascii="Book Antiqua" w:hAnsi="Book Antiqua"/>
          <w:iCs/>
          <w:sz w:val="23"/>
          <w:szCs w:val="23"/>
          <w:lang w:val="en-GB"/>
        </w:rPr>
        <w:lastRenderedPageBreak/>
        <w:t>There are legal remedies against penalties as well.</w:t>
      </w:r>
      <w:r w:rsidR="00EA277C" w:rsidRPr="003E3613">
        <w:rPr>
          <w:rFonts w:ascii="Book Antiqua" w:hAnsi="Book Antiqua"/>
          <w:iCs/>
          <w:sz w:val="23"/>
          <w:szCs w:val="23"/>
          <w:lang w:val="en-GB"/>
        </w:rPr>
        <w:t xml:space="preserve"> It is worth highlighting that the sanction system of the Hungarian media legislation is not abnormally strict or oppressive. For example, in other Member States it is not uncommon to threaten media legislation offenders with a criminal offence and the possibility of imposing high fines is especially common</w:t>
      </w:r>
      <w:r w:rsidR="00E2050C" w:rsidRPr="003E3613">
        <w:rPr>
          <w:rFonts w:ascii="Book Antiqua" w:hAnsi="Book Antiqua"/>
          <w:iCs/>
          <w:sz w:val="23"/>
          <w:szCs w:val="23"/>
          <w:lang w:val="en-GB"/>
        </w:rPr>
        <w:t>,</w:t>
      </w:r>
      <w:r w:rsidR="00EA277C" w:rsidRPr="003E3613">
        <w:rPr>
          <w:rFonts w:ascii="Book Antiqua" w:hAnsi="Book Antiqua"/>
          <w:iCs/>
          <w:sz w:val="23"/>
          <w:szCs w:val="23"/>
          <w:lang w:val="en-GB"/>
        </w:rPr>
        <w:t xml:space="preserve"> as well. </w:t>
      </w:r>
    </w:p>
    <w:p w14:paraId="73DDC361" w14:textId="77777777" w:rsidR="00963ECF" w:rsidRPr="003E3613" w:rsidRDefault="00963ECF" w:rsidP="00204696">
      <w:pPr>
        <w:spacing w:after="0"/>
        <w:jc w:val="both"/>
        <w:rPr>
          <w:rFonts w:ascii="Book Antiqua" w:hAnsi="Book Antiqua"/>
          <w:iCs/>
          <w:sz w:val="23"/>
          <w:szCs w:val="23"/>
          <w:lang w:val="en-GB"/>
        </w:rPr>
      </w:pPr>
      <w:r w:rsidRPr="003E3613">
        <w:rPr>
          <w:rFonts w:ascii="Book Antiqua" w:hAnsi="Book Antiqua"/>
          <w:iCs/>
          <w:sz w:val="23"/>
          <w:szCs w:val="23"/>
          <w:lang w:val="en-GB"/>
        </w:rPr>
        <w:t>Therefore, arguing that the sanctioning system results in a so-called self-sensorship is unfounded, both factually and legally.</w:t>
      </w:r>
    </w:p>
    <w:p w14:paraId="1D9D5727" w14:textId="77777777" w:rsidR="00FE4000" w:rsidRPr="003E3613" w:rsidRDefault="00FE4000" w:rsidP="00204696">
      <w:pPr>
        <w:spacing w:after="0"/>
        <w:jc w:val="both"/>
        <w:rPr>
          <w:rFonts w:ascii="Book Antiqua" w:hAnsi="Book Antiqua"/>
          <w:iCs/>
          <w:sz w:val="23"/>
          <w:szCs w:val="23"/>
          <w:lang w:val="en-GB"/>
        </w:rPr>
      </w:pPr>
    </w:p>
    <w:p w14:paraId="382530D6" w14:textId="77777777" w:rsidR="00680FD4" w:rsidRPr="003E3613" w:rsidRDefault="009B4E29" w:rsidP="00204696">
      <w:pPr>
        <w:spacing w:after="0"/>
        <w:jc w:val="both"/>
        <w:rPr>
          <w:rFonts w:ascii="Book Antiqua" w:hAnsi="Book Antiqua"/>
          <w:sz w:val="23"/>
          <w:szCs w:val="23"/>
          <w:lang w:val="en-GB"/>
        </w:rPr>
      </w:pPr>
      <w:r w:rsidRPr="003E3613">
        <w:rPr>
          <w:rFonts w:ascii="Book Antiqua" w:hAnsi="Book Antiqua"/>
          <w:sz w:val="23"/>
          <w:szCs w:val="23"/>
          <w:lang w:val="en-GB"/>
        </w:rPr>
        <w:t>The Hungarian Government further advocates a balanced and diverse media market thus enforcing plurality in the media landscape.</w:t>
      </w:r>
      <w:r w:rsidR="00EA277C" w:rsidRPr="003E3613">
        <w:rPr>
          <w:rFonts w:ascii="Book Antiqua" w:hAnsi="Book Antiqua"/>
          <w:sz w:val="23"/>
          <w:szCs w:val="23"/>
          <w:lang w:val="en-GB"/>
        </w:rPr>
        <w:t xml:space="preserve"> </w:t>
      </w:r>
      <w:r w:rsidR="00680FD4" w:rsidRPr="003E3613">
        <w:rPr>
          <w:rFonts w:ascii="Book Antiqua" w:hAnsi="Book Antiqua"/>
          <w:sz w:val="23"/>
          <w:szCs w:val="23"/>
          <w:lang w:val="en-GB"/>
        </w:rPr>
        <w:t>We would like to highlight that there is a general confusion of the regulation guaranteeing a free media and the status of the commercial media industry. The state has no interference on the latter. We have also problems identifying the so called “European standards” of media ownership policy. It would be worth examining the media concentration on a European level in general, just as in other Member States.</w:t>
      </w:r>
      <w:r w:rsidR="00707FEC" w:rsidRPr="003E3613">
        <w:rPr>
          <w:rFonts w:ascii="Book Antiqua" w:hAnsi="Book Antiqua"/>
          <w:sz w:val="23"/>
          <w:szCs w:val="23"/>
          <w:lang w:val="en-GB"/>
        </w:rPr>
        <w:t xml:space="preserve"> </w:t>
      </w:r>
    </w:p>
    <w:p w14:paraId="05CF4807" w14:textId="77777777" w:rsidR="00680FD4" w:rsidRPr="003E3613" w:rsidRDefault="00680FD4" w:rsidP="00204696">
      <w:pPr>
        <w:spacing w:after="0"/>
        <w:jc w:val="both"/>
        <w:rPr>
          <w:rFonts w:ascii="Book Antiqua" w:hAnsi="Book Antiqua"/>
          <w:sz w:val="23"/>
          <w:szCs w:val="23"/>
          <w:lang w:val="en-GB"/>
        </w:rPr>
      </w:pPr>
    </w:p>
    <w:p w14:paraId="7C0AF68D" w14:textId="77777777" w:rsidR="00E805AA" w:rsidRPr="003E3613" w:rsidRDefault="00EA277C" w:rsidP="00204696">
      <w:pPr>
        <w:spacing w:after="0"/>
        <w:jc w:val="both"/>
        <w:rPr>
          <w:rFonts w:ascii="Book Antiqua" w:hAnsi="Book Antiqua"/>
          <w:iCs/>
          <w:sz w:val="23"/>
          <w:szCs w:val="23"/>
          <w:lang w:val="en-GB"/>
        </w:rPr>
      </w:pPr>
      <w:r w:rsidRPr="003E3613">
        <w:rPr>
          <w:rFonts w:ascii="Book Antiqua" w:hAnsi="Book Antiqua"/>
          <w:sz w:val="23"/>
          <w:szCs w:val="23"/>
          <w:lang w:val="en-GB"/>
        </w:rPr>
        <w:t xml:space="preserve">The media legislation in force explicitly contains provisions for the prevention of media concentration, which </w:t>
      </w:r>
      <w:r w:rsidR="002419CC" w:rsidRPr="003E3613">
        <w:rPr>
          <w:rFonts w:ascii="Book Antiqua" w:hAnsi="Book Antiqua"/>
          <w:sz w:val="23"/>
          <w:szCs w:val="23"/>
          <w:lang w:val="en-GB"/>
        </w:rPr>
        <w:t xml:space="preserve">rules </w:t>
      </w:r>
      <w:r w:rsidRPr="003E3613">
        <w:rPr>
          <w:rFonts w:ascii="Book Antiqua" w:hAnsi="Book Antiqua"/>
          <w:sz w:val="23"/>
          <w:szCs w:val="23"/>
          <w:lang w:val="en-GB"/>
        </w:rPr>
        <w:t>promote the creation of a diverse media market by preventing the emergence of information monopolies.</w:t>
      </w:r>
      <w:r w:rsidR="009B4E29" w:rsidRPr="003E3613">
        <w:rPr>
          <w:rFonts w:ascii="Book Antiqua" w:hAnsi="Book Antiqua"/>
          <w:sz w:val="23"/>
          <w:szCs w:val="23"/>
          <w:lang w:val="en-GB"/>
        </w:rPr>
        <w:t xml:space="preserve"> </w:t>
      </w:r>
      <w:r w:rsidR="003E7622" w:rsidRPr="003E3613">
        <w:rPr>
          <w:rFonts w:ascii="Book Antiqua" w:hAnsi="Book Antiqua"/>
          <w:sz w:val="23"/>
          <w:szCs w:val="23"/>
          <w:lang w:val="en-GB"/>
        </w:rPr>
        <w:t xml:space="preserve">The current media regulation has created a two-pillar system of tools to effectively secure the prevention of a dominant position and the pluralism of the media market. On the one hand, in order to prevent the creation of a monopoly of information, it imposes restrictions on the acquisition of property: against media service providers with average annual audience proportion in the media market, against any holder of the media service provider and against any person or undertaking with a qualifying share in any media provider. On the other hand, it imposes additional obligations on media service providers reaching a certain level of audience that can guarantee the maintenance of the media market, the facilitation of objective and pluralistic information, along with access to information. </w:t>
      </w:r>
      <w:r w:rsidR="009B4E29" w:rsidRPr="003E3613">
        <w:rPr>
          <w:rFonts w:ascii="Book Antiqua" w:hAnsi="Book Antiqua"/>
          <w:sz w:val="23"/>
          <w:szCs w:val="23"/>
          <w:lang w:val="en-GB"/>
        </w:rPr>
        <w:t xml:space="preserve">This requirement </w:t>
      </w:r>
      <w:r w:rsidR="003E7622" w:rsidRPr="003E3613">
        <w:rPr>
          <w:rFonts w:ascii="Book Antiqua" w:hAnsi="Book Antiqua"/>
          <w:sz w:val="23"/>
          <w:szCs w:val="23"/>
          <w:lang w:val="en-GB"/>
        </w:rPr>
        <w:t xml:space="preserve">of media concentration prevention </w:t>
      </w:r>
      <w:r w:rsidR="009B4E29" w:rsidRPr="003E3613">
        <w:rPr>
          <w:rFonts w:ascii="Book Antiqua" w:hAnsi="Book Antiqua"/>
          <w:sz w:val="23"/>
          <w:szCs w:val="23"/>
          <w:lang w:val="en-GB"/>
        </w:rPr>
        <w:t>is also anchored at the constitutional level, in the Fundamental Law</w:t>
      </w:r>
      <w:r w:rsidR="003A6DF3" w:rsidRPr="003E3613">
        <w:rPr>
          <w:rFonts w:ascii="Book Antiqua" w:hAnsi="Book Antiqua"/>
          <w:sz w:val="23"/>
          <w:szCs w:val="23"/>
          <w:lang w:val="en-GB"/>
        </w:rPr>
        <w:t>, under Article IX</w:t>
      </w:r>
      <w:r w:rsidR="009B4E29" w:rsidRPr="003E3613">
        <w:rPr>
          <w:rFonts w:ascii="Book Antiqua" w:hAnsi="Book Antiqua"/>
          <w:sz w:val="23"/>
          <w:szCs w:val="23"/>
          <w:lang w:val="en-GB"/>
        </w:rPr>
        <w:t xml:space="preserve">. </w:t>
      </w:r>
      <w:r w:rsidR="00FE4000" w:rsidRPr="003E3613">
        <w:rPr>
          <w:rFonts w:ascii="Book Antiqua" w:hAnsi="Book Antiqua"/>
          <w:iCs/>
          <w:sz w:val="23"/>
          <w:szCs w:val="23"/>
          <w:lang w:val="en-GB"/>
        </w:rPr>
        <w:t xml:space="preserve">Act CLXXXV of </w:t>
      </w:r>
      <w:r w:rsidR="00172B2C" w:rsidRPr="003E3613">
        <w:rPr>
          <w:rFonts w:ascii="Book Antiqua" w:hAnsi="Book Antiqua"/>
          <w:iCs/>
          <w:sz w:val="23"/>
          <w:szCs w:val="23"/>
          <w:lang w:val="en-GB"/>
        </w:rPr>
        <w:t xml:space="preserve">2010 </w:t>
      </w:r>
      <w:r w:rsidR="00FE4000" w:rsidRPr="003E3613">
        <w:rPr>
          <w:rFonts w:ascii="Book Antiqua" w:hAnsi="Book Antiqua"/>
          <w:iCs/>
          <w:sz w:val="23"/>
          <w:szCs w:val="23"/>
          <w:lang w:val="en-GB"/>
        </w:rPr>
        <w:t xml:space="preserve">on Media Services and on the Mass Media contains provisions aiming at preventing market concentration and regulates media service providers with significant powers of influence as envisaged by the </w:t>
      </w:r>
      <w:r w:rsidR="00522CE5" w:rsidRPr="003E3613">
        <w:rPr>
          <w:rFonts w:ascii="Book Antiqua" w:hAnsi="Book Antiqua"/>
          <w:iCs/>
          <w:sz w:val="23"/>
          <w:szCs w:val="23"/>
          <w:lang w:val="en-GB"/>
        </w:rPr>
        <w:t>Audio-visual</w:t>
      </w:r>
      <w:r w:rsidR="00FE4000" w:rsidRPr="003E3613">
        <w:rPr>
          <w:rFonts w:ascii="Book Antiqua" w:hAnsi="Book Antiqua"/>
          <w:iCs/>
          <w:sz w:val="23"/>
          <w:szCs w:val="23"/>
          <w:lang w:val="en-GB"/>
        </w:rPr>
        <w:t xml:space="preserve"> Media Services Directive and it further protects the diversity of broadcasting.</w:t>
      </w:r>
      <w:r w:rsidR="005214FC" w:rsidRPr="003E3613">
        <w:rPr>
          <w:rFonts w:ascii="Book Antiqua" w:hAnsi="Book Antiqua"/>
          <w:iCs/>
          <w:sz w:val="23"/>
          <w:szCs w:val="23"/>
          <w:lang w:val="en-GB"/>
        </w:rPr>
        <w:t xml:space="preserve"> In this context, the public statements of the Council of Europe’s Secretary General in early 2013 found that the fundamental problems of Hungarian media legislation had been resolved.</w:t>
      </w:r>
      <w:r w:rsidR="00E805AA" w:rsidRPr="003E3613">
        <w:rPr>
          <w:rFonts w:ascii="Book Antiqua" w:hAnsi="Book Antiqua"/>
          <w:iCs/>
          <w:sz w:val="23"/>
          <w:szCs w:val="23"/>
          <w:lang w:val="en-GB"/>
        </w:rPr>
        <w:t xml:space="preserve"> </w:t>
      </w:r>
    </w:p>
    <w:p w14:paraId="4BA18066" w14:textId="77777777" w:rsidR="00963ECF" w:rsidRPr="003E3613" w:rsidRDefault="00963ECF" w:rsidP="00204696">
      <w:pPr>
        <w:spacing w:after="0"/>
        <w:jc w:val="both"/>
        <w:rPr>
          <w:rFonts w:ascii="Book Antiqua" w:hAnsi="Book Antiqua"/>
          <w:iCs/>
          <w:sz w:val="23"/>
          <w:szCs w:val="23"/>
          <w:lang w:val="en-GB"/>
        </w:rPr>
      </w:pPr>
    </w:p>
    <w:p w14:paraId="0DC7A897" w14:textId="77777777" w:rsidR="000470D9" w:rsidRPr="003E3613" w:rsidRDefault="000470D9"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Defamation in Hungary is regulated under the Criminal Code. It is, therefore, a criminal law category that does not exist solely in Hungary but traditionally it is also the part of the legal system in many Member States – laid down either in the criminal or in the civil code. </w:t>
      </w:r>
      <w:r w:rsidR="00404D52" w:rsidRPr="003E3613">
        <w:rPr>
          <w:rFonts w:ascii="Book Antiqua" w:hAnsi="Book Antiqua"/>
          <w:iCs/>
          <w:sz w:val="23"/>
          <w:szCs w:val="23"/>
          <w:lang w:val="en-GB"/>
        </w:rPr>
        <w:t xml:space="preserve">If there is a lack of consistency between a particular judicial decision and the Fundamental Law, a constitutional complaint may be filed with the Constitutional Court. </w:t>
      </w:r>
      <w:r w:rsidRPr="003E3613">
        <w:rPr>
          <w:rFonts w:ascii="Book Antiqua" w:hAnsi="Book Antiqua"/>
          <w:iCs/>
          <w:sz w:val="23"/>
          <w:szCs w:val="23"/>
          <w:lang w:val="en-GB"/>
        </w:rPr>
        <w:t>In Hungary, political statements received extensive protection, which also means that in a public affairs debate, criticism and value judgements concerning the exerciser of public authority or public politics cannot, in principle, be the basis of legal responsibility.</w:t>
      </w:r>
      <w:r w:rsidR="00404D52" w:rsidRPr="003E3613">
        <w:rPr>
          <w:rFonts w:ascii="Book Antiqua" w:hAnsi="Book Antiqua"/>
          <w:iCs/>
          <w:sz w:val="23"/>
          <w:szCs w:val="23"/>
          <w:lang w:val="en-GB"/>
        </w:rPr>
        <w:t xml:space="preserve"> The limits of the freedom of expression </w:t>
      </w:r>
      <w:r w:rsidR="00404D52" w:rsidRPr="003E3613">
        <w:rPr>
          <w:rFonts w:ascii="Book Antiqua" w:hAnsi="Book Antiqua"/>
          <w:iCs/>
          <w:sz w:val="23"/>
          <w:szCs w:val="23"/>
          <w:lang w:val="en-GB"/>
        </w:rPr>
        <w:lastRenderedPageBreak/>
        <w:t>are only exceeded by those statements that violate the constitutionally protected domain of human dignity.</w:t>
      </w:r>
    </w:p>
    <w:p w14:paraId="3F9B7309" w14:textId="77777777" w:rsidR="000470D9" w:rsidRPr="003E3613" w:rsidRDefault="000470D9" w:rsidP="00204696">
      <w:pPr>
        <w:spacing w:after="0"/>
        <w:jc w:val="both"/>
        <w:rPr>
          <w:rFonts w:ascii="Book Antiqua" w:hAnsi="Book Antiqua"/>
          <w:iCs/>
          <w:sz w:val="23"/>
          <w:szCs w:val="23"/>
          <w:lang w:val="en-GB"/>
        </w:rPr>
      </w:pPr>
    </w:p>
    <w:p w14:paraId="4998F35D" w14:textId="77777777" w:rsidR="003A6DF3" w:rsidRPr="003E3613" w:rsidRDefault="003A6DF3"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The Venice Commission in its Opinion on Media Legislation acknowledged the efforts of the Hungarian government, over the years, to improve the original text of the two </w:t>
      </w:r>
      <w:r w:rsidR="00663F2C" w:rsidRPr="003E3613">
        <w:rPr>
          <w:rFonts w:ascii="Book Antiqua" w:hAnsi="Book Antiqua"/>
          <w:iCs/>
          <w:sz w:val="23"/>
          <w:szCs w:val="23"/>
          <w:lang w:val="en-GB"/>
        </w:rPr>
        <w:t>a</w:t>
      </w:r>
      <w:r w:rsidRPr="003E3613">
        <w:rPr>
          <w:rFonts w:ascii="Book Antiqua" w:hAnsi="Book Antiqua"/>
          <w:iCs/>
          <w:sz w:val="23"/>
          <w:szCs w:val="23"/>
          <w:lang w:val="en-GB"/>
        </w:rPr>
        <w:t>cts, in line with comments received from various observers including the Council of Europe, and positively noted the willingness of the Hungarian authorities to continue the dialogue. The Venice Commission required the revision of these issues mostly in order to change the public perception of media freedom.</w:t>
      </w:r>
    </w:p>
    <w:p w14:paraId="0BBD217D" w14:textId="77777777" w:rsidR="005214FC" w:rsidRPr="003E3613" w:rsidRDefault="005214FC" w:rsidP="00204696">
      <w:pPr>
        <w:spacing w:after="0"/>
        <w:jc w:val="both"/>
        <w:rPr>
          <w:rFonts w:ascii="Book Antiqua" w:hAnsi="Book Antiqua"/>
          <w:sz w:val="23"/>
          <w:szCs w:val="23"/>
          <w:lang w:val="en-GB"/>
        </w:rPr>
      </w:pPr>
    </w:p>
    <w:p w14:paraId="71BA5EB2" w14:textId="77777777" w:rsidR="00507F12" w:rsidRPr="003E3613" w:rsidRDefault="00FE4000" w:rsidP="00204696">
      <w:pPr>
        <w:pStyle w:val="Heading2"/>
        <w:keepNext w:val="0"/>
        <w:keepLines w:val="0"/>
        <w:spacing w:before="0"/>
        <w:rPr>
          <w:rFonts w:ascii="Book Antiqua" w:hAnsi="Book Antiqua"/>
          <w:color w:val="auto"/>
          <w:sz w:val="23"/>
          <w:szCs w:val="23"/>
          <w:lang w:val="en-GB"/>
        </w:rPr>
      </w:pPr>
      <w:bookmarkStart w:id="28" w:name="_Toc19120789"/>
      <w:r w:rsidRPr="003E3613">
        <w:rPr>
          <w:rFonts w:ascii="Book Antiqua" w:hAnsi="Book Antiqua"/>
          <w:color w:val="auto"/>
          <w:sz w:val="23"/>
          <w:szCs w:val="23"/>
          <w:lang w:val="en-GB"/>
        </w:rPr>
        <w:t>Election of the members of the Media Council</w:t>
      </w:r>
      <w:bookmarkEnd w:id="28"/>
    </w:p>
    <w:p w14:paraId="15CFCBE7" w14:textId="77777777" w:rsidR="00FE4000" w:rsidRPr="003E3613" w:rsidRDefault="00FE4000" w:rsidP="00204696">
      <w:pPr>
        <w:spacing w:after="0"/>
        <w:rPr>
          <w:rFonts w:ascii="Book Antiqua" w:hAnsi="Book Antiqua"/>
          <w:sz w:val="23"/>
          <w:szCs w:val="23"/>
          <w:lang w:val="en-GB"/>
        </w:rPr>
      </w:pPr>
    </w:p>
    <w:p w14:paraId="5FCE0C7F" w14:textId="77777777" w:rsidR="00507F12" w:rsidRPr="003E3613" w:rsidRDefault="00507F12"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DD3A62" w:rsidRPr="003E3613">
        <w:rPr>
          <w:rFonts w:ascii="Book Antiqua" w:hAnsi="Book Antiqua"/>
          <w:i/>
          <w:sz w:val="23"/>
          <w:szCs w:val="23"/>
          <w:lang w:val="en-GB"/>
        </w:rPr>
        <w:t>28</w:t>
      </w:r>
      <w:r w:rsidRPr="003E3613">
        <w:rPr>
          <w:rFonts w:ascii="Book Antiqua" w:hAnsi="Book Antiqua"/>
          <w:i/>
          <w:sz w:val="23"/>
          <w:szCs w:val="23"/>
          <w:lang w:val="en-GB"/>
        </w:rPr>
        <w:t>)</w:t>
      </w:r>
      <w:r w:rsidR="00DD3A62" w:rsidRPr="003E3613">
        <w:rPr>
          <w:rFonts w:ascii="Book Antiqua" w:hAnsi="Book Antiqua"/>
          <w:i/>
          <w:sz w:val="23"/>
          <w:szCs w:val="23"/>
          <w:lang w:val="en-GB"/>
        </w:rPr>
        <w:t xml:space="preserve"> In its Opinion of 22 June 2015 on Media Legislation, the Venice Commission acknowledged the efforts of the Hungarian government, over the years, to improve on the original text of the Media Acts, in line with comments from various observers, including the Council of Europe, and positively noted the willingness of the Hungarian authorities to continue the dialogue. Nevertheless</w:t>
      </w:r>
      <w:r w:rsidRPr="003E3613">
        <w:rPr>
          <w:rFonts w:ascii="Book Antiqua" w:hAnsi="Book Antiqua"/>
          <w:i/>
          <w:sz w:val="23"/>
          <w:szCs w:val="23"/>
          <w:lang w:val="en-GB"/>
        </w:rPr>
        <w:t xml:space="preserve">, the Venice Commission insisted on the need to change the rules governing the election of the members of the Media Council to ensure fair representation of socially significant political and other groups and that the method of appointment and the position of the Chairperson of the Media Council or the President of the Media Authority should be revisited in order to reduce the concentration of powers and secure political neutrality; the Board of Trustees should also be reformed along those lines. The Venice Commission also recommended the decentralisation of the governance of public service media providers and that the National News Agency not be the exclusive provider of news for public service media providers. Similar concerns had been expressed in the analysis commissioned by the Office of the OSCE Representative on Freedom of the Media in February 2011, by the previous Council of Europe’s Commissioner for Human Rights in his opinion on Hungary’s media legislation in light of Council of Europe standards on freedom of the media of 25 February 2011, as well as by Council of Europe experts on Hungarian media legislation in their expertise of 11 May 2012. </w:t>
      </w:r>
      <w:r w:rsidR="00DF59CD" w:rsidRPr="003E3613">
        <w:rPr>
          <w:rFonts w:ascii="Book Antiqua" w:hAnsi="Book Antiqua"/>
          <w:i/>
          <w:sz w:val="23"/>
          <w:szCs w:val="23"/>
          <w:lang w:val="en-GB"/>
        </w:rPr>
        <w:t xml:space="preserve">In his statement of 29 January 2013, the Council of Europe’s Secretary General welcomed the fact that discussions in the field of media have led to several important changes. Nevertheless, the remaining concerns were reiterated </w:t>
      </w:r>
      <w:r w:rsidRPr="003E3613">
        <w:rPr>
          <w:rFonts w:ascii="Book Antiqua" w:hAnsi="Book Antiqua"/>
          <w:i/>
          <w:sz w:val="23"/>
          <w:szCs w:val="23"/>
          <w:lang w:val="en-GB"/>
        </w:rPr>
        <w:t>by the Council of Europe’s Commissioner for Human Rights in the report following his visit to Hungary, which was published on 16 December 2014.</w:t>
      </w:r>
    </w:p>
    <w:p w14:paraId="7EC24B16" w14:textId="77777777" w:rsidR="005623AE" w:rsidRPr="003E3613" w:rsidRDefault="005623AE" w:rsidP="00204696">
      <w:pPr>
        <w:spacing w:after="0"/>
        <w:jc w:val="both"/>
        <w:rPr>
          <w:rFonts w:ascii="Book Antiqua" w:hAnsi="Book Antiqua"/>
          <w:i/>
          <w:sz w:val="23"/>
          <w:szCs w:val="23"/>
          <w:lang w:val="en-GB"/>
        </w:rPr>
      </w:pPr>
    </w:p>
    <w:p w14:paraId="7EC77ADB" w14:textId="77777777" w:rsidR="005214FC" w:rsidRPr="003E3613" w:rsidRDefault="005623AE"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The Media Authority (responsible for telecommunication and frequency management) is an autonomous regulatory </w:t>
      </w:r>
      <w:r w:rsidR="007371DE" w:rsidRPr="003E3613">
        <w:rPr>
          <w:rFonts w:ascii="Book Antiqua" w:hAnsi="Book Antiqua"/>
          <w:iCs/>
          <w:sz w:val="23"/>
          <w:szCs w:val="23"/>
          <w:lang w:val="en-GB"/>
        </w:rPr>
        <w:t xml:space="preserve">body </w:t>
      </w:r>
      <w:r w:rsidRPr="003E3613">
        <w:rPr>
          <w:rFonts w:ascii="Book Antiqua" w:hAnsi="Book Antiqua"/>
          <w:iCs/>
          <w:sz w:val="23"/>
          <w:szCs w:val="23"/>
          <w:lang w:val="en-GB"/>
        </w:rPr>
        <w:t>subordinated solely to law while its predecessor was directed by the government and overseen by the competent Minister. Furthermore, the President of the Media Authority is currently appointed by the President of Hungary, while formerly it was ap</w:t>
      </w:r>
      <w:r w:rsidR="00FE4000" w:rsidRPr="003E3613">
        <w:rPr>
          <w:rFonts w:ascii="Book Antiqua" w:hAnsi="Book Antiqua"/>
          <w:iCs/>
          <w:sz w:val="23"/>
          <w:szCs w:val="23"/>
          <w:lang w:val="en-GB"/>
        </w:rPr>
        <w:t xml:space="preserve">pointed by the Prime Minister. </w:t>
      </w:r>
      <w:r w:rsidRPr="003E3613">
        <w:rPr>
          <w:rFonts w:ascii="Book Antiqua" w:hAnsi="Book Antiqua"/>
          <w:iCs/>
          <w:sz w:val="23"/>
          <w:szCs w:val="23"/>
          <w:lang w:val="en-GB"/>
        </w:rPr>
        <w:t xml:space="preserve">Members of the Media Council (responsible for media contents and the freedom of press) are elected by a qualified </w:t>
      </w:r>
      <w:r w:rsidR="007371DE" w:rsidRPr="003E3613">
        <w:rPr>
          <w:rFonts w:ascii="Book Antiqua" w:hAnsi="Book Antiqua"/>
          <w:iCs/>
          <w:sz w:val="23"/>
          <w:szCs w:val="23"/>
          <w:lang w:val="en-GB"/>
        </w:rPr>
        <w:t xml:space="preserve">(two-thirds) </w:t>
      </w:r>
      <w:r w:rsidRPr="003E3613">
        <w:rPr>
          <w:rFonts w:ascii="Book Antiqua" w:hAnsi="Book Antiqua"/>
          <w:iCs/>
          <w:sz w:val="23"/>
          <w:szCs w:val="23"/>
          <w:lang w:val="en-GB"/>
        </w:rPr>
        <w:t>majority of the Parliament for 9 years whereas members of its predecessor body were elected by simple majority for 4 years. Moreover, its members cannot by any means be instructed within their official capacity.</w:t>
      </w:r>
      <w:r w:rsidR="005214FC" w:rsidRPr="003E3613">
        <w:rPr>
          <w:rFonts w:ascii="Book Antiqua" w:hAnsi="Book Antiqua"/>
          <w:iCs/>
          <w:sz w:val="23"/>
          <w:szCs w:val="23"/>
          <w:lang w:val="en-GB"/>
        </w:rPr>
        <w:t xml:space="preserve"> Altogether, the high professional requirements, the long mandate of the members of the Media Council, as well as the prohibition of the re-election of the President </w:t>
      </w:r>
      <w:r w:rsidR="005214FC" w:rsidRPr="003E3613">
        <w:rPr>
          <w:rFonts w:ascii="Book Antiqua" w:hAnsi="Book Antiqua"/>
          <w:iCs/>
          <w:sz w:val="23"/>
          <w:szCs w:val="23"/>
          <w:lang w:val="en-GB"/>
        </w:rPr>
        <w:lastRenderedPageBreak/>
        <w:t>and the members of the Media Council ensure independence from both the Government and the Parliament.</w:t>
      </w:r>
    </w:p>
    <w:p w14:paraId="45C12B1B" w14:textId="77777777" w:rsidR="00DC5EC5" w:rsidRPr="003E3613" w:rsidRDefault="00DC5EC5" w:rsidP="00204696">
      <w:pPr>
        <w:spacing w:after="0"/>
        <w:jc w:val="both"/>
        <w:rPr>
          <w:rFonts w:ascii="Book Antiqua" w:hAnsi="Book Antiqua"/>
          <w:iCs/>
          <w:sz w:val="23"/>
          <w:szCs w:val="23"/>
          <w:lang w:val="en-GB"/>
        </w:rPr>
      </w:pPr>
    </w:p>
    <w:p w14:paraId="1E9F74EA" w14:textId="77777777" w:rsidR="00A94970" w:rsidRPr="003E3613" w:rsidRDefault="00A94970"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The Media Act has numerous provisions to ensure plurality, multi-party consensus and </w:t>
      </w:r>
      <w:r w:rsidR="00551408" w:rsidRPr="003E3613">
        <w:rPr>
          <w:rFonts w:ascii="Book Antiqua" w:hAnsi="Book Antiqua"/>
          <w:iCs/>
          <w:sz w:val="23"/>
          <w:szCs w:val="23"/>
          <w:lang w:val="en-GB"/>
        </w:rPr>
        <w:t xml:space="preserve">the </w:t>
      </w:r>
      <w:r w:rsidRPr="003E3613">
        <w:rPr>
          <w:rFonts w:ascii="Book Antiqua" w:hAnsi="Book Antiqua"/>
          <w:iCs/>
          <w:sz w:val="23"/>
          <w:szCs w:val="23"/>
          <w:lang w:val="en-GB"/>
        </w:rPr>
        <w:t>election</w:t>
      </w:r>
      <w:r w:rsidR="00551408" w:rsidRPr="003E3613">
        <w:rPr>
          <w:rFonts w:ascii="Book Antiqua" w:hAnsi="Book Antiqua"/>
          <w:iCs/>
          <w:sz w:val="23"/>
          <w:szCs w:val="23"/>
          <w:lang w:val="en-GB"/>
        </w:rPr>
        <w:t xml:space="preserve"> of non-</w:t>
      </w:r>
      <w:r w:rsidR="00522CE5" w:rsidRPr="003E3613">
        <w:rPr>
          <w:rFonts w:ascii="Book Antiqua" w:hAnsi="Book Antiqua"/>
          <w:iCs/>
          <w:sz w:val="23"/>
          <w:szCs w:val="23"/>
          <w:lang w:val="en-GB"/>
        </w:rPr>
        <w:t>political</w:t>
      </w:r>
      <w:r w:rsidR="00551408" w:rsidRPr="003E3613">
        <w:rPr>
          <w:rFonts w:ascii="Book Antiqua" w:hAnsi="Book Antiqua"/>
          <w:iCs/>
          <w:sz w:val="23"/>
          <w:szCs w:val="23"/>
          <w:lang w:val="en-GB"/>
        </w:rPr>
        <w:t xml:space="preserve"> candidates</w:t>
      </w:r>
      <w:r w:rsidRPr="003E3613">
        <w:rPr>
          <w:rFonts w:ascii="Book Antiqua" w:hAnsi="Book Antiqua"/>
          <w:iCs/>
          <w:sz w:val="23"/>
          <w:szCs w:val="23"/>
          <w:lang w:val="en-GB"/>
        </w:rPr>
        <w:t xml:space="preserve">. </w:t>
      </w:r>
      <w:r w:rsidR="00CD6083" w:rsidRPr="003E3613">
        <w:rPr>
          <w:rFonts w:ascii="Book Antiqua" w:hAnsi="Book Antiqua"/>
          <w:iCs/>
          <w:sz w:val="23"/>
          <w:szCs w:val="23"/>
          <w:lang w:val="en-GB"/>
        </w:rPr>
        <w:t xml:space="preserve">Consequently, </w:t>
      </w:r>
      <w:r w:rsidRPr="003E3613">
        <w:rPr>
          <w:rFonts w:ascii="Book Antiqua" w:hAnsi="Book Antiqua"/>
          <w:iCs/>
          <w:sz w:val="23"/>
          <w:szCs w:val="23"/>
          <w:lang w:val="en-GB"/>
        </w:rPr>
        <w:t xml:space="preserve">the Media Act excludes political party representatives/officers/employees, or any person who is engaged in political activities </w:t>
      </w:r>
      <w:r w:rsidR="00CD6083" w:rsidRPr="003E3613">
        <w:rPr>
          <w:rFonts w:ascii="Book Antiqua" w:hAnsi="Book Antiqua"/>
          <w:iCs/>
          <w:sz w:val="23"/>
          <w:szCs w:val="23"/>
          <w:lang w:val="en-GB"/>
        </w:rPr>
        <w:t xml:space="preserve">to </w:t>
      </w:r>
      <w:r w:rsidRPr="003E3613">
        <w:rPr>
          <w:rFonts w:ascii="Book Antiqua" w:hAnsi="Book Antiqua"/>
          <w:iCs/>
          <w:sz w:val="23"/>
          <w:szCs w:val="23"/>
          <w:lang w:val="en-GB"/>
        </w:rPr>
        <w:t xml:space="preserve">be a member of the Media Council. The Media Act </w:t>
      </w:r>
      <w:r w:rsidR="0045488F" w:rsidRPr="003E3613">
        <w:rPr>
          <w:rFonts w:ascii="Book Antiqua" w:hAnsi="Book Antiqua"/>
          <w:iCs/>
          <w:sz w:val="23"/>
          <w:szCs w:val="23"/>
          <w:lang w:val="en-GB"/>
        </w:rPr>
        <w:t xml:space="preserve">also </w:t>
      </w:r>
      <w:r w:rsidRPr="003E3613">
        <w:rPr>
          <w:rFonts w:ascii="Book Antiqua" w:hAnsi="Book Antiqua"/>
          <w:iCs/>
          <w:sz w:val="23"/>
          <w:szCs w:val="23"/>
          <w:lang w:val="en-GB"/>
        </w:rPr>
        <w:t xml:space="preserve">states that the Media Council and its members are only subject to the law and they </w:t>
      </w:r>
      <w:r w:rsidR="00522CE5" w:rsidRPr="003E3613">
        <w:rPr>
          <w:rFonts w:ascii="Book Antiqua" w:hAnsi="Book Antiqua"/>
          <w:iCs/>
          <w:sz w:val="23"/>
          <w:szCs w:val="23"/>
          <w:lang w:val="en-GB"/>
        </w:rPr>
        <w:t>cannot</w:t>
      </w:r>
      <w:r w:rsidRPr="003E3613">
        <w:rPr>
          <w:rFonts w:ascii="Book Antiqua" w:hAnsi="Book Antiqua"/>
          <w:iCs/>
          <w:sz w:val="23"/>
          <w:szCs w:val="23"/>
          <w:lang w:val="en-GB"/>
        </w:rPr>
        <w:t xml:space="preserve"> be instructed in their activities. The members' mandate is free</w:t>
      </w:r>
      <w:r w:rsidR="00DC5EC5" w:rsidRPr="003E3613">
        <w:rPr>
          <w:rFonts w:ascii="Book Antiqua" w:hAnsi="Book Antiqua"/>
          <w:iCs/>
          <w:sz w:val="23"/>
          <w:szCs w:val="23"/>
          <w:lang w:val="en-GB"/>
        </w:rPr>
        <w:t>,</w:t>
      </w:r>
      <w:r w:rsidR="00551408" w:rsidRPr="003E3613">
        <w:rPr>
          <w:rFonts w:ascii="Book Antiqua" w:hAnsi="Book Antiqua"/>
          <w:iCs/>
          <w:sz w:val="23"/>
          <w:szCs w:val="23"/>
          <w:lang w:val="en-GB"/>
        </w:rPr>
        <w:t xml:space="preserve"> they are subject to strict rules of conflicts of interest</w:t>
      </w:r>
      <w:r w:rsidRPr="003E3613">
        <w:rPr>
          <w:rFonts w:ascii="Book Antiqua" w:hAnsi="Book Antiqua"/>
          <w:iCs/>
          <w:sz w:val="23"/>
          <w:szCs w:val="23"/>
          <w:lang w:val="en-GB"/>
        </w:rPr>
        <w:t xml:space="preserve"> and as an essential element of independence</w:t>
      </w:r>
      <w:r w:rsidR="00DC5EC5" w:rsidRPr="003E3613">
        <w:rPr>
          <w:rFonts w:ascii="Book Antiqua" w:hAnsi="Book Antiqua"/>
          <w:iCs/>
          <w:sz w:val="23"/>
          <w:szCs w:val="23"/>
          <w:lang w:val="en-GB"/>
        </w:rPr>
        <w:t>,</w:t>
      </w:r>
      <w:r w:rsidRPr="003E3613">
        <w:rPr>
          <w:rFonts w:ascii="Book Antiqua" w:hAnsi="Book Antiqua"/>
          <w:iCs/>
          <w:sz w:val="23"/>
          <w:szCs w:val="23"/>
          <w:lang w:val="en-GB"/>
        </w:rPr>
        <w:t xml:space="preserve"> they </w:t>
      </w:r>
      <w:r w:rsidR="00522CE5" w:rsidRPr="003E3613">
        <w:rPr>
          <w:rFonts w:ascii="Book Antiqua" w:hAnsi="Book Antiqua"/>
          <w:iCs/>
          <w:sz w:val="23"/>
          <w:szCs w:val="23"/>
          <w:lang w:val="en-GB"/>
        </w:rPr>
        <w:t>cannot</w:t>
      </w:r>
      <w:r w:rsidRPr="003E3613">
        <w:rPr>
          <w:rFonts w:ascii="Book Antiqua" w:hAnsi="Book Antiqua"/>
          <w:iCs/>
          <w:sz w:val="23"/>
          <w:szCs w:val="23"/>
          <w:lang w:val="en-GB"/>
        </w:rPr>
        <w:t xml:space="preserve"> be called back.</w:t>
      </w:r>
    </w:p>
    <w:p w14:paraId="66550122" w14:textId="77777777" w:rsidR="00C51836" w:rsidRPr="003E3613" w:rsidRDefault="00C51836"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The Media Act provides full access to judicial remedies. Thus, the nomination and selection procedure may not be suitable for exercising decisive influence on the contents of media services and press products by one or more parties, the Government or the National Assembly (see </w:t>
      </w:r>
      <w:r w:rsidR="00663F2C" w:rsidRPr="003E3613">
        <w:rPr>
          <w:rFonts w:ascii="Book Antiqua" w:hAnsi="Book Antiqua"/>
          <w:iCs/>
          <w:sz w:val="23"/>
          <w:szCs w:val="23"/>
          <w:lang w:val="en-GB"/>
        </w:rPr>
        <w:t>Decison No</w:t>
      </w:r>
      <w:r w:rsidR="008B4AEF" w:rsidRPr="003E3613">
        <w:rPr>
          <w:rFonts w:ascii="Book Antiqua" w:hAnsi="Book Antiqua"/>
          <w:iCs/>
          <w:sz w:val="23"/>
          <w:szCs w:val="23"/>
          <w:lang w:val="en-GB"/>
        </w:rPr>
        <w:t>.</w:t>
      </w:r>
      <w:r w:rsidRPr="003E3613">
        <w:rPr>
          <w:rFonts w:ascii="Book Antiqua" w:hAnsi="Book Antiqua"/>
          <w:iCs/>
          <w:sz w:val="23"/>
          <w:szCs w:val="23"/>
          <w:lang w:val="en-GB"/>
        </w:rPr>
        <w:t xml:space="preserve"> 46/2007 (VI.27.) </w:t>
      </w:r>
      <w:r w:rsidR="00663F2C" w:rsidRPr="003E3613">
        <w:rPr>
          <w:rFonts w:ascii="Book Antiqua" w:hAnsi="Book Antiqua"/>
          <w:iCs/>
          <w:sz w:val="23"/>
          <w:szCs w:val="23"/>
          <w:lang w:val="en-GB"/>
        </w:rPr>
        <w:t>of the Constitutional Court</w:t>
      </w:r>
      <w:r w:rsidRPr="003E3613">
        <w:rPr>
          <w:rFonts w:ascii="Book Antiqua" w:hAnsi="Book Antiqua"/>
          <w:iCs/>
          <w:sz w:val="23"/>
          <w:szCs w:val="23"/>
          <w:lang w:val="en-GB"/>
        </w:rPr>
        <w:t>).</w:t>
      </w:r>
    </w:p>
    <w:p w14:paraId="6619642B" w14:textId="77777777" w:rsidR="00C51836" w:rsidRPr="003E3613" w:rsidRDefault="00C51836" w:rsidP="00204696">
      <w:pPr>
        <w:spacing w:after="0"/>
        <w:jc w:val="both"/>
        <w:rPr>
          <w:rFonts w:ascii="Book Antiqua" w:hAnsi="Book Antiqua"/>
          <w:iCs/>
          <w:sz w:val="23"/>
          <w:szCs w:val="23"/>
          <w:lang w:val="en-GB"/>
        </w:rPr>
      </w:pPr>
    </w:p>
    <w:p w14:paraId="7724B842" w14:textId="77777777" w:rsidR="00A94970" w:rsidRPr="003E3613" w:rsidRDefault="00A94970"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The rules of the Media Authority’s </w:t>
      </w:r>
      <w:r w:rsidR="00522CE5" w:rsidRPr="003E3613">
        <w:rPr>
          <w:rFonts w:ascii="Book Antiqua" w:hAnsi="Book Antiqua"/>
          <w:iCs/>
          <w:sz w:val="23"/>
          <w:szCs w:val="23"/>
          <w:lang w:val="en-GB"/>
        </w:rPr>
        <w:t>presidential</w:t>
      </w:r>
      <w:r w:rsidRPr="003E3613">
        <w:rPr>
          <w:rFonts w:ascii="Book Antiqua" w:hAnsi="Book Antiqua"/>
          <w:iCs/>
          <w:sz w:val="23"/>
          <w:szCs w:val="23"/>
          <w:lang w:val="en-GB"/>
        </w:rPr>
        <w:t xml:space="preserve"> election presume that the Prime Minister and the two-thirds majority of the </w:t>
      </w:r>
      <w:r w:rsidR="00CD6083" w:rsidRPr="003E3613">
        <w:rPr>
          <w:rFonts w:ascii="Book Antiqua" w:hAnsi="Book Antiqua"/>
          <w:iCs/>
          <w:sz w:val="23"/>
          <w:szCs w:val="23"/>
          <w:lang w:val="en-GB"/>
        </w:rPr>
        <w:t>MP</w:t>
      </w:r>
      <w:r w:rsidRPr="003E3613">
        <w:rPr>
          <w:rFonts w:ascii="Book Antiqua" w:hAnsi="Book Antiqua"/>
          <w:iCs/>
          <w:sz w:val="23"/>
          <w:szCs w:val="23"/>
          <w:lang w:val="en-GB"/>
        </w:rPr>
        <w:t xml:space="preserve">s agree on the President of the Media Authority, </w:t>
      </w:r>
      <w:r w:rsidR="00551408" w:rsidRPr="003E3613">
        <w:rPr>
          <w:rFonts w:ascii="Book Antiqua" w:hAnsi="Book Antiqua"/>
          <w:iCs/>
          <w:sz w:val="23"/>
          <w:szCs w:val="23"/>
          <w:lang w:val="en-GB"/>
        </w:rPr>
        <w:t xml:space="preserve">which </w:t>
      </w:r>
      <w:r w:rsidRPr="003E3613">
        <w:rPr>
          <w:rFonts w:ascii="Book Antiqua" w:hAnsi="Book Antiqua"/>
          <w:iCs/>
          <w:sz w:val="23"/>
          <w:szCs w:val="23"/>
          <w:lang w:val="en-GB"/>
        </w:rPr>
        <w:t>is a premise of a broad consensus.</w:t>
      </w:r>
    </w:p>
    <w:p w14:paraId="56BDB8BB" w14:textId="77777777" w:rsidR="00644620" w:rsidRPr="003E3613" w:rsidRDefault="00644620" w:rsidP="00204696">
      <w:pPr>
        <w:spacing w:after="0"/>
        <w:jc w:val="both"/>
        <w:rPr>
          <w:rFonts w:ascii="Book Antiqua" w:hAnsi="Book Antiqua"/>
          <w:iCs/>
          <w:sz w:val="23"/>
          <w:szCs w:val="23"/>
          <w:lang w:val="en-GB"/>
        </w:rPr>
      </w:pPr>
    </w:p>
    <w:p w14:paraId="4764C868" w14:textId="77777777" w:rsidR="00C51836" w:rsidRPr="003E3613" w:rsidRDefault="00C51836" w:rsidP="00204696">
      <w:pPr>
        <w:spacing w:after="0"/>
        <w:jc w:val="both"/>
        <w:rPr>
          <w:rFonts w:ascii="Book Antiqua" w:hAnsi="Book Antiqua"/>
          <w:iCs/>
          <w:sz w:val="23"/>
          <w:szCs w:val="23"/>
          <w:lang w:val="en-GB"/>
        </w:rPr>
      </w:pPr>
      <w:r w:rsidRPr="003E3613">
        <w:rPr>
          <w:rFonts w:ascii="Book Antiqua" w:hAnsi="Book Antiqua"/>
          <w:iCs/>
          <w:sz w:val="23"/>
          <w:szCs w:val="23"/>
          <w:lang w:val="en-GB"/>
        </w:rPr>
        <w:t>Regarding public offices and mandates, the extended office term is a step towards the independence from the Government and the National Assembly. From the point of view of the functioning of the state and the society, the Media Council carries out important tasks. In order to distance themselves from the Government and the National Assembly, the President and its members receive their mandate for a period beyond parliamentary terms.</w:t>
      </w:r>
    </w:p>
    <w:p w14:paraId="00691BE5" w14:textId="77777777" w:rsidR="00C51836" w:rsidRPr="003E3613" w:rsidRDefault="00C51836"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There are several forms of transparent and democratic elections. As outlined in paragraph 13 of the Explanatory Memorandum of the Council of Europe’s Recommendation REC (2000) 23: </w:t>
      </w:r>
      <w:r w:rsidRPr="003E3613">
        <w:rPr>
          <w:rFonts w:ascii="Book Antiqua" w:hAnsi="Book Antiqua"/>
          <w:i/>
          <w:iCs/>
          <w:sz w:val="23"/>
          <w:szCs w:val="23"/>
          <w:lang w:val="en-GB"/>
        </w:rPr>
        <w:t>"The Recommendation stipulates that members of regulatory authorities for the broadcasting sector should be appointed in a democratic and transparent manner. The term “democratic” should be understood in its wider sense, given that the members of regulatory bodies are sometimes elected, sometimes nominated by public authorities (president, government or parliament) or by non-governmental organisations.”</w:t>
      </w:r>
    </w:p>
    <w:p w14:paraId="5B5FD910" w14:textId="77777777" w:rsidR="00C51836" w:rsidRPr="003E3613" w:rsidRDefault="00C51836" w:rsidP="00204696">
      <w:pPr>
        <w:spacing w:after="0"/>
        <w:jc w:val="both"/>
        <w:rPr>
          <w:rFonts w:ascii="Book Antiqua" w:hAnsi="Book Antiqua"/>
          <w:iCs/>
          <w:sz w:val="23"/>
          <w:szCs w:val="23"/>
          <w:lang w:val="en-GB"/>
        </w:rPr>
      </w:pPr>
    </w:p>
    <w:p w14:paraId="0DB0A472" w14:textId="77777777" w:rsidR="00A117C9" w:rsidRDefault="00644620"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The </w:t>
      </w:r>
      <w:r w:rsidR="00551408" w:rsidRPr="003E3613">
        <w:rPr>
          <w:rFonts w:ascii="Book Antiqua" w:hAnsi="Book Antiqua"/>
          <w:iCs/>
          <w:sz w:val="23"/>
          <w:szCs w:val="23"/>
          <w:lang w:val="en-GB"/>
        </w:rPr>
        <w:t>six</w:t>
      </w:r>
      <w:r w:rsidRPr="003E3613">
        <w:rPr>
          <w:rFonts w:ascii="Book Antiqua" w:hAnsi="Book Antiqua"/>
          <w:iCs/>
          <w:sz w:val="23"/>
          <w:szCs w:val="23"/>
          <w:lang w:val="en-GB"/>
        </w:rPr>
        <w:t xml:space="preserve"> members of the Board of Trustees </w:t>
      </w:r>
      <w:r w:rsidR="00551408" w:rsidRPr="003E3613">
        <w:rPr>
          <w:rFonts w:ascii="Book Antiqua" w:hAnsi="Book Antiqua"/>
          <w:iCs/>
          <w:sz w:val="23"/>
          <w:szCs w:val="23"/>
          <w:lang w:val="en-GB"/>
        </w:rPr>
        <w:t xml:space="preserve">of the Public Service Foundation </w:t>
      </w:r>
      <w:r w:rsidRPr="003E3613">
        <w:rPr>
          <w:rFonts w:ascii="Book Antiqua" w:hAnsi="Book Antiqua"/>
          <w:iCs/>
          <w:sz w:val="23"/>
          <w:szCs w:val="23"/>
          <w:lang w:val="en-GB"/>
        </w:rPr>
        <w:t xml:space="preserve">are elected by the Hungarian </w:t>
      </w:r>
      <w:r w:rsidR="00E25395" w:rsidRPr="003E3613">
        <w:rPr>
          <w:rFonts w:ascii="Book Antiqua" w:hAnsi="Book Antiqua"/>
          <w:iCs/>
          <w:sz w:val="23"/>
          <w:szCs w:val="23"/>
          <w:lang w:val="en-GB"/>
        </w:rPr>
        <w:t xml:space="preserve">National Assembly </w:t>
      </w:r>
      <w:r w:rsidRPr="003E3613">
        <w:rPr>
          <w:rFonts w:ascii="Book Antiqua" w:hAnsi="Book Antiqua"/>
          <w:iCs/>
          <w:sz w:val="23"/>
          <w:szCs w:val="23"/>
          <w:lang w:val="en-GB"/>
        </w:rPr>
        <w:t xml:space="preserve">according to a method that </w:t>
      </w:r>
      <w:r w:rsidR="00CD6083" w:rsidRPr="003E3613">
        <w:rPr>
          <w:rFonts w:ascii="Book Antiqua" w:hAnsi="Book Antiqua"/>
          <w:iCs/>
          <w:sz w:val="23"/>
          <w:szCs w:val="23"/>
          <w:lang w:val="en-GB"/>
        </w:rPr>
        <w:t>three</w:t>
      </w:r>
      <w:r w:rsidRPr="003E3613">
        <w:rPr>
          <w:rFonts w:ascii="Book Antiqua" w:hAnsi="Book Antiqua"/>
          <w:iCs/>
          <w:sz w:val="23"/>
          <w:szCs w:val="23"/>
          <w:lang w:val="en-GB"/>
        </w:rPr>
        <w:t xml:space="preserve"> members are appointed by the governing party and other </w:t>
      </w:r>
      <w:r w:rsidR="00CD6083" w:rsidRPr="003E3613">
        <w:rPr>
          <w:rFonts w:ascii="Book Antiqua" w:hAnsi="Book Antiqua"/>
          <w:iCs/>
          <w:sz w:val="23"/>
          <w:szCs w:val="23"/>
          <w:lang w:val="en-GB"/>
        </w:rPr>
        <w:t>three</w:t>
      </w:r>
      <w:r w:rsidRPr="003E3613">
        <w:rPr>
          <w:rFonts w:ascii="Book Antiqua" w:hAnsi="Book Antiqua"/>
          <w:iCs/>
          <w:sz w:val="23"/>
          <w:szCs w:val="23"/>
          <w:lang w:val="en-GB"/>
        </w:rPr>
        <w:t xml:space="preserve"> by the opposition</w:t>
      </w:r>
      <w:r w:rsidR="00003817" w:rsidRPr="003E3613">
        <w:rPr>
          <w:rFonts w:ascii="Book Antiqua" w:hAnsi="Book Antiqua"/>
          <w:iCs/>
          <w:sz w:val="23"/>
          <w:szCs w:val="23"/>
          <w:lang w:val="en-GB"/>
        </w:rPr>
        <w:t xml:space="preserve">, which </w:t>
      </w:r>
      <w:r w:rsidRPr="003E3613">
        <w:rPr>
          <w:rFonts w:ascii="Book Antiqua" w:hAnsi="Book Antiqua"/>
          <w:iCs/>
          <w:sz w:val="23"/>
          <w:szCs w:val="23"/>
          <w:lang w:val="en-GB"/>
        </w:rPr>
        <w:t>ensures the political plurality of the Board</w:t>
      </w:r>
      <w:r w:rsidR="00003817" w:rsidRPr="003E3613">
        <w:rPr>
          <w:rFonts w:ascii="Book Antiqua" w:hAnsi="Book Antiqua"/>
          <w:iCs/>
          <w:sz w:val="23"/>
          <w:szCs w:val="23"/>
          <w:lang w:val="en-GB"/>
        </w:rPr>
        <w:t>.</w:t>
      </w:r>
      <w:r w:rsidRPr="003E3613">
        <w:rPr>
          <w:rFonts w:ascii="Book Antiqua" w:hAnsi="Book Antiqua"/>
          <w:iCs/>
          <w:sz w:val="23"/>
          <w:szCs w:val="23"/>
          <w:lang w:val="en-GB"/>
        </w:rPr>
        <w:t xml:space="preserve"> </w:t>
      </w:r>
      <w:r w:rsidR="00003817" w:rsidRPr="003E3613">
        <w:rPr>
          <w:rFonts w:ascii="Book Antiqua" w:hAnsi="Book Antiqua"/>
          <w:iCs/>
          <w:sz w:val="23"/>
          <w:szCs w:val="23"/>
          <w:lang w:val="en-GB"/>
        </w:rPr>
        <w:t xml:space="preserve">The Board cannot interfere in the content of the public </w:t>
      </w:r>
    </w:p>
    <w:p w14:paraId="6763D241" w14:textId="77777777" w:rsidR="00A117C9" w:rsidRDefault="00A117C9">
      <w:pPr>
        <w:rPr>
          <w:rFonts w:ascii="Book Antiqua" w:hAnsi="Book Antiqua"/>
          <w:iCs/>
          <w:sz w:val="23"/>
          <w:szCs w:val="23"/>
          <w:lang w:val="en-GB"/>
        </w:rPr>
      </w:pPr>
      <w:r>
        <w:rPr>
          <w:rFonts w:ascii="Book Antiqua" w:hAnsi="Book Antiqua"/>
          <w:iCs/>
          <w:sz w:val="23"/>
          <w:szCs w:val="23"/>
          <w:lang w:val="en-GB"/>
        </w:rPr>
        <w:br w:type="page"/>
      </w:r>
    </w:p>
    <w:p w14:paraId="07170F7D" w14:textId="4CA169C7" w:rsidR="00644620" w:rsidRPr="003E3613" w:rsidRDefault="00003817" w:rsidP="00204696">
      <w:pPr>
        <w:spacing w:after="0"/>
        <w:jc w:val="both"/>
        <w:rPr>
          <w:rFonts w:ascii="Book Antiqua" w:hAnsi="Book Antiqua"/>
          <w:iCs/>
          <w:sz w:val="23"/>
          <w:szCs w:val="23"/>
          <w:lang w:val="en-GB"/>
        </w:rPr>
      </w:pPr>
      <w:r w:rsidRPr="003E3613">
        <w:rPr>
          <w:rFonts w:ascii="Book Antiqua" w:hAnsi="Book Antiqua"/>
          <w:iCs/>
          <w:sz w:val="23"/>
          <w:szCs w:val="23"/>
          <w:lang w:val="en-GB"/>
        </w:rPr>
        <w:lastRenderedPageBreak/>
        <w:t>service media, or limit in an</w:t>
      </w:r>
      <w:r w:rsidR="00AC0E4C" w:rsidRPr="003E3613">
        <w:rPr>
          <w:rFonts w:ascii="Book Antiqua" w:hAnsi="Book Antiqua"/>
          <w:iCs/>
          <w:sz w:val="23"/>
          <w:szCs w:val="23"/>
          <w:lang w:val="en-GB"/>
        </w:rPr>
        <w:t>y</w:t>
      </w:r>
      <w:r w:rsidRPr="003E3613">
        <w:rPr>
          <w:rFonts w:ascii="Book Antiqua" w:hAnsi="Book Antiqua"/>
          <w:iCs/>
          <w:sz w:val="23"/>
          <w:szCs w:val="23"/>
          <w:lang w:val="en-GB"/>
        </w:rPr>
        <w:t xml:space="preserve"> way the editorial responsibility, </w:t>
      </w:r>
      <w:r w:rsidR="00644620" w:rsidRPr="003E3613">
        <w:rPr>
          <w:rFonts w:ascii="Book Antiqua" w:hAnsi="Book Antiqua"/>
          <w:iCs/>
          <w:sz w:val="23"/>
          <w:szCs w:val="23"/>
          <w:lang w:val="en-GB"/>
        </w:rPr>
        <w:t xml:space="preserve">as it is also stated in </w:t>
      </w:r>
      <w:r w:rsidR="00CD6083" w:rsidRPr="003E3613">
        <w:rPr>
          <w:rFonts w:ascii="Book Antiqua" w:hAnsi="Book Antiqua"/>
          <w:iCs/>
          <w:sz w:val="23"/>
          <w:szCs w:val="23"/>
          <w:lang w:val="en-GB"/>
        </w:rPr>
        <w:t xml:space="preserve">Article </w:t>
      </w:r>
      <w:r w:rsidR="00644620" w:rsidRPr="003E3613">
        <w:rPr>
          <w:rFonts w:ascii="Book Antiqua" w:hAnsi="Book Antiqua"/>
          <w:iCs/>
          <w:sz w:val="23"/>
          <w:szCs w:val="23"/>
          <w:lang w:val="en-GB"/>
        </w:rPr>
        <w:t xml:space="preserve">91 (1) d) </w:t>
      </w:r>
      <w:r w:rsidR="00CD6083" w:rsidRPr="003E3613">
        <w:rPr>
          <w:rFonts w:ascii="Book Antiqua" w:hAnsi="Book Antiqua"/>
          <w:iCs/>
          <w:sz w:val="23"/>
          <w:szCs w:val="23"/>
          <w:lang w:val="en-GB"/>
        </w:rPr>
        <w:t xml:space="preserve">of the Media Act </w:t>
      </w:r>
      <w:r w:rsidR="00644620" w:rsidRPr="003E3613">
        <w:rPr>
          <w:rFonts w:ascii="Book Antiqua" w:hAnsi="Book Antiqua"/>
          <w:iCs/>
          <w:sz w:val="23"/>
          <w:szCs w:val="23"/>
          <w:lang w:val="en-GB"/>
        </w:rPr>
        <w:t>accordingly</w:t>
      </w:r>
      <w:r w:rsidR="00E25395" w:rsidRPr="003E3613">
        <w:rPr>
          <w:rFonts w:ascii="Book Antiqua" w:hAnsi="Book Antiqua"/>
          <w:iCs/>
          <w:sz w:val="23"/>
          <w:szCs w:val="23"/>
          <w:lang w:val="en-GB"/>
        </w:rPr>
        <w:t>:</w:t>
      </w:r>
      <w:r w:rsidR="00644620" w:rsidRPr="003E3613">
        <w:rPr>
          <w:rFonts w:ascii="Book Antiqua" w:hAnsi="Book Antiqua"/>
          <w:iCs/>
          <w:sz w:val="23"/>
          <w:szCs w:val="23"/>
          <w:lang w:val="en-GB"/>
        </w:rPr>
        <w:t xml:space="preserve"> „The Public </w:t>
      </w:r>
      <w:r w:rsidR="00551408" w:rsidRPr="003E3613">
        <w:rPr>
          <w:rFonts w:ascii="Book Antiqua" w:hAnsi="Book Antiqua"/>
          <w:iCs/>
          <w:sz w:val="23"/>
          <w:szCs w:val="23"/>
          <w:lang w:val="en-GB"/>
        </w:rPr>
        <w:t xml:space="preserve">Service </w:t>
      </w:r>
      <w:r w:rsidR="00644620" w:rsidRPr="003E3613">
        <w:rPr>
          <w:rFonts w:ascii="Book Antiqua" w:hAnsi="Book Antiqua"/>
          <w:iCs/>
          <w:sz w:val="23"/>
          <w:szCs w:val="23"/>
          <w:lang w:val="en-GB"/>
        </w:rPr>
        <w:t xml:space="preserve">Foundation shall exercise the founders’ and shareholders' rights in respect of the public media service providers, as defined by the provisions of the Civil Code applicable to business associations. However, it is not entitled: </w:t>
      </w:r>
      <w:r w:rsidRPr="003E3613">
        <w:rPr>
          <w:rFonts w:ascii="Book Antiqua" w:hAnsi="Book Antiqua"/>
          <w:iCs/>
          <w:sz w:val="23"/>
          <w:szCs w:val="23"/>
          <w:lang w:val="en-GB"/>
        </w:rPr>
        <w:t>[</w:t>
      </w:r>
      <w:r w:rsidR="00644620" w:rsidRPr="003E3613">
        <w:rPr>
          <w:rFonts w:ascii="Book Antiqua" w:hAnsi="Book Antiqua"/>
          <w:iCs/>
          <w:sz w:val="23"/>
          <w:szCs w:val="23"/>
          <w:lang w:val="en-GB"/>
        </w:rPr>
        <w:t>…</w:t>
      </w:r>
      <w:r w:rsidRPr="003E3613">
        <w:rPr>
          <w:rFonts w:ascii="Book Antiqua" w:hAnsi="Book Antiqua"/>
          <w:iCs/>
          <w:sz w:val="23"/>
          <w:szCs w:val="23"/>
          <w:lang w:val="en-GB"/>
        </w:rPr>
        <w:t>]</w:t>
      </w:r>
      <w:r w:rsidR="00644620" w:rsidRPr="003E3613">
        <w:rPr>
          <w:rFonts w:ascii="Book Antiqua" w:hAnsi="Book Antiqua"/>
          <w:iCs/>
          <w:sz w:val="23"/>
          <w:szCs w:val="23"/>
          <w:lang w:val="en-GB"/>
        </w:rPr>
        <w:t xml:space="preserve"> to define the programme flow structure of a public media service provider, as well as the content of its programme flow, services or programmes.”</w:t>
      </w:r>
    </w:p>
    <w:p w14:paraId="1AB9D3A7" w14:textId="77777777" w:rsidR="0045488F" w:rsidRPr="003E3613" w:rsidRDefault="0045488F" w:rsidP="00204696">
      <w:pPr>
        <w:spacing w:after="0"/>
        <w:jc w:val="both"/>
        <w:rPr>
          <w:rFonts w:ascii="Book Antiqua" w:hAnsi="Book Antiqua"/>
          <w:iCs/>
          <w:sz w:val="23"/>
          <w:szCs w:val="23"/>
          <w:lang w:val="en-GB"/>
        </w:rPr>
      </w:pPr>
    </w:p>
    <w:p w14:paraId="65F96BB5" w14:textId="77777777" w:rsidR="0045488F" w:rsidRPr="003E3613" w:rsidRDefault="0045488F" w:rsidP="00204696">
      <w:pPr>
        <w:spacing w:after="0"/>
        <w:jc w:val="both"/>
        <w:rPr>
          <w:rFonts w:ascii="Book Antiqua" w:hAnsi="Book Antiqua"/>
          <w:iCs/>
          <w:sz w:val="23"/>
          <w:szCs w:val="23"/>
          <w:lang w:val="en-GB"/>
        </w:rPr>
      </w:pPr>
      <w:r w:rsidRPr="003E3613">
        <w:rPr>
          <w:rFonts w:ascii="Book Antiqua" w:hAnsi="Book Antiqua"/>
          <w:iCs/>
          <w:sz w:val="23"/>
          <w:szCs w:val="23"/>
          <w:lang w:val="en-GB"/>
        </w:rPr>
        <w:t>The Media Act foresees a separate body, the Public Service Board for guaranteeing the social control over the public service media. The members of this body are appointed by churches, municipalities, national and ethnic minorities to represent wide a range of social values.</w:t>
      </w:r>
    </w:p>
    <w:p w14:paraId="2CA5E7E1" w14:textId="77777777" w:rsidR="00507F12" w:rsidRPr="003E3613" w:rsidRDefault="00507F12" w:rsidP="00204696">
      <w:pPr>
        <w:spacing w:after="0"/>
        <w:jc w:val="both"/>
        <w:rPr>
          <w:rFonts w:ascii="Book Antiqua" w:hAnsi="Book Antiqua"/>
          <w:i/>
          <w:sz w:val="23"/>
          <w:szCs w:val="23"/>
          <w:lang w:val="en-GB"/>
        </w:rPr>
      </w:pPr>
    </w:p>
    <w:p w14:paraId="73BD7681" w14:textId="77777777" w:rsidR="00FE4000" w:rsidRPr="003E3613" w:rsidRDefault="00FE4000" w:rsidP="00204696">
      <w:pPr>
        <w:pStyle w:val="Heading2"/>
        <w:keepNext w:val="0"/>
        <w:keepLines w:val="0"/>
        <w:spacing w:before="0"/>
        <w:rPr>
          <w:rFonts w:ascii="Book Antiqua" w:hAnsi="Book Antiqua"/>
          <w:color w:val="auto"/>
          <w:sz w:val="23"/>
          <w:szCs w:val="23"/>
          <w:lang w:val="en-GB"/>
        </w:rPr>
      </w:pPr>
      <w:bookmarkStart w:id="29" w:name="_Toc19120790"/>
      <w:r w:rsidRPr="003E3613">
        <w:rPr>
          <w:rFonts w:ascii="Book Antiqua" w:hAnsi="Book Antiqua"/>
          <w:color w:val="auto"/>
          <w:sz w:val="23"/>
          <w:szCs w:val="23"/>
          <w:lang w:val="en-GB"/>
        </w:rPr>
        <w:t>Act CXII of 2011 on Informational Self-Determination and Freedom of Information</w:t>
      </w:r>
      <w:bookmarkEnd w:id="29"/>
    </w:p>
    <w:p w14:paraId="467835EA" w14:textId="77777777" w:rsidR="00FE4000" w:rsidRPr="003E3613" w:rsidRDefault="00FE4000" w:rsidP="00204696">
      <w:pPr>
        <w:spacing w:after="0"/>
        <w:jc w:val="both"/>
        <w:rPr>
          <w:rFonts w:ascii="Book Antiqua" w:hAnsi="Book Antiqua"/>
          <w:i/>
          <w:sz w:val="23"/>
          <w:szCs w:val="23"/>
          <w:lang w:val="en-GB"/>
        </w:rPr>
      </w:pPr>
    </w:p>
    <w:p w14:paraId="0CB92003" w14:textId="77777777" w:rsidR="00507F12" w:rsidRPr="003E3613" w:rsidRDefault="00507F12"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DF59CD" w:rsidRPr="003E3613">
        <w:rPr>
          <w:rFonts w:ascii="Book Antiqua" w:hAnsi="Book Antiqua"/>
          <w:i/>
          <w:sz w:val="23"/>
          <w:szCs w:val="23"/>
          <w:lang w:val="en-GB"/>
        </w:rPr>
        <w:t>29</w:t>
      </w:r>
      <w:r w:rsidRPr="003E3613">
        <w:rPr>
          <w:rFonts w:ascii="Book Antiqua" w:hAnsi="Book Antiqua"/>
          <w:i/>
          <w:sz w:val="23"/>
          <w:szCs w:val="23"/>
          <w:lang w:val="en-GB"/>
        </w:rPr>
        <w:t>) On 18 October 2012, the Venice Commission adopted its Opinion on Act CXII of 2011 on Informational Self-Determination and Freedom of Information of Hungary. Despite the overall positive assessment, the Venice Commission identified the need for further improvements. However, following subsequent amendments to that law, the right to access government information has been significantly restricted further. Those amendments were criticised in the analysis commissioned by the Office of the OSCE Representative on Freedom of the Media in March 2016.</w:t>
      </w:r>
      <w:r w:rsidR="00DF59CD" w:rsidRPr="003E3613">
        <w:rPr>
          <w:rFonts w:ascii="Book Antiqua" w:hAnsi="Book Antiqua"/>
          <w:i/>
          <w:sz w:val="23"/>
          <w:szCs w:val="23"/>
          <w:lang w:val="en-GB"/>
        </w:rPr>
        <w:t xml:space="preserve"> It indicated that the amounts to be charged for direct costs appear to be entirely reasonable, but the charging for the time of public officials to answer requests is unacceptable. As was acknowledged by the Commission’s 2018 country report, the Data Protection Commissioner and the courts, including the Constitutional Court, have taken a progressive position in transparency-related cases.</w:t>
      </w:r>
    </w:p>
    <w:p w14:paraId="350DC9F0" w14:textId="77777777" w:rsidR="00220F4B" w:rsidRPr="003E3613" w:rsidRDefault="00220F4B" w:rsidP="00204696">
      <w:pPr>
        <w:spacing w:after="0"/>
        <w:jc w:val="both"/>
        <w:rPr>
          <w:rFonts w:ascii="Book Antiqua" w:hAnsi="Book Antiqua"/>
          <w:i/>
          <w:sz w:val="23"/>
          <w:szCs w:val="23"/>
          <w:lang w:val="en-GB"/>
        </w:rPr>
      </w:pPr>
    </w:p>
    <w:p w14:paraId="6D08D487" w14:textId="77777777" w:rsidR="00820D4A" w:rsidRPr="003E3613" w:rsidRDefault="00820D4A" w:rsidP="00204696">
      <w:pPr>
        <w:spacing w:after="0"/>
        <w:jc w:val="both"/>
        <w:rPr>
          <w:rFonts w:ascii="Book Antiqua" w:hAnsi="Book Antiqua"/>
          <w:iCs/>
          <w:sz w:val="23"/>
          <w:szCs w:val="23"/>
          <w:lang w:val="en-GB"/>
        </w:rPr>
      </w:pPr>
      <w:r w:rsidRPr="003E3613">
        <w:rPr>
          <w:rFonts w:ascii="Book Antiqua" w:hAnsi="Book Antiqua"/>
          <w:iCs/>
          <w:sz w:val="23"/>
          <w:szCs w:val="23"/>
          <w:lang w:val="en-GB"/>
        </w:rPr>
        <w:t>Hungary recognises the importance of access to public information as a means to provide for transparency in the government sector.</w:t>
      </w:r>
      <w:r w:rsidR="007371DE" w:rsidRPr="003E3613">
        <w:rPr>
          <w:rFonts w:ascii="Book Antiqua" w:hAnsi="Book Antiqua"/>
          <w:iCs/>
          <w:sz w:val="23"/>
          <w:szCs w:val="23"/>
          <w:lang w:val="en-GB"/>
        </w:rPr>
        <w:t xml:space="preserve"> </w:t>
      </w:r>
      <w:r w:rsidR="007371DE" w:rsidRPr="003E3613">
        <w:rPr>
          <w:rFonts w:ascii="Book Antiqua" w:eastAsiaTheme="minorHAnsi" w:hAnsi="Book Antiqua" w:cs="TimesNewRoman"/>
          <w:color w:val="231F20"/>
          <w:sz w:val="23"/>
          <w:szCs w:val="23"/>
          <w:lang w:val="en-GB" w:eastAsia="en-US"/>
        </w:rPr>
        <w:t xml:space="preserve">(The Fundamental Law ensures the right </w:t>
      </w:r>
      <w:r w:rsidR="007371DE" w:rsidRPr="003E3613">
        <w:rPr>
          <w:rFonts w:ascii="Book Antiqua" w:hAnsi="Book Antiqua"/>
          <w:iCs/>
          <w:sz w:val="23"/>
          <w:szCs w:val="23"/>
          <w:lang w:val="en-GB"/>
        </w:rPr>
        <w:t>to access and disseminate data of public interest.)</w:t>
      </w:r>
    </w:p>
    <w:p w14:paraId="06CE1ECE" w14:textId="77777777" w:rsidR="00820D4A" w:rsidRPr="003E3613" w:rsidRDefault="00820D4A" w:rsidP="00204696">
      <w:pPr>
        <w:spacing w:after="0"/>
        <w:jc w:val="both"/>
        <w:rPr>
          <w:rFonts w:ascii="Book Antiqua" w:hAnsi="Book Antiqua"/>
          <w:iCs/>
          <w:sz w:val="23"/>
          <w:szCs w:val="23"/>
          <w:lang w:val="en-GB"/>
        </w:rPr>
      </w:pPr>
    </w:p>
    <w:p w14:paraId="2C807DB5" w14:textId="77777777" w:rsidR="00820D4A" w:rsidRPr="003E3613" w:rsidRDefault="00820D4A"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The amendment </w:t>
      </w:r>
      <w:r w:rsidR="007316A1" w:rsidRPr="003E3613">
        <w:rPr>
          <w:rFonts w:ascii="Book Antiqua" w:hAnsi="Book Antiqua"/>
          <w:iCs/>
          <w:sz w:val="23"/>
          <w:szCs w:val="23"/>
          <w:lang w:val="en-GB"/>
        </w:rPr>
        <w:t xml:space="preserve">of Act CXII of 2011 on Informational Self-Determination and Freedom of Information </w:t>
      </w:r>
      <w:r w:rsidRPr="003E3613">
        <w:rPr>
          <w:rFonts w:ascii="Book Antiqua" w:hAnsi="Book Antiqua"/>
          <w:iCs/>
          <w:sz w:val="23"/>
          <w:szCs w:val="23"/>
          <w:lang w:val="en-GB"/>
        </w:rPr>
        <w:t xml:space="preserve">aimed at strengthening the safeguards of fundamental rights in such a manner that it took into account the interest of data controllers as well. Experience from the administration revealed that specific provisions of the Freedom of Information Act fell short of the necessary flexibility and information requests from applicants put an overwhelming additional burden on data controllers that could prevent them from fulfilling their routine tasks as well as from satisfying information requests from applicants. The amendments aimed at determining the procedures and conditions where satisfying an information request would need additional human or material resources. </w:t>
      </w:r>
    </w:p>
    <w:p w14:paraId="58635D6C" w14:textId="77777777" w:rsidR="00820D4A" w:rsidRPr="003E3613" w:rsidRDefault="00820D4A" w:rsidP="00204696">
      <w:pPr>
        <w:spacing w:after="0"/>
        <w:jc w:val="both"/>
        <w:rPr>
          <w:rFonts w:ascii="Book Antiqua" w:hAnsi="Book Antiqua"/>
          <w:iCs/>
          <w:sz w:val="23"/>
          <w:szCs w:val="23"/>
          <w:lang w:val="en-GB"/>
        </w:rPr>
      </w:pPr>
    </w:p>
    <w:p w14:paraId="7703DBD0" w14:textId="77777777" w:rsidR="00820D4A" w:rsidRPr="003E3613" w:rsidRDefault="00CD64A7" w:rsidP="00204696">
      <w:pPr>
        <w:spacing w:after="0"/>
        <w:jc w:val="both"/>
        <w:rPr>
          <w:rFonts w:ascii="Book Antiqua" w:hAnsi="Book Antiqua"/>
          <w:iCs/>
          <w:sz w:val="23"/>
          <w:szCs w:val="23"/>
          <w:lang w:val="en-GB"/>
        </w:rPr>
      </w:pPr>
      <w:r w:rsidRPr="003E3613">
        <w:rPr>
          <w:rFonts w:ascii="Book Antiqua" w:hAnsi="Book Antiqua"/>
          <w:iCs/>
          <w:sz w:val="23"/>
          <w:szCs w:val="23"/>
          <w:lang w:val="en-GB"/>
        </w:rPr>
        <w:t>The OSCE report found that t</w:t>
      </w:r>
      <w:r w:rsidR="00820D4A" w:rsidRPr="003E3613">
        <w:rPr>
          <w:rFonts w:ascii="Book Antiqua" w:hAnsi="Book Antiqua"/>
          <w:iCs/>
          <w:sz w:val="23"/>
          <w:szCs w:val="23"/>
          <w:lang w:val="en-GB"/>
        </w:rPr>
        <w:t xml:space="preserve">he </w:t>
      </w:r>
      <w:r w:rsidR="003A60E9" w:rsidRPr="003E3613">
        <w:rPr>
          <w:rFonts w:ascii="Book Antiqua" w:hAnsi="Book Antiqua"/>
          <w:iCs/>
          <w:sz w:val="23"/>
          <w:szCs w:val="23"/>
          <w:lang w:val="en-GB"/>
        </w:rPr>
        <w:t>charges</w:t>
      </w:r>
      <w:r w:rsidR="00820D4A" w:rsidRPr="003E3613">
        <w:rPr>
          <w:rFonts w:ascii="Book Antiqua" w:hAnsi="Book Antiqua"/>
          <w:iCs/>
          <w:sz w:val="23"/>
          <w:szCs w:val="23"/>
          <w:lang w:val="en-GB"/>
        </w:rPr>
        <w:t xml:space="preserve"> set by the Hungarian law, for direc</w:t>
      </w:r>
      <w:r w:rsidR="00ED21A1" w:rsidRPr="003E3613">
        <w:rPr>
          <w:rFonts w:ascii="Book Antiqua" w:hAnsi="Book Antiqua"/>
          <w:iCs/>
          <w:sz w:val="23"/>
          <w:szCs w:val="23"/>
          <w:lang w:val="en-GB"/>
        </w:rPr>
        <w:t>t costs of information requests</w:t>
      </w:r>
      <w:r w:rsidR="00820D4A" w:rsidRPr="003E3613">
        <w:rPr>
          <w:rFonts w:ascii="Book Antiqua" w:hAnsi="Book Antiqua"/>
          <w:iCs/>
          <w:sz w:val="23"/>
          <w:szCs w:val="23"/>
          <w:lang w:val="en-GB"/>
        </w:rPr>
        <w:t>, appeared to be entirely reasonable and could be presumed to reflect real costs. They were certainly in line with regional comparative costs.</w:t>
      </w:r>
    </w:p>
    <w:p w14:paraId="6A14A3C2" w14:textId="77777777" w:rsidR="00CE5082" w:rsidRPr="003E3613" w:rsidRDefault="00CE5082" w:rsidP="00204696">
      <w:pPr>
        <w:spacing w:after="0"/>
        <w:jc w:val="both"/>
        <w:rPr>
          <w:rFonts w:ascii="Book Antiqua" w:hAnsi="Book Antiqua"/>
          <w:iCs/>
          <w:sz w:val="23"/>
          <w:szCs w:val="23"/>
          <w:lang w:val="en-GB"/>
        </w:rPr>
      </w:pPr>
    </w:p>
    <w:p w14:paraId="34DB4A94" w14:textId="77777777" w:rsidR="00C073B9" w:rsidRPr="003E3613" w:rsidRDefault="00C073B9"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 xml:space="preserve">The costs of disclosure of information </w:t>
      </w:r>
      <w:r w:rsidR="007371DE" w:rsidRPr="003E3613">
        <w:rPr>
          <w:rFonts w:ascii="Book Antiqua" w:hAnsi="Book Antiqua"/>
          <w:sz w:val="23"/>
          <w:szCs w:val="23"/>
          <w:lang w:val="en-GB"/>
        </w:rPr>
        <w:t xml:space="preserve">are </w:t>
      </w:r>
      <w:r w:rsidRPr="003E3613">
        <w:rPr>
          <w:rFonts w:ascii="Book Antiqua" w:hAnsi="Book Antiqua"/>
          <w:sz w:val="23"/>
          <w:szCs w:val="23"/>
          <w:lang w:val="en-GB"/>
        </w:rPr>
        <w:t>strictly regulated in Act CXII of 2011 on Informational Self-Determination and Freedom of Information and in Government Decree No. 301/2016 (IX. 30.) on the fee chargeable for compliance with requests for public information.</w:t>
      </w:r>
    </w:p>
    <w:p w14:paraId="5BC8E854" w14:textId="77777777" w:rsidR="00C073B9" w:rsidRPr="003E3613" w:rsidRDefault="00C073B9" w:rsidP="00204696">
      <w:pPr>
        <w:spacing w:after="0"/>
        <w:jc w:val="both"/>
        <w:rPr>
          <w:rFonts w:ascii="Book Antiqua" w:hAnsi="Book Antiqua"/>
          <w:sz w:val="23"/>
          <w:szCs w:val="23"/>
          <w:lang w:val="en-GB"/>
        </w:rPr>
      </w:pPr>
    </w:p>
    <w:p w14:paraId="4585D32E" w14:textId="77777777" w:rsidR="00C073B9" w:rsidRPr="003E3613" w:rsidRDefault="00C073B9" w:rsidP="00204696">
      <w:pPr>
        <w:spacing w:after="0"/>
        <w:jc w:val="both"/>
        <w:rPr>
          <w:rFonts w:ascii="Book Antiqua" w:hAnsi="Book Antiqua"/>
          <w:sz w:val="23"/>
          <w:szCs w:val="23"/>
          <w:lang w:val="en-GB"/>
        </w:rPr>
      </w:pPr>
      <w:r w:rsidRPr="003E3613">
        <w:rPr>
          <w:rFonts w:ascii="Book Antiqua" w:hAnsi="Book Antiqua"/>
          <w:sz w:val="23"/>
          <w:szCs w:val="23"/>
          <w:lang w:val="en-GB"/>
        </w:rPr>
        <w:t>Section 29 subsection 3 of Act CXII of 2011 states that the body with public service functions controlling the data in question may charge a fee covering only the costs of disclosure of information, and shall communicate this amount to the requesting party in advance. Section 29 subsection 5 of the same act lays down that the fee can be charged only if compliance with a data request is likely to entail unreasonable hardship on the staff of the body with public service functions in carrying out its normal duties. The requesting party shall be notified within fifteen days from the date of receipt of his request if compliance with his request is likely to entail such an unreasonable hardship, as well as of the amount of the fee chargeable, and if there is any alternate solution available instead of making a copy. If compliance with the request is likely to entail unreasonable hardship, the amount of the fee chargeable shall be calculated based on the staff costs related to satisfying the data request.</w:t>
      </w:r>
    </w:p>
    <w:p w14:paraId="3A035E6F" w14:textId="77777777" w:rsidR="00C073B9" w:rsidRPr="003E3613" w:rsidRDefault="00C073B9" w:rsidP="00204696">
      <w:pPr>
        <w:spacing w:after="0"/>
        <w:jc w:val="both"/>
        <w:rPr>
          <w:rFonts w:ascii="Book Antiqua" w:hAnsi="Book Antiqua"/>
          <w:sz w:val="23"/>
          <w:szCs w:val="23"/>
          <w:lang w:val="en-GB"/>
        </w:rPr>
      </w:pPr>
    </w:p>
    <w:p w14:paraId="2E4A902F" w14:textId="77777777" w:rsidR="00C073B9" w:rsidRPr="003E3613" w:rsidRDefault="00C073B9"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Section 3 of Government Decree No. 301/2016 states that the fee on the staff costs related to satisfying the data request shall be calculated only if the time required to satisfy </w:t>
      </w:r>
      <w:r w:rsidR="00522CE5" w:rsidRPr="003E3613">
        <w:rPr>
          <w:rFonts w:ascii="Book Antiqua" w:hAnsi="Book Antiqua"/>
          <w:sz w:val="23"/>
          <w:szCs w:val="23"/>
          <w:lang w:val="en-GB"/>
        </w:rPr>
        <w:t xml:space="preserve">the </w:t>
      </w:r>
      <w:r w:rsidRPr="003E3613">
        <w:rPr>
          <w:rFonts w:ascii="Book Antiqua" w:hAnsi="Book Antiqua"/>
          <w:sz w:val="23"/>
          <w:szCs w:val="23"/>
          <w:lang w:val="en-GB"/>
        </w:rPr>
        <w:t>data request exceeds 4 working hours. Staff costs only include the time required to trace, aggregate, systematize and copy the requested information, as well as when parts of the requested information should be reduced into an unrecognisable form. Staff costs related to satisfying the data request cannot exceed 4400 HUF per hour (~14 EUR per hour).</w:t>
      </w:r>
    </w:p>
    <w:p w14:paraId="7D8A15F7" w14:textId="77777777" w:rsidR="00C073B9" w:rsidRPr="003E3613" w:rsidRDefault="00C073B9" w:rsidP="00204696">
      <w:pPr>
        <w:spacing w:after="0"/>
        <w:jc w:val="both"/>
        <w:rPr>
          <w:rFonts w:ascii="Book Antiqua" w:hAnsi="Book Antiqua"/>
          <w:sz w:val="23"/>
          <w:szCs w:val="23"/>
          <w:lang w:val="en-GB"/>
        </w:rPr>
      </w:pPr>
    </w:p>
    <w:p w14:paraId="35799C18" w14:textId="77777777" w:rsidR="00C073B9" w:rsidRPr="003E3613" w:rsidRDefault="00C073B9"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Section 31 subsection 1 of Act CXII of 2011 states that the requesting party may bring the case before the court for having the fee charged for compliance with the request reviewed. Section 52 subsection 1 also states that any person shall have the right to notify the National Authority for Data Protection and Freedom of Information and request an investigation alleging an infringement relating to his or her personal data or concerning the exercise of the rights of access to public information or information of public interest, or if there is imminent danger of such infringement. </w:t>
      </w:r>
    </w:p>
    <w:p w14:paraId="156605D6" w14:textId="77777777" w:rsidR="00C073B9" w:rsidRPr="003E3613" w:rsidRDefault="00C073B9" w:rsidP="00204696">
      <w:pPr>
        <w:spacing w:after="0"/>
        <w:jc w:val="both"/>
        <w:rPr>
          <w:rFonts w:ascii="Book Antiqua" w:hAnsi="Book Antiqua"/>
          <w:sz w:val="23"/>
          <w:szCs w:val="23"/>
          <w:lang w:val="en-GB"/>
        </w:rPr>
      </w:pPr>
    </w:p>
    <w:p w14:paraId="40F132C8" w14:textId="77777777" w:rsidR="00660031" w:rsidRDefault="00C073B9" w:rsidP="00204696">
      <w:pPr>
        <w:spacing w:after="0"/>
        <w:jc w:val="both"/>
        <w:rPr>
          <w:rFonts w:ascii="Book Antiqua" w:hAnsi="Book Antiqua"/>
          <w:sz w:val="23"/>
          <w:szCs w:val="23"/>
          <w:lang w:val="en-GB"/>
        </w:rPr>
      </w:pPr>
      <w:r w:rsidRPr="003E3613">
        <w:rPr>
          <w:rFonts w:ascii="Book Antiqua" w:hAnsi="Book Antiqua"/>
          <w:sz w:val="23"/>
          <w:szCs w:val="23"/>
          <w:lang w:val="en-GB"/>
        </w:rPr>
        <w:t>In addition, it must be noted that Hungary is a party to the Council of Europe Convention on Access to Official Documents. Article 6 Para. 2 of the Convention states</w:t>
      </w:r>
      <w:r w:rsidR="002C031B" w:rsidRPr="003E3613">
        <w:rPr>
          <w:rFonts w:ascii="Book Antiqua" w:hAnsi="Book Antiqua"/>
          <w:sz w:val="23"/>
          <w:szCs w:val="23"/>
          <w:lang w:val="en-GB"/>
        </w:rPr>
        <w:t xml:space="preserve"> that</w:t>
      </w:r>
      <w:r w:rsidRPr="003E3613">
        <w:rPr>
          <w:rFonts w:ascii="Book Antiqua" w:hAnsi="Book Antiqua"/>
          <w:sz w:val="23"/>
          <w:szCs w:val="23"/>
          <w:lang w:val="en-GB"/>
        </w:rPr>
        <w:t xml:space="preserve"> „[i]f a limitation applies to some of the information in an official document, the public authority should nevertheless grant access to the remainder of the information it contains. Any omissions should be clearly indicated. However, if the partial version of </w:t>
      </w:r>
    </w:p>
    <w:p w14:paraId="05FA904D" w14:textId="0BCFE0D6" w:rsidR="00C073B9" w:rsidRPr="003E3613" w:rsidRDefault="00C073B9"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document is misleading or meaningless, or if it poses a manifestly unreasonable burden for the authority to release the remainder of the document, such access may be refused”. Article 7 Para. 2 also states that „[a] fee may be charged to the applicant for a copy of the official document, which should be reasonable and not exceed the actual costs of reproduction and delivery of the document. Tariffs of charges shall be published”. This demonstrates that even the Convention allows for possible limitations as it allows the Parties to charge fees for reproduction and delivery. </w:t>
      </w:r>
    </w:p>
    <w:p w14:paraId="787E9E3B" w14:textId="77777777" w:rsidR="00C073B9" w:rsidRPr="003E3613" w:rsidRDefault="00C073B9" w:rsidP="00204696">
      <w:pPr>
        <w:spacing w:after="0"/>
        <w:jc w:val="both"/>
        <w:rPr>
          <w:rFonts w:ascii="Book Antiqua" w:hAnsi="Book Antiqua"/>
          <w:sz w:val="23"/>
          <w:szCs w:val="23"/>
          <w:lang w:val="en-GB"/>
        </w:rPr>
      </w:pPr>
    </w:p>
    <w:p w14:paraId="2C89297B" w14:textId="77777777" w:rsidR="00CE5082" w:rsidRPr="003E3613" w:rsidRDefault="00C073B9" w:rsidP="00204696">
      <w:pPr>
        <w:spacing w:after="0"/>
        <w:jc w:val="both"/>
        <w:rPr>
          <w:rFonts w:ascii="Book Antiqua" w:hAnsi="Book Antiqua"/>
          <w:sz w:val="23"/>
          <w:szCs w:val="23"/>
          <w:lang w:val="en-GB"/>
        </w:rPr>
      </w:pPr>
      <w:r w:rsidRPr="003E3613">
        <w:rPr>
          <w:rFonts w:ascii="Book Antiqua" w:hAnsi="Book Antiqua"/>
          <w:sz w:val="23"/>
          <w:szCs w:val="23"/>
          <w:lang w:val="en-GB"/>
        </w:rPr>
        <w:t>The Explanatory Report to the Convention says that Article 7 Para. 2 means that „[i]n the case of copies, the cost of access may be charged to the applicant, but also in accordance with the self-cost principle and be reasonable; the public authorities should not make any profit”. Hungar</w:t>
      </w:r>
      <w:r w:rsidR="001808E5" w:rsidRPr="003E3613">
        <w:rPr>
          <w:rFonts w:ascii="Book Antiqua" w:hAnsi="Book Antiqua"/>
          <w:sz w:val="23"/>
          <w:szCs w:val="23"/>
          <w:lang w:val="en-GB"/>
        </w:rPr>
        <w:t xml:space="preserve">y </w:t>
      </w:r>
      <w:r w:rsidRPr="003E3613">
        <w:rPr>
          <w:rFonts w:ascii="Book Antiqua" w:hAnsi="Book Antiqua"/>
          <w:sz w:val="23"/>
          <w:szCs w:val="23"/>
          <w:lang w:val="en-GB"/>
        </w:rPr>
        <w:t>adopted rules that are consistent with the Convention</w:t>
      </w:r>
      <w:r w:rsidR="007316A1" w:rsidRPr="003E3613">
        <w:rPr>
          <w:rFonts w:ascii="Book Antiqua" w:hAnsi="Book Antiqua"/>
          <w:sz w:val="23"/>
          <w:szCs w:val="23"/>
          <w:lang w:val="en-GB"/>
        </w:rPr>
        <w:t>, so the rules in force are in order and the issues raised in the reasoned proposal have been resolved.</w:t>
      </w:r>
      <w:r w:rsidRPr="003E3613">
        <w:rPr>
          <w:rFonts w:ascii="Book Antiqua" w:hAnsi="Book Antiqua"/>
          <w:sz w:val="23"/>
          <w:szCs w:val="23"/>
          <w:lang w:val="en-GB"/>
        </w:rPr>
        <w:t xml:space="preserve"> </w:t>
      </w:r>
      <w:r w:rsidR="007316A1" w:rsidRPr="003E3613">
        <w:rPr>
          <w:rFonts w:ascii="Book Antiqua" w:hAnsi="Book Antiqua"/>
          <w:sz w:val="23"/>
          <w:szCs w:val="23"/>
          <w:lang w:val="en-GB"/>
        </w:rPr>
        <w:t>S</w:t>
      </w:r>
      <w:r w:rsidRPr="003E3613">
        <w:rPr>
          <w:rFonts w:ascii="Book Antiqua" w:hAnsi="Book Antiqua"/>
          <w:sz w:val="23"/>
          <w:szCs w:val="23"/>
          <w:lang w:val="en-GB"/>
        </w:rPr>
        <w:t>taff costs can only be charged if the request entails unreasonable hardship on the staff of the body with public service functions in carrying out its normal duties, therefore these fees are reasonable and are also not serving the purpose of making any profit.</w:t>
      </w:r>
    </w:p>
    <w:p w14:paraId="25092AD4" w14:textId="77777777" w:rsidR="008070F7" w:rsidRPr="003E3613" w:rsidRDefault="008070F7" w:rsidP="00204696">
      <w:pPr>
        <w:rPr>
          <w:rFonts w:ascii="Book Antiqua" w:eastAsiaTheme="majorEastAsia" w:hAnsi="Book Antiqua" w:cstheme="majorBidi"/>
          <w:b/>
          <w:bCs/>
          <w:sz w:val="23"/>
          <w:szCs w:val="23"/>
          <w:lang w:val="en-GB"/>
        </w:rPr>
      </w:pPr>
    </w:p>
    <w:p w14:paraId="6BBCC401" w14:textId="77777777" w:rsidR="00FE4000" w:rsidRPr="003E3613" w:rsidRDefault="00396BD6" w:rsidP="00204696">
      <w:pPr>
        <w:pStyle w:val="Heading2"/>
        <w:keepNext w:val="0"/>
        <w:keepLines w:val="0"/>
        <w:spacing w:before="0"/>
        <w:jc w:val="both"/>
        <w:rPr>
          <w:rFonts w:ascii="Book Antiqua" w:hAnsi="Book Antiqua"/>
          <w:color w:val="auto"/>
          <w:sz w:val="23"/>
          <w:szCs w:val="23"/>
          <w:lang w:val="en-GB"/>
        </w:rPr>
      </w:pPr>
      <w:bookmarkStart w:id="30" w:name="_Toc19120791"/>
      <w:r w:rsidRPr="003E3613">
        <w:rPr>
          <w:rFonts w:ascii="Book Antiqua" w:hAnsi="Book Antiqua"/>
          <w:color w:val="auto"/>
          <w:sz w:val="23"/>
          <w:szCs w:val="23"/>
          <w:lang w:val="en-GB"/>
        </w:rPr>
        <w:t>F</w:t>
      </w:r>
      <w:r w:rsidR="00FE4000" w:rsidRPr="003E3613">
        <w:rPr>
          <w:rFonts w:ascii="Book Antiqua" w:hAnsi="Book Antiqua"/>
          <w:color w:val="auto"/>
          <w:sz w:val="23"/>
          <w:szCs w:val="23"/>
          <w:lang w:val="en-GB"/>
        </w:rPr>
        <w:t xml:space="preserve">reedom of the media and </w:t>
      </w:r>
      <w:r w:rsidRPr="003E3613">
        <w:rPr>
          <w:rFonts w:ascii="Book Antiqua" w:hAnsi="Book Antiqua"/>
          <w:color w:val="auto"/>
          <w:sz w:val="23"/>
          <w:szCs w:val="23"/>
          <w:lang w:val="en-GB"/>
        </w:rPr>
        <w:t xml:space="preserve">of </w:t>
      </w:r>
      <w:r w:rsidR="00FE4000" w:rsidRPr="003E3613">
        <w:rPr>
          <w:rFonts w:ascii="Book Antiqua" w:hAnsi="Book Antiqua"/>
          <w:color w:val="auto"/>
          <w:sz w:val="23"/>
          <w:szCs w:val="23"/>
          <w:lang w:val="en-GB"/>
        </w:rPr>
        <w:t>association during the 8 April 2018 elections</w:t>
      </w:r>
      <w:bookmarkEnd w:id="30"/>
    </w:p>
    <w:p w14:paraId="43B85505" w14:textId="77777777" w:rsidR="00FE4000" w:rsidRPr="003E3613" w:rsidRDefault="00FE4000" w:rsidP="00204696">
      <w:pPr>
        <w:spacing w:after="0"/>
        <w:rPr>
          <w:rFonts w:ascii="Book Antiqua" w:hAnsi="Book Antiqua"/>
          <w:sz w:val="23"/>
          <w:szCs w:val="23"/>
          <w:lang w:val="en-GB"/>
        </w:rPr>
      </w:pPr>
    </w:p>
    <w:p w14:paraId="11A287FF" w14:textId="77777777" w:rsidR="00C70BB0" w:rsidRPr="003E3613" w:rsidRDefault="00D72DCE" w:rsidP="00204696">
      <w:pPr>
        <w:spacing w:after="0"/>
        <w:jc w:val="both"/>
        <w:rPr>
          <w:rFonts w:ascii="Book Antiqua" w:hAnsi="Book Antiqua"/>
          <w:i/>
          <w:sz w:val="23"/>
          <w:szCs w:val="23"/>
          <w:lang w:val="en-GB"/>
        </w:rPr>
      </w:pPr>
      <w:r w:rsidRPr="003E3613">
        <w:rPr>
          <w:rFonts w:ascii="Book Antiqua" w:hAnsi="Book Antiqua"/>
          <w:i/>
          <w:sz w:val="23"/>
          <w:szCs w:val="23"/>
          <w:lang w:val="en-GB"/>
        </w:rPr>
        <w:t>(30)</w:t>
      </w:r>
      <w:r w:rsidRPr="003E3613">
        <w:rPr>
          <w:rFonts w:ascii="Book Antiqua" w:hAnsi="Book Antiqua"/>
          <w:i/>
          <w:sz w:val="23"/>
          <w:szCs w:val="23"/>
          <w:lang w:val="en-GB"/>
        </w:rPr>
        <w:tab/>
        <w:t>In its report, adopted on 27 June 2018, the limited election observation mission of the OSCE Office for Democratic Institutions and Human Rights for the 2018 Hungarian parliamentary elections stated that access to information as well as the freedoms of the media and association have been restricted, including by recent legal changes</w:t>
      </w:r>
      <w:r w:rsidR="00A92393" w:rsidRPr="003E3613">
        <w:rPr>
          <w:rStyle w:val="FootnoteReference"/>
          <w:rFonts w:ascii="Book Antiqua" w:hAnsi="Book Antiqua"/>
          <w:i/>
          <w:sz w:val="23"/>
          <w:szCs w:val="23"/>
          <w:lang w:val="en-GB"/>
        </w:rPr>
        <w:footnoteReference w:id="28"/>
      </w:r>
      <w:r w:rsidRPr="003E3613">
        <w:rPr>
          <w:rFonts w:ascii="Book Antiqua" w:hAnsi="Book Antiqua"/>
          <w:i/>
          <w:sz w:val="23"/>
          <w:szCs w:val="23"/>
          <w:lang w:val="en-GB"/>
        </w:rPr>
        <w:t xml:space="preserve"> and that media coverage of the campaign was extensive, yet highly polarized and lacking critical analysis due to the politicisation of media ownership and influx of the government’s publicity campaigns. The public broadcaster fulfilled its mandate to provide free airtime to contestants, but its newscasts and editorial output clearly favoured the ruling coalition, contrary to international standards. Most commercial broadcasters were partisan in their coverage, siding either with the ruling or opposition parties. Online media provided a platform for pluralistic, issue-oriented political debate. It further noted that politicisation of the ownership, coupled with a restrictive legal framework and absence of an independent media regulatory body, had a chilling effect on editorial freedom, hindering voters’ access to pluralistic information. It also mentioned that the amendments introduced undue restrictions on access to information by broadening the definition of information not subject to disclosure and by increasing the fee for handling information requests. </w:t>
      </w:r>
    </w:p>
    <w:p w14:paraId="2347F9AF" w14:textId="77777777" w:rsidR="00220F4B" w:rsidRPr="003E3613" w:rsidRDefault="00220F4B" w:rsidP="00204696">
      <w:pPr>
        <w:spacing w:after="0"/>
        <w:jc w:val="both"/>
        <w:rPr>
          <w:rFonts w:ascii="Book Antiqua" w:hAnsi="Book Antiqua"/>
          <w:i/>
          <w:sz w:val="23"/>
          <w:szCs w:val="23"/>
          <w:lang w:val="en-GB"/>
        </w:rPr>
      </w:pPr>
    </w:p>
    <w:p w14:paraId="1B428352" w14:textId="77777777" w:rsidR="00003817" w:rsidRPr="003E3613" w:rsidRDefault="00003817" w:rsidP="00204696">
      <w:pPr>
        <w:spacing w:after="0"/>
        <w:jc w:val="both"/>
        <w:rPr>
          <w:rFonts w:ascii="Book Antiqua" w:hAnsi="Book Antiqua"/>
          <w:sz w:val="23"/>
          <w:szCs w:val="23"/>
          <w:lang w:val="en-GB"/>
        </w:rPr>
      </w:pPr>
      <w:r w:rsidRPr="003E3613">
        <w:rPr>
          <w:rFonts w:ascii="Book Antiqua" w:hAnsi="Book Antiqua"/>
          <w:sz w:val="23"/>
          <w:szCs w:val="23"/>
          <w:lang w:val="en-GB"/>
        </w:rPr>
        <w:t>As far as the independence of the media regulatory body is concerned, please refer to the comments to recital (28) above.</w:t>
      </w:r>
    </w:p>
    <w:p w14:paraId="61B4A4F9" w14:textId="77777777" w:rsidR="00003817" w:rsidRPr="003E3613" w:rsidRDefault="00003817" w:rsidP="00204696">
      <w:pPr>
        <w:spacing w:after="0"/>
        <w:jc w:val="both"/>
        <w:rPr>
          <w:rFonts w:ascii="Book Antiqua" w:hAnsi="Book Antiqua"/>
          <w:i/>
          <w:sz w:val="23"/>
          <w:szCs w:val="23"/>
          <w:lang w:val="en-GB"/>
        </w:rPr>
      </w:pPr>
    </w:p>
    <w:p w14:paraId="6A29C988" w14:textId="77777777" w:rsidR="00ED21A1" w:rsidRPr="003E3613" w:rsidRDefault="00EB3952" w:rsidP="00204696">
      <w:pPr>
        <w:spacing w:after="0"/>
        <w:jc w:val="both"/>
        <w:rPr>
          <w:rFonts w:ascii="Book Antiqua" w:hAnsi="Book Antiqua"/>
          <w:iCs/>
          <w:sz w:val="23"/>
          <w:szCs w:val="23"/>
          <w:lang w:val="en-GB"/>
        </w:rPr>
      </w:pPr>
      <w:r w:rsidRPr="003E3613">
        <w:rPr>
          <w:rFonts w:ascii="Book Antiqua" w:hAnsi="Book Antiqua"/>
          <w:iCs/>
          <w:sz w:val="23"/>
          <w:szCs w:val="23"/>
          <w:lang w:val="en-GB"/>
        </w:rPr>
        <w:t>In Hungary the regulat</w:t>
      </w:r>
      <w:r w:rsidR="00A31815" w:rsidRPr="003E3613">
        <w:rPr>
          <w:rFonts w:ascii="Book Antiqua" w:hAnsi="Book Antiqua"/>
          <w:iCs/>
          <w:sz w:val="23"/>
          <w:szCs w:val="23"/>
          <w:lang w:val="en-GB"/>
        </w:rPr>
        <w:t>ory</w:t>
      </w:r>
      <w:r w:rsidRPr="003E3613">
        <w:rPr>
          <w:rFonts w:ascii="Book Antiqua" w:hAnsi="Book Antiqua"/>
          <w:iCs/>
          <w:sz w:val="23"/>
          <w:szCs w:val="23"/>
          <w:lang w:val="en-GB"/>
        </w:rPr>
        <w:t xml:space="preserve"> environment on political advertising was reformed by two amendments to the Fundamental Law [Article IX(3)] in 2013 as well as the new Election Procedure Act and took its actual shape by taking fully into consideration the </w:t>
      </w:r>
      <w:r w:rsidR="007371DE" w:rsidRPr="003E3613">
        <w:rPr>
          <w:rFonts w:ascii="Book Antiqua" w:hAnsi="Book Antiqua"/>
          <w:iCs/>
          <w:sz w:val="23"/>
          <w:szCs w:val="23"/>
          <w:lang w:val="en-GB"/>
        </w:rPr>
        <w:t xml:space="preserve">Decision 1/2013 (I. 7.) AB </w:t>
      </w:r>
      <w:r w:rsidRPr="003E3613">
        <w:rPr>
          <w:rFonts w:ascii="Book Antiqua" w:hAnsi="Book Antiqua"/>
          <w:iCs/>
          <w:sz w:val="23"/>
          <w:szCs w:val="23"/>
          <w:lang w:val="en-GB"/>
        </w:rPr>
        <w:t xml:space="preserve">of the Hungarian Constitutional Court and the recommendations of the Venice Commission. </w:t>
      </w:r>
      <w:r w:rsidR="008A58E1" w:rsidRPr="003E3613">
        <w:rPr>
          <w:rFonts w:ascii="Book Antiqua" w:hAnsi="Book Antiqua"/>
          <w:iCs/>
          <w:sz w:val="23"/>
          <w:szCs w:val="23"/>
          <w:lang w:val="en-GB"/>
        </w:rPr>
        <w:t xml:space="preserve">Due </w:t>
      </w:r>
      <w:r w:rsidRPr="003E3613">
        <w:rPr>
          <w:rFonts w:ascii="Book Antiqua" w:hAnsi="Book Antiqua"/>
          <w:iCs/>
          <w:sz w:val="23"/>
          <w:szCs w:val="23"/>
          <w:lang w:val="en-GB"/>
        </w:rPr>
        <w:t xml:space="preserve">to the </w:t>
      </w:r>
      <w:r w:rsidR="00D12980" w:rsidRPr="003E3613">
        <w:rPr>
          <w:rFonts w:ascii="Book Antiqua" w:hAnsi="Book Antiqua"/>
          <w:iCs/>
          <w:sz w:val="23"/>
          <w:szCs w:val="23"/>
          <w:lang w:val="en-GB"/>
        </w:rPr>
        <w:t>amendments</w:t>
      </w:r>
      <w:r w:rsidR="00D12980" w:rsidRPr="003E3613" w:rsidDel="00531790">
        <w:rPr>
          <w:rFonts w:ascii="Book Antiqua" w:hAnsi="Book Antiqua"/>
          <w:iCs/>
          <w:sz w:val="23"/>
          <w:szCs w:val="23"/>
          <w:lang w:val="en-GB"/>
        </w:rPr>
        <w:t xml:space="preserve"> </w:t>
      </w:r>
      <w:r w:rsidRPr="003E3613">
        <w:rPr>
          <w:rFonts w:ascii="Book Antiqua" w:hAnsi="Book Antiqua"/>
          <w:iCs/>
          <w:sz w:val="23"/>
          <w:szCs w:val="23"/>
          <w:lang w:val="en-GB"/>
        </w:rPr>
        <w:t>political advertisements can be published through any media service</w:t>
      </w:r>
      <w:r w:rsidR="00531790" w:rsidRPr="003E3613">
        <w:rPr>
          <w:rFonts w:ascii="Book Antiqua" w:hAnsi="Book Antiqua"/>
          <w:iCs/>
          <w:sz w:val="23"/>
          <w:szCs w:val="23"/>
          <w:lang w:val="en-GB"/>
        </w:rPr>
        <w:t>, free of charge in an unbiased manner without any modification</w:t>
      </w:r>
      <w:r w:rsidRPr="003E3613">
        <w:rPr>
          <w:rFonts w:ascii="Book Antiqua" w:hAnsi="Book Antiqua"/>
          <w:iCs/>
          <w:sz w:val="23"/>
          <w:szCs w:val="23"/>
          <w:lang w:val="en-GB"/>
        </w:rPr>
        <w:t xml:space="preserve">. Media service providers are not obliged to publish campaign advertisements; however, if they undertake to do so, they can do it only on the terms mentioned before. The Election Procedure Act prescribes not only that the same amount of time shall be ensured to each nominating </w:t>
      </w:r>
      <w:r w:rsidRPr="003E3613">
        <w:rPr>
          <w:rFonts w:ascii="Book Antiqua" w:hAnsi="Book Antiqua"/>
          <w:iCs/>
          <w:sz w:val="23"/>
          <w:szCs w:val="23"/>
          <w:lang w:val="en-GB"/>
        </w:rPr>
        <w:lastRenderedPageBreak/>
        <w:t>organisations with a national list for publishing the political advertisement but also ensures equal opportunities by setting daily time intervals and changing the order of appearance. The Hungarian regulation is similar to those applied in numerous European countries in line with the 2008 decision of the European Court of Human Rights in the</w:t>
      </w:r>
      <w:r w:rsidR="003F40A5" w:rsidRPr="003E3613">
        <w:rPr>
          <w:rFonts w:ascii="Book Antiqua" w:hAnsi="Book Antiqua"/>
          <w:iCs/>
          <w:sz w:val="23"/>
          <w:szCs w:val="23"/>
          <w:lang w:val="en-GB"/>
        </w:rPr>
        <w:t xml:space="preserve"> </w:t>
      </w:r>
      <w:r w:rsidRPr="003E3613">
        <w:rPr>
          <w:rFonts w:ascii="Book Antiqua" w:hAnsi="Book Antiqua"/>
          <w:iCs/>
          <w:sz w:val="23"/>
          <w:szCs w:val="23"/>
          <w:lang w:val="en-GB"/>
        </w:rPr>
        <w:t xml:space="preserve">’TV Vest AS &amp; Rogaland Pensjonistparti v. Norway’ case. In the present campaign three commercial media service providers (RTL Klub, ATV, Class FM) published political advertisements. </w:t>
      </w:r>
    </w:p>
    <w:p w14:paraId="602567E1" w14:textId="77777777" w:rsidR="00DA57E5" w:rsidRPr="003E3613" w:rsidRDefault="00DA57E5" w:rsidP="00204696">
      <w:pPr>
        <w:spacing w:after="0"/>
        <w:jc w:val="both"/>
        <w:rPr>
          <w:rFonts w:ascii="Book Antiqua" w:hAnsi="Book Antiqua"/>
          <w:iCs/>
          <w:sz w:val="23"/>
          <w:szCs w:val="23"/>
          <w:lang w:val="en-GB"/>
        </w:rPr>
      </w:pPr>
    </w:p>
    <w:p w14:paraId="160F1E26" w14:textId="77777777" w:rsidR="0018483E" w:rsidRPr="003E3613" w:rsidRDefault="0018483E" w:rsidP="00204696">
      <w:pPr>
        <w:spacing w:after="0"/>
        <w:jc w:val="both"/>
        <w:rPr>
          <w:rFonts w:ascii="Book Antiqua" w:hAnsi="Book Antiqua"/>
          <w:iCs/>
          <w:sz w:val="23"/>
          <w:szCs w:val="23"/>
          <w:lang w:val="en-GB"/>
        </w:rPr>
      </w:pPr>
      <w:r w:rsidRPr="003E3613">
        <w:rPr>
          <w:rFonts w:ascii="Book Antiqua" w:hAnsi="Book Antiqua"/>
          <w:iCs/>
          <w:sz w:val="23"/>
          <w:szCs w:val="23"/>
          <w:lang w:val="en-GB"/>
        </w:rPr>
        <w:t>As far as the allegation of a „</w:t>
      </w:r>
      <w:r w:rsidRPr="003E3613">
        <w:rPr>
          <w:rFonts w:ascii="Book Antiqua" w:hAnsi="Book Antiqua"/>
          <w:i/>
          <w:iCs/>
          <w:sz w:val="23"/>
          <w:szCs w:val="23"/>
          <w:lang w:val="en-GB"/>
        </w:rPr>
        <w:t xml:space="preserve">chilling effect” </w:t>
      </w:r>
      <w:r w:rsidRPr="003E3613">
        <w:rPr>
          <w:rFonts w:ascii="Book Antiqua" w:hAnsi="Book Antiqua"/>
          <w:iCs/>
          <w:sz w:val="23"/>
          <w:szCs w:val="23"/>
          <w:lang w:val="en-GB"/>
        </w:rPr>
        <w:t xml:space="preserve">is concerned, it is not supported by any facts whatsoever, hence it is difficult to make </w:t>
      </w:r>
      <w:r w:rsidR="00404D52" w:rsidRPr="003E3613">
        <w:rPr>
          <w:rFonts w:ascii="Book Antiqua" w:hAnsi="Book Antiqua"/>
          <w:iCs/>
          <w:sz w:val="23"/>
          <w:szCs w:val="23"/>
          <w:lang w:val="en-GB"/>
        </w:rPr>
        <w:t xml:space="preserve">legal </w:t>
      </w:r>
      <w:r w:rsidRPr="003E3613">
        <w:rPr>
          <w:rFonts w:ascii="Book Antiqua" w:hAnsi="Book Antiqua"/>
          <w:iCs/>
          <w:sz w:val="23"/>
          <w:szCs w:val="23"/>
          <w:lang w:val="en-GB"/>
        </w:rPr>
        <w:t xml:space="preserve">counter arguments. </w:t>
      </w:r>
    </w:p>
    <w:p w14:paraId="5D04517F" w14:textId="77777777" w:rsidR="00D66BFB" w:rsidRPr="003E3613" w:rsidRDefault="00D66BFB" w:rsidP="00204696">
      <w:pPr>
        <w:spacing w:after="0"/>
        <w:jc w:val="both"/>
        <w:rPr>
          <w:rFonts w:ascii="Book Antiqua" w:hAnsi="Book Antiqua"/>
          <w:i/>
          <w:sz w:val="23"/>
          <w:szCs w:val="23"/>
          <w:lang w:val="en-GB"/>
        </w:rPr>
      </w:pPr>
    </w:p>
    <w:p w14:paraId="09B77019" w14:textId="77777777" w:rsidR="00FE4000" w:rsidRPr="003E3613" w:rsidRDefault="00FE4000" w:rsidP="00204696">
      <w:pPr>
        <w:pStyle w:val="Heading2"/>
        <w:keepNext w:val="0"/>
        <w:keepLines w:val="0"/>
        <w:spacing w:before="0"/>
        <w:rPr>
          <w:rFonts w:ascii="Book Antiqua" w:hAnsi="Book Antiqua"/>
          <w:color w:val="auto"/>
          <w:sz w:val="23"/>
          <w:szCs w:val="23"/>
          <w:lang w:val="en-GB"/>
        </w:rPr>
      </w:pPr>
      <w:bookmarkStart w:id="31" w:name="_Toc19120792"/>
      <w:r w:rsidRPr="003E3613">
        <w:rPr>
          <w:rFonts w:ascii="Book Antiqua" w:hAnsi="Book Antiqua"/>
          <w:color w:val="auto"/>
          <w:sz w:val="23"/>
          <w:szCs w:val="23"/>
          <w:lang w:val="en-GB"/>
        </w:rPr>
        <w:t>Restrictions on freedom of opinion and expression</w:t>
      </w:r>
      <w:bookmarkEnd w:id="31"/>
    </w:p>
    <w:p w14:paraId="5D542554" w14:textId="77777777" w:rsidR="00FE4000" w:rsidRPr="003E3613" w:rsidRDefault="00FE4000" w:rsidP="00204696">
      <w:pPr>
        <w:spacing w:after="0"/>
        <w:jc w:val="both"/>
        <w:rPr>
          <w:rFonts w:ascii="Book Antiqua" w:hAnsi="Book Antiqua"/>
          <w:i/>
          <w:sz w:val="23"/>
          <w:szCs w:val="23"/>
          <w:lang w:val="en-GB"/>
        </w:rPr>
      </w:pPr>
    </w:p>
    <w:p w14:paraId="0028F4D7" w14:textId="77777777" w:rsidR="00507F12" w:rsidRPr="003E3613" w:rsidRDefault="00366F3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DF59CD" w:rsidRPr="003E3613">
        <w:rPr>
          <w:rFonts w:ascii="Book Antiqua" w:hAnsi="Book Antiqua"/>
          <w:i/>
          <w:sz w:val="23"/>
          <w:szCs w:val="23"/>
          <w:lang w:val="en-GB"/>
        </w:rPr>
        <w:t>31</w:t>
      </w:r>
      <w:r w:rsidRPr="003E3613">
        <w:rPr>
          <w:rFonts w:ascii="Book Antiqua" w:hAnsi="Book Antiqua"/>
          <w:i/>
          <w:sz w:val="23"/>
          <w:szCs w:val="23"/>
          <w:lang w:val="en-GB"/>
        </w:rPr>
        <w:t>) In its concluding observations of 5 April 2018, the UN Human Rights Committee expressed concerns about Hungary’s media laws and practices that restrict freedom of opinion and expression. It was concerned that, following successive changes in the law, the current legislative framework does not fully ensure an uncensored and unhindered press. It noted with concern that the Media Council and the Media Authority lack sufficient independence to perform their functions and have overbroad regulatory and sanctioning powers.</w:t>
      </w:r>
    </w:p>
    <w:p w14:paraId="3E45901B" w14:textId="77777777" w:rsidR="00220F4B" w:rsidRPr="003E3613" w:rsidRDefault="00220F4B" w:rsidP="00204696">
      <w:pPr>
        <w:spacing w:after="0"/>
        <w:jc w:val="both"/>
        <w:rPr>
          <w:rFonts w:ascii="Book Antiqua" w:hAnsi="Book Antiqua"/>
          <w:i/>
          <w:sz w:val="23"/>
          <w:szCs w:val="23"/>
          <w:lang w:val="en-GB"/>
        </w:rPr>
      </w:pPr>
    </w:p>
    <w:p w14:paraId="0DB637E6" w14:textId="77777777" w:rsidR="009B4E29" w:rsidRPr="003E3613" w:rsidRDefault="009B4E29" w:rsidP="00204696">
      <w:pPr>
        <w:spacing w:after="0"/>
        <w:jc w:val="both"/>
        <w:rPr>
          <w:rFonts w:ascii="Book Antiqua" w:hAnsi="Book Antiqua"/>
          <w:sz w:val="23"/>
          <w:szCs w:val="23"/>
          <w:lang w:val="en-GB"/>
        </w:rPr>
      </w:pPr>
      <w:r w:rsidRPr="003E3613">
        <w:rPr>
          <w:rFonts w:ascii="Book Antiqua" w:hAnsi="Book Antiqua"/>
          <w:iCs/>
          <w:sz w:val="23"/>
          <w:szCs w:val="23"/>
          <w:lang w:val="en-GB"/>
        </w:rPr>
        <w:t>The Hungarian Government is committed to promote and protect the freedom and pluralism of media, as well as to grant equal access to media contents for everyone, as reflected by the powerful legal and constitutional safeguards of media freedom in Hungary. The Fundamental Law stipulates that everyone shall have the right to freedom of expression and that Hungary recognizes and protects the freedom and diversity of the press.</w:t>
      </w:r>
    </w:p>
    <w:p w14:paraId="228B3D7C" w14:textId="77777777" w:rsidR="00DB705C" w:rsidRPr="003E3613" w:rsidRDefault="00DB705C" w:rsidP="00204696">
      <w:pPr>
        <w:spacing w:after="0"/>
        <w:jc w:val="both"/>
        <w:rPr>
          <w:rFonts w:ascii="Book Antiqua" w:hAnsi="Book Antiqua"/>
          <w:sz w:val="23"/>
          <w:szCs w:val="23"/>
          <w:lang w:val="en-GB"/>
        </w:rPr>
      </w:pPr>
    </w:p>
    <w:p w14:paraId="52C28A19" w14:textId="77777777" w:rsidR="009B4E29" w:rsidRPr="003E3613" w:rsidRDefault="007665C4" w:rsidP="00204696">
      <w:pPr>
        <w:spacing w:after="0"/>
        <w:jc w:val="both"/>
        <w:rPr>
          <w:rFonts w:ascii="Book Antiqua" w:hAnsi="Book Antiqua"/>
          <w:iCs/>
          <w:sz w:val="23"/>
          <w:szCs w:val="23"/>
          <w:lang w:val="en-GB"/>
        </w:rPr>
      </w:pPr>
      <w:r w:rsidRPr="003E3613">
        <w:rPr>
          <w:rFonts w:ascii="Book Antiqua" w:hAnsi="Book Antiqua"/>
          <w:sz w:val="23"/>
          <w:szCs w:val="23"/>
          <w:lang w:val="en-GB"/>
        </w:rPr>
        <w:t>T</w:t>
      </w:r>
      <w:r w:rsidR="009B4E29" w:rsidRPr="003E3613">
        <w:rPr>
          <w:rFonts w:ascii="Book Antiqua" w:hAnsi="Book Antiqua"/>
          <w:sz w:val="23"/>
          <w:szCs w:val="23"/>
          <w:lang w:val="en-GB"/>
        </w:rPr>
        <w:t xml:space="preserve">here is no censorship of the internet. The government does not interfere with internet operations nor does it restrict bandwidth or the use of routers, switches or other devices. Under Hungarian law, internet or media services can </w:t>
      </w:r>
      <w:r w:rsidR="00A359F7" w:rsidRPr="003E3613">
        <w:rPr>
          <w:rFonts w:ascii="Book Antiqua" w:hAnsi="Book Antiqua"/>
          <w:sz w:val="23"/>
          <w:szCs w:val="23"/>
          <w:lang w:val="en-GB"/>
        </w:rPr>
        <w:t xml:space="preserve">only </w:t>
      </w:r>
      <w:r w:rsidR="009B4E29" w:rsidRPr="003E3613">
        <w:rPr>
          <w:rFonts w:ascii="Book Antiqua" w:hAnsi="Book Antiqua"/>
          <w:sz w:val="23"/>
          <w:szCs w:val="23"/>
          <w:lang w:val="en-GB"/>
        </w:rPr>
        <w:t>be suspended in an emergency or for defence purposes.</w:t>
      </w:r>
      <w:r w:rsidR="00346EAE" w:rsidRPr="003E3613">
        <w:rPr>
          <w:rFonts w:ascii="Book Antiqua" w:hAnsi="Book Antiqua"/>
          <w:sz w:val="23"/>
          <w:szCs w:val="23"/>
          <w:lang w:val="en-GB"/>
        </w:rPr>
        <w:t xml:space="preserve"> Social Media </w:t>
      </w:r>
      <w:r w:rsidR="009B4E29" w:rsidRPr="003E3613">
        <w:rPr>
          <w:rFonts w:ascii="Book Antiqua" w:hAnsi="Book Antiqua"/>
          <w:sz w:val="23"/>
          <w:szCs w:val="23"/>
          <w:lang w:val="en-GB"/>
        </w:rPr>
        <w:t>sites, such as Facebook or Twitter as well as YouTube and international blog sites are freely accessible. Electronic content is not filtered and there is no censorship over blogs or text messages, nor is there any way to restrict their access.</w:t>
      </w:r>
    </w:p>
    <w:p w14:paraId="0C38C8F0" w14:textId="77777777" w:rsidR="009B4E29" w:rsidRPr="003E3613" w:rsidRDefault="009B4E29" w:rsidP="00204696">
      <w:pPr>
        <w:spacing w:after="0"/>
        <w:jc w:val="both"/>
        <w:rPr>
          <w:rFonts w:ascii="Book Antiqua" w:hAnsi="Book Antiqua"/>
          <w:sz w:val="23"/>
          <w:szCs w:val="23"/>
          <w:lang w:val="en-GB"/>
        </w:rPr>
      </w:pPr>
    </w:p>
    <w:p w14:paraId="79814938" w14:textId="77777777" w:rsidR="009B4E29" w:rsidRPr="003E3613" w:rsidRDefault="009B4E29"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In response to earlier worries about Hungary's 2010 media regulations, that generic terms and high fees could lead to self-censorship and could curtail Hungarian journalism, the report concluded that no online medium has been fined. Internet service providers are not responsible for content and not obliged to monitor it. According to </w:t>
      </w:r>
      <w:r w:rsidR="00066D73" w:rsidRPr="003E3613">
        <w:rPr>
          <w:rFonts w:ascii="Book Antiqua" w:hAnsi="Book Antiqua"/>
          <w:sz w:val="23"/>
          <w:szCs w:val="23"/>
          <w:lang w:val="en-GB"/>
        </w:rPr>
        <w:t xml:space="preserve">the </w:t>
      </w:r>
      <w:r w:rsidRPr="003E3613">
        <w:rPr>
          <w:rFonts w:ascii="Book Antiqua" w:hAnsi="Book Antiqua"/>
          <w:sz w:val="23"/>
          <w:szCs w:val="23"/>
          <w:lang w:val="en-GB"/>
        </w:rPr>
        <w:t>Freedom House</w:t>
      </w:r>
      <w:r w:rsidR="00066D73" w:rsidRPr="003E3613">
        <w:rPr>
          <w:rFonts w:ascii="Book Antiqua" w:hAnsi="Book Antiqua"/>
          <w:sz w:val="23"/>
          <w:szCs w:val="23"/>
          <w:lang w:val="en-GB"/>
        </w:rPr>
        <w:t xml:space="preserve"> report, </w:t>
      </w:r>
      <w:r w:rsidRPr="003E3613">
        <w:rPr>
          <w:rFonts w:ascii="Book Antiqua" w:hAnsi="Book Antiqua"/>
          <w:sz w:val="23"/>
          <w:szCs w:val="23"/>
          <w:lang w:val="en-GB"/>
        </w:rPr>
        <w:t>the existence of sel</w:t>
      </w:r>
      <w:r w:rsidR="00750E85" w:rsidRPr="003E3613">
        <w:rPr>
          <w:rFonts w:ascii="Book Antiqua" w:hAnsi="Book Antiqua"/>
          <w:sz w:val="23"/>
          <w:szCs w:val="23"/>
          <w:lang w:val="en-GB"/>
        </w:rPr>
        <w:t xml:space="preserve">f-censorship is only proven by </w:t>
      </w:r>
      <w:r w:rsidR="00066D73" w:rsidRPr="003E3613">
        <w:rPr>
          <w:rFonts w:ascii="Book Antiqua" w:hAnsi="Book Antiqua"/>
          <w:sz w:val="23"/>
          <w:szCs w:val="23"/>
          <w:lang w:val="en-GB"/>
        </w:rPr>
        <w:t>word of mouth</w:t>
      </w:r>
      <w:r w:rsidR="00273142" w:rsidRPr="003E3613">
        <w:rPr>
          <w:rFonts w:ascii="Book Antiqua" w:hAnsi="Book Antiqua"/>
          <w:sz w:val="23"/>
          <w:szCs w:val="23"/>
          <w:lang w:val="en-GB"/>
        </w:rPr>
        <w:t>.</w:t>
      </w:r>
    </w:p>
    <w:p w14:paraId="6FE2E5B9" w14:textId="77777777" w:rsidR="007C5457" w:rsidRPr="003E3613" w:rsidRDefault="007C5457" w:rsidP="00204696">
      <w:pPr>
        <w:spacing w:after="0"/>
        <w:jc w:val="both"/>
        <w:rPr>
          <w:rFonts w:ascii="Book Antiqua" w:hAnsi="Book Antiqua"/>
          <w:sz w:val="23"/>
          <w:szCs w:val="23"/>
          <w:lang w:val="en-GB"/>
        </w:rPr>
      </w:pPr>
    </w:p>
    <w:p w14:paraId="6E93D820" w14:textId="77777777" w:rsidR="007665C4" w:rsidRPr="003E3613" w:rsidRDefault="007665C4" w:rsidP="00204696">
      <w:pPr>
        <w:spacing w:after="0"/>
        <w:jc w:val="both"/>
        <w:rPr>
          <w:rFonts w:ascii="Book Antiqua" w:hAnsi="Book Antiqua"/>
          <w:sz w:val="23"/>
          <w:szCs w:val="23"/>
          <w:lang w:val="en-GB"/>
        </w:rPr>
      </w:pPr>
      <w:r w:rsidRPr="003E3613">
        <w:rPr>
          <w:rFonts w:ascii="Book Antiqua" w:hAnsi="Book Antiqua"/>
          <w:sz w:val="23"/>
          <w:szCs w:val="23"/>
          <w:lang w:val="en-GB"/>
        </w:rPr>
        <w:t>As far as the independence of the media regulatory body is concerned, please refer to the comments to recital (28) above.</w:t>
      </w:r>
    </w:p>
    <w:p w14:paraId="38D72F73" w14:textId="77777777" w:rsidR="007665C4" w:rsidRPr="003E3613" w:rsidRDefault="007665C4" w:rsidP="00204696">
      <w:pPr>
        <w:spacing w:after="0"/>
        <w:jc w:val="both"/>
        <w:rPr>
          <w:rFonts w:ascii="Book Antiqua" w:hAnsi="Book Antiqua"/>
          <w:sz w:val="23"/>
          <w:szCs w:val="23"/>
          <w:lang w:val="en-GB"/>
        </w:rPr>
      </w:pPr>
    </w:p>
    <w:p w14:paraId="324410F1" w14:textId="77777777" w:rsidR="007665C4" w:rsidRPr="003E3613" w:rsidRDefault="007665C4"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In addition to what has been said in the comments to recital (27), it is submitted that sanctions and fines imposed by the Media Council can be suspended by a court order. As the case law </w:t>
      </w:r>
      <w:r w:rsidRPr="003E3613">
        <w:rPr>
          <w:rFonts w:ascii="Book Antiqua" w:hAnsi="Book Antiqua"/>
          <w:iCs/>
          <w:sz w:val="23"/>
          <w:szCs w:val="23"/>
          <w:lang w:val="en-GB"/>
        </w:rPr>
        <w:lastRenderedPageBreak/>
        <w:t xml:space="preserve">shows, the courts granted the suspension every time it has been asked for, and the fines – as any other sanctions in the field – are only due when the decision becomes legally binding. </w:t>
      </w:r>
    </w:p>
    <w:p w14:paraId="784AAFEF" w14:textId="77777777" w:rsidR="00543E82" w:rsidRPr="003E3613" w:rsidRDefault="00543E82" w:rsidP="00204696">
      <w:pPr>
        <w:spacing w:after="0"/>
        <w:jc w:val="both"/>
        <w:rPr>
          <w:rFonts w:ascii="Book Antiqua" w:hAnsi="Book Antiqua"/>
          <w:iCs/>
          <w:sz w:val="23"/>
          <w:szCs w:val="23"/>
          <w:lang w:val="en-GB"/>
        </w:rPr>
      </w:pPr>
    </w:p>
    <w:p w14:paraId="644C617A" w14:textId="77777777" w:rsidR="00707FEC" w:rsidRPr="003E3613" w:rsidRDefault="0058683F" w:rsidP="00204696">
      <w:pPr>
        <w:jc w:val="both"/>
        <w:rPr>
          <w:rFonts w:ascii="Book Antiqua" w:hAnsi="Book Antiqua"/>
          <w:iCs/>
          <w:sz w:val="23"/>
          <w:szCs w:val="23"/>
          <w:lang w:val="en-GB"/>
        </w:rPr>
      </w:pPr>
      <w:r w:rsidRPr="003E3613">
        <w:rPr>
          <w:rFonts w:ascii="Book Antiqua" w:hAnsi="Book Antiqua"/>
          <w:iCs/>
          <w:sz w:val="23"/>
          <w:szCs w:val="23"/>
          <w:lang w:val="en-GB"/>
        </w:rPr>
        <w:t>According to an</w:t>
      </w:r>
      <w:r w:rsidR="00543E82" w:rsidRPr="003E3613">
        <w:rPr>
          <w:rFonts w:ascii="Book Antiqua" w:hAnsi="Book Antiqua"/>
          <w:iCs/>
          <w:sz w:val="23"/>
          <w:szCs w:val="23"/>
          <w:lang w:val="en-GB"/>
        </w:rPr>
        <w:t xml:space="preserve"> analysis made by the Media Preview Centre (Médianéző Központ) there is still a leftist-liberal dominance on the Hungarian media market that has not been changed by </w:t>
      </w:r>
      <w:r w:rsidR="00B024C3" w:rsidRPr="003E3613">
        <w:rPr>
          <w:rFonts w:ascii="Book Antiqua" w:hAnsi="Book Antiqua"/>
          <w:iCs/>
          <w:sz w:val="23"/>
          <w:szCs w:val="23"/>
          <w:lang w:val="en-GB"/>
        </w:rPr>
        <w:t>recent events</w:t>
      </w:r>
      <w:r w:rsidR="007B1E05" w:rsidRPr="003E3613">
        <w:rPr>
          <w:rFonts w:ascii="Book Antiqua" w:hAnsi="Book Antiqua"/>
          <w:iCs/>
          <w:sz w:val="23"/>
          <w:szCs w:val="23"/>
          <w:lang w:val="en-GB"/>
        </w:rPr>
        <w:t>:</w:t>
      </w:r>
      <w:r w:rsidR="00707FEC" w:rsidRPr="003E3613">
        <w:rPr>
          <w:rFonts w:ascii="Book Antiqua" w:hAnsi="Book Antiqua"/>
          <w:iCs/>
          <w:sz w:val="23"/>
          <w:szCs w:val="23"/>
          <w:lang w:val="en-GB"/>
        </w:rPr>
        <w:t xml:space="preserve"> RTL Club is the largest commercial TV channel; ATV is the largest TV news channel; Népszava is the largest daily newspaper; HVG is the largest political weekly; and Blikk is the largest tabloid newspaper. In the case of online portals, 80% of the Hungarian audience </w:t>
      </w:r>
      <w:r w:rsidR="007B1E05" w:rsidRPr="003E3613">
        <w:rPr>
          <w:rFonts w:ascii="Book Antiqua" w:hAnsi="Book Antiqua"/>
          <w:iCs/>
          <w:sz w:val="23"/>
          <w:szCs w:val="23"/>
          <w:lang w:val="en-GB"/>
        </w:rPr>
        <w:t xml:space="preserve">consults </w:t>
      </w:r>
      <w:r w:rsidR="00707FEC" w:rsidRPr="003E3613">
        <w:rPr>
          <w:rFonts w:ascii="Book Antiqua" w:hAnsi="Book Antiqua"/>
          <w:iCs/>
          <w:sz w:val="23"/>
          <w:szCs w:val="23"/>
          <w:lang w:val="en-GB"/>
        </w:rPr>
        <w:t xml:space="preserve">leftist-liberal, government critical media platforms. Not to mention the unlimited free speech on the social media. </w:t>
      </w:r>
    </w:p>
    <w:p w14:paraId="614476AF" w14:textId="77777777" w:rsidR="00543E82" w:rsidRPr="003E3613" w:rsidRDefault="00543E82" w:rsidP="00204696">
      <w:pPr>
        <w:autoSpaceDE w:val="0"/>
        <w:autoSpaceDN w:val="0"/>
        <w:adjustRightInd w:val="0"/>
        <w:spacing w:after="0"/>
        <w:jc w:val="both"/>
        <w:rPr>
          <w:rFonts w:ascii="Book Antiqua" w:hAnsi="Book Antiqua"/>
          <w:iCs/>
          <w:sz w:val="23"/>
          <w:szCs w:val="23"/>
          <w:lang w:val="en-GB"/>
        </w:rPr>
      </w:pPr>
      <w:r w:rsidRPr="003E3613">
        <w:rPr>
          <w:rFonts w:ascii="Book Antiqua" w:hAnsi="Book Antiqua"/>
          <w:iCs/>
          <w:sz w:val="23"/>
          <w:szCs w:val="23"/>
          <w:lang w:val="en-GB"/>
        </w:rPr>
        <w:t xml:space="preserve">All the government-friendly media bodies reach the audience of 3.9 million people that is only 41% of the total Hungarian audience in comparison to the 59% of the audience of the </w:t>
      </w:r>
      <w:r w:rsidR="00707FEC" w:rsidRPr="003E3613">
        <w:rPr>
          <w:rFonts w:ascii="Book Antiqua" w:hAnsi="Book Antiqua"/>
          <w:iCs/>
          <w:sz w:val="23"/>
          <w:szCs w:val="23"/>
          <w:lang w:val="en-GB"/>
        </w:rPr>
        <w:t>government critical</w:t>
      </w:r>
      <w:r w:rsidRPr="003E3613">
        <w:rPr>
          <w:rFonts w:ascii="Book Antiqua" w:hAnsi="Book Antiqua"/>
          <w:iCs/>
          <w:sz w:val="23"/>
          <w:szCs w:val="23"/>
          <w:lang w:val="en-GB"/>
        </w:rPr>
        <w:t xml:space="preserve"> media platforms.</w:t>
      </w:r>
      <w:r w:rsidR="00417F76" w:rsidRPr="003E3613">
        <w:rPr>
          <w:rFonts w:ascii="Book Antiqua" w:hAnsi="Book Antiqua"/>
          <w:iCs/>
          <w:sz w:val="23"/>
          <w:szCs w:val="23"/>
          <w:lang w:val="en-GB"/>
        </w:rPr>
        <w:t xml:space="preserve"> </w:t>
      </w:r>
      <w:r w:rsidRPr="003E3613">
        <w:rPr>
          <w:rFonts w:ascii="Book Antiqua" w:hAnsi="Book Antiqua"/>
          <w:iCs/>
          <w:sz w:val="23"/>
          <w:szCs w:val="23"/>
          <w:lang w:val="en-GB"/>
        </w:rPr>
        <w:t>The same analysis says that operating in the framework of a holding is common for media bodies in Europe, as the example of RTL group owner Bertelsmann Foundation or the British newspaper, Guardian shows.</w:t>
      </w:r>
    </w:p>
    <w:p w14:paraId="1A8A10F6" w14:textId="77777777" w:rsidR="00916F3B" w:rsidRPr="003E3613" w:rsidRDefault="00916F3B" w:rsidP="00204696">
      <w:pPr>
        <w:spacing w:after="0"/>
        <w:jc w:val="both"/>
        <w:rPr>
          <w:rFonts w:ascii="Book Antiqua" w:hAnsi="Book Antiqua"/>
          <w:sz w:val="23"/>
          <w:szCs w:val="23"/>
          <w:lang w:val="en-GB"/>
        </w:rPr>
      </w:pPr>
    </w:p>
    <w:p w14:paraId="3DB96ABC" w14:textId="77777777" w:rsidR="00916F3B" w:rsidRPr="003E3613" w:rsidRDefault="00916F3B" w:rsidP="00204696">
      <w:pPr>
        <w:pStyle w:val="Heading2"/>
        <w:keepNext w:val="0"/>
        <w:keepLines w:val="0"/>
        <w:spacing w:before="0"/>
        <w:rPr>
          <w:rFonts w:ascii="Book Antiqua" w:hAnsi="Book Antiqua"/>
          <w:b w:val="0"/>
          <w:sz w:val="23"/>
          <w:szCs w:val="23"/>
          <w:lang w:val="en-GB"/>
        </w:rPr>
      </w:pPr>
      <w:bookmarkStart w:id="32" w:name="_Toc19120793"/>
      <w:r w:rsidRPr="003E3613">
        <w:rPr>
          <w:rFonts w:ascii="Book Antiqua" w:hAnsi="Book Antiqua"/>
          <w:color w:val="auto"/>
          <w:sz w:val="23"/>
          <w:szCs w:val="23"/>
          <w:lang w:val="en-GB"/>
        </w:rPr>
        <w:t>Publication of a list of people allegedly working to “topple the government” and the denial of accreditation to several independent journalists</w:t>
      </w:r>
      <w:bookmarkEnd w:id="32"/>
    </w:p>
    <w:p w14:paraId="0D407F13" w14:textId="77777777" w:rsidR="00DF59CD" w:rsidRPr="003E3613" w:rsidRDefault="00DF59CD" w:rsidP="00204696">
      <w:pPr>
        <w:spacing w:after="0"/>
        <w:jc w:val="both"/>
        <w:rPr>
          <w:rFonts w:ascii="Book Antiqua" w:hAnsi="Book Antiqua"/>
          <w:sz w:val="23"/>
          <w:szCs w:val="23"/>
          <w:lang w:val="en-GB"/>
        </w:rPr>
      </w:pPr>
    </w:p>
    <w:p w14:paraId="7E57A808" w14:textId="77777777" w:rsidR="00DF59CD" w:rsidRPr="003E3613" w:rsidRDefault="00DF59CD" w:rsidP="00204696">
      <w:pPr>
        <w:spacing w:after="0"/>
        <w:jc w:val="both"/>
        <w:rPr>
          <w:rFonts w:ascii="Book Antiqua" w:hAnsi="Book Antiqua"/>
          <w:i/>
          <w:sz w:val="23"/>
          <w:szCs w:val="23"/>
          <w:lang w:val="en-GB"/>
        </w:rPr>
      </w:pPr>
      <w:r w:rsidRPr="003E3613">
        <w:rPr>
          <w:rFonts w:ascii="Book Antiqua" w:hAnsi="Book Antiqua"/>
          <w:i/>
          <w:sz w:val="23"/>
          <w:szCs w:val="23"/>
          <w:lang w:val="en-GB"/>
        </w:rPr>
        <w:t>(32) On 13 April 2018, the OSCE Representative on Freedom of the Media strongly condemned the publication of a list of more than 200 people by a Hungarian media outlet which claimed that over 2 000 people, including those listed by name, are allegedly working to “topple the government”. The list was published by the Hungarian magazine Figyelő on 11 April and includes many journalists and other citizens. On 7 May 2018, the OSCE Representative on Freedom of the Media expressed major concern over the denial of accreditation to several independent journalists, which prevented them from reporting from the inaugural meeting of Hungary’s new parliament. It was further noted that such an event should not be used as a tool to curb the content of critical reporting and that such a practice sets a bad precedent for the new term of Hungary’s parliament.</w:t>
      </w:r>
    </w:p>
    <w:p w14:paraId="03D63A97" w14:textId="77777777" w:rsidR="00DF59CD" w:rsidRPr="003E3613" w:rsidRDefault="00DF59CD" w:rsidP="00204696">
      <w:pPr>
        <w:spacing w:after="0"/>
        <w:jc w:val="both"/>
        <w:rPr>
          <w:rFonts w:ascii="Book Antiqua" w:hAnsi="Book Antiqua"/>
          <w:iCs/>
          <w:sz w:val="23"/>
          <w:szCs w:val="23"/>
          <w:lang w:val="en-GB"/>
        </w:rPr>
      </w:pPr>
    </w:p>
    <w:p w14:paraId="4C9253C0" w14:textId="77777777" w:rsidR="00FD7B29" w:rsidRPr="003E3613" w:rsidRDefault="00FD7B29"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The Fundamental Law of Hungary stipulates that the freedom and diversity of the press shall be recognised and protected. The Government of Hungary is thus committed to ensure freedom of expression and editorial freedom, as a consequence the functioning and publications of privately owned media outlets fall outside of the competences of the Hungarian Government. </w:t>
      </w:r>
    </w:p>
    <w:p w14:paraId="24A3BCA0" w14:textId="77777777" w:rsidR="00FD7B29" w:rsidRPr="003E3613" w:rsidRDefault="00FD7B29" w:rsidP="00204696">
      <w:pPr>
        <w:spacing w:after="0"/>
        <w:jc w:val="both"/>
        <w:rPr>
          <w:rFonts w:ascii="Book Antiqua" w:hAnsi="Book Antiqua"/>
          <w:iCs/>
          <w:sz w:val="23"/>
          <w:szCs w:val="23"/>
          <w:lang w:val="en-GB"/>
        </w:rPr>
      </w:pPr>
    </w:p>
    <w:p w14:paraId="388811BA" w14:textId="77777777" w:rsidR="00751DEE" w:rsidRPr="003E3613" w:rsidRDefault="00FD7B29" w:rsidP="00204696">
      <w:pPr>
        <w:jc w:val="both"/>
        <w:rPr>
          <w:rFonts w:ascii="Book Antiqua" w:hAnsi="Book Antiqua"/>
          <w:iCs/>
          <w:sz w:val="23"/>
          <w:szCs w:val="23"/>
          <w:lang w:val="en-GB"/>
        </w:rPr>
      </w:pPr>
      <w:r w:rsidRPr="003E3613">
        <w:rPr>
          <w:rFonts w:ascii="Book Antiqua" w:hAnsi="Book Antiqua"/>
          <w:iCs/>
          <w:sz w:val="23"/>
          <w:szCs w:val="23"/>
          <w:lang w:val="en-GB"/>
        </w:rPr>
        <w:t xml:space="preserve">The accreditation of journalists to the inaugural </w:t>
      </w:r>
      <w:r w:rsidR="00EE1D0F" w:rsidRPr="003E3613">
        <w:rPr>
          <w:rFonts w:ascii="Book Antiqua" w:hAnsi="Book Antiqua"/>
          <w:iCs/>
          <w:sz w:val="23"/>
          <w:szCs w:val="23"/>
          <w:lang w:val="en-GB"/>
        </w:rPr>
        <w:t xml:space="preserve">session </w:t>
      </w:r>
      <w:r w:rsidRPr="003E3613">
        <w:rPr>
          <w:rFonts w:ascii="Book Antiqua" w:hAnsi="Book Antiqua"/>
          <w:iCs/>
          <w:sz w:val="23"/>
          <w:szCs w:val="23"/>
          <w:lang w:val="en-GB"/>
        </w:rPr>
        <w:t>of Hungary’s new parliament was accepted on the basis whether the journalist concerned respect</w:t>
      </w:r>
      <w:r w:rsidR="00284335" w:rsidRPr="003E3613">
        <w:rPr>
          <w:rFonts w:ascii="Book Antiqua" w:hAnsi="Book Antiqua"/>
          <w:iCs/>
          <w:sz w:val="23"/>
          <w:szCs w:val="23"/>
          <w:lang w:val="en-GB"/>
        </w:rPr>
        <w:t>ed</w:t>
      </w:r>
      <w:r w:rsidRPr="003E3613">
        <w:rPr>
          <w:rFonts w:ascii="Book Antiqua" w:hAnsi="Book Antiqua"/>
          <w:iCs/>
          <w:sz w:val="23"/>
          <w:szCs w:val="23"/>
          <w:lang w:val="en-GB"/>
        </w:rPr>
        <w:t xml:space="preserve"> the rules governing the press arrangements during the 2014-2018 parliamentary </w:t>
      </w:r>
      <w:r w:rsidR="006940F4" w:rsidRPr="003E3613">
        <w:rPr>
          <w:rFonts w:ascii="Book Antiqua" w:hAnsi="Book Antiqua"/>
          <w:iCs/>
          <w:sz w:val="23"/>
          <w:szCs w:val="23"/>
          <w:lang w:val="en-GB"/>
        </w:rPr>
        <w:t>term</w:t>
      </w:r>
      <w:r w:rsidRPr="003E3613">
        <w:rPr>
          <w:rFonts w:ascii="Book Antiqua" w:hAnsi="Book Antiqua"/>
          <w:iCs/>
          <w:sz w:val="23"/>
          <w:szCs w:val="23"/>
          <w:lang w:val="en-GB"/>
        </w:rPr>
        <w:t xml:space="preserve">. </w:t>
      </w:r>
      <w:r w:rsidR="00D9625C" w:rsidRPr="003E3613">
        <w:rPr>
          <w:rFonts w:ascii="Book Antiqua" w:hAnsi="Book Antiqua"/>
          <w:iCs/>
          <w:sz w:val="23"/>
          <w:szCs w:val="23"/>
          <w:lang w:val="en-GB"/>
        </w:rPr>
        <w:t xml:space="preserve">The </w:t>
      </w:r>
      <w:r w:rsidR="00F5027A" w:rsidRPr="003E3613">
        <w:rPr>
          <w:rFonts w:ascii="Book Antiqua" w:hAnsi="Book Antiqua"/>
          <w:iCs/>
          <w:sz w:val="23"/>
          <w:szCs w:val="23"/>
          <w:lang w:val="en-GB"/>
        </w:rPr>
        <w:t>C</w:t>
      </w:r>
      <w:r w:rsidR="00D9625C" w:rsidRPr="003E3613">
        <w:rPr>
          <w:rFonts w:ascii="Book Antiqua" w:hAnsi="Book Antiqua"/>
          <w:iCs/>
          <w:sz w:val="23"/>
          <w:szCs w:val="23"/>
          <w:lang w:val="en-GB"/>
        </w:rPr>
        <w:t>ode of conduct for the press on the premises of the National Asse</w:t>
      </w:r>
      <w:r w:rsidR="00EE1D0F" w:rsidRPr="003E3613">
        <w:rPr>
          <w:rFonts w:ascii="Book Antiqua" w:hAnsi="Book Antiqua"/>
          <w:iCs/>
          <w:sz w:val="23"/>
          <w:szCs w:val="23"/>
          <w:lang w:val="en-GB"/>
        </w:rPr>
        <w:t>m</w:t>
      </w:r>
      <w:r w:rsidR="00D9625C" w:rsidRPr="003E3613">
        <w:rPr>
          <w:rFonts w:ascii="Book Antiqua" w:hAnsi="Book Antiqua"/>
          <w:iCs/>
          <w:sz w:val="23"/>
          <w:szCs w:val="23"/>
          <w:lang w:val="en-GB"/>
        </w:rPr>
        <w:t xml:space="preserve">bly is </w:t>
      </w:r>
      <w:r w:rsidR="00EE1D0F" w:rsidRPr="003E3613">
        <w:rPr>
          <w:rFonts w:ascii="Book Antiqua" w:hAnsi="Book Antiqua"/>
          <w:iCs/>
          <w:sz w:val="23"/>
          <w:szCs w:val="23"/>
          <w:lang w:val="en-GB"/>
        </w:rPr>
        <w:t>laid down</w:t>
      </w:r>
      <w:r w:rsidR="00D9625C" w:rsidRPr="003E3613">
        <w:rPr>
          <w:rFonts w:ascii="Book Antiqua" w:hAnsi="Book Antiqua"/>
          <w:iCs/>
          <w:sz w:val="23"/>
          <w:szCs w:val="23"/>
          <w:lang w:val="en-GB"/>
        </w:rPr>
        <w:t xml:space="preserve"> in the </w:t>
      </w:r>
      <w:r w:rsidR="00EE1D0F" w:rsidRPr="003E3613">
        <w:rPr>
          <w:rFonts w:ascii="Book Antiqua" w:hAnsi="Book Antiqua"/>
          <w:iCs/>
          <w:sz w:val="23"/>
          <w:szCs w:val="23"/>
          <w:lang w:val="en-GB"/>
        </w:rPr>
        <w:t>Order</w:t>
      </w:r>
      <w:r w:rsidR="00D9625C" w:rsidRPr="003E3613">
        <w:rPr>
          <w:rFonts w:ascii="Book Antiqua" w:hAnsi="Book Antiqua"/>
          <w:iCs/>
          <w:sz w:val="23"/>
          <w:szCs w:val="23"/>
          <w:lang w:val="en-GB"/>
        </w:rPr>
        <w:t xml:space="preserve"> 9/2013 of the Speaker of the National Asse</w:t>
      </w:r>
      <w:r w:rsidR="00EE1D0F" w:rsidRPr="003E3613">
        <w:rPr>
          <w:rFonts w:ascii="Book Antiqua" w:hAnsi="Book Antiqua"/>
          <w:iCs/>
          <w:sz w:val="23"/>
          <w:szCs w:val="23"/>
          <w:lang w:val="en-GB"/>
        </w:rPr>
        <w:t>m</w:t>
      </w:r>
      <w:r w:rsidR="00D9625C" w:rsidRPr="003E3613">
        <w:rPr>
          <w:rFonts w:ascii="Book Antiqua" w:hAnsi="Book Antiqua"/>
          <w:iCs/>
          <w:sz w:val="23"/>
          <w:szCs w:val="23"/>
          <w:lang w:val="en-GB"/>
        </w:rPr>
        <w:t>bly. Accordingly</w:t>
      </w:r>
      <w:r w:rsidR="002778C7" w:rsidRPr="003E3613">
        <w:rPr>
          <w:rFonts w:ascii="Book Antiqua" w:hAnsi="Book Antiqua"/>
          <w:iCs/>
          <w:sz w:val="23"/>
          <w:szCs w:val="23"/>
          <w:lang w:val="en-GB"/>
        </w:rPr>
        <w:t>,</w:t>
      </w:r>
      <w:r w:rsidR="00D9625C" w:rsidRPr="003E3613">
        <w:rPr>
          <w:rFonts w:ascii="Book Antiqua" w:hAnsi="Book Antiqua"/>
          <w:iCs/>
          <w:sz w:val="23"/>
          <w:szCs w:val="23"/>
          <w:lang w:val="en-GB"/>
        </w:rPr>
        <w:t xml:space="preserve"> </w:t>
      </w:r>
      <w:r w:rsidR="000933C9" w:rsidRPr="003E3613">
        <w:rPr>
          <w:rFonts w:ascii="Book Antiqua" w:hAnsi="Book Antiqua"/>
          <w:iCs/>
          <w:sz w:val="23"/>
          <w:szCs w:val="23"/>
          <w:lang w:val="en-GB"/>
        </w:rPr>
        <w:t>j</w:t>
      </w:r>
      <w:r w:rsidRPr="003E3613">
        <w:rPr>
          <w:rFonts w:ascii="Book Antiqua" w:hAnsi="Book Antiqua"/>
          <w:iCs/>
          <w:sz w:val="23"/>
          <w:szCs w:val="23"/>
          <w:lang w:val="en-GB"/>
        </w:rPr>
        <w:t xml:space="preserve">ournalists have access to a designated press area and the plenary hall, they can report on the activities of the parliament without restrictions, but basic behavioural rules have to be respected in order to ensure the dignity of the place. </w:t>
      </w:r>
      <w:r w:rsidR="00512C5A" w:rsidRPr="003E3613">
        <w:rPr>
          <w:rFonts w:ascii="Book Antiqua" w:hAnsi="Book Antiqua"/>
          <w:iCs/>
          <w:sz w:val="23"/>
          <w:szCs w:val="23"/>
          <w:lang w:val="en-GB"/>
        </w:rPr>
        <w:t xml:space="preserve">These rules </w:t>
      </w:r>
      <w:r w:rsidR="00512C5A" w:rsidRPr="003E3613">
        <w:rPr>
          <w:rFonts w:ascii="Book Antiqua" w:hAnsi="Book Antiqua"/>
          <w:iCs/>
          <w:sz w:val="23"/>
          <w:szCs w:val="23"/>
          <w:lang w:val="en-GB"/>
        </w:rPr>
        <w:lastRenderedPageBreak/>
        <w:t xml:space="preserve">are similar to the Code of conduct for the journalists on European Commission premises, according </w:t>
      </w:r>
      <w:r w:rsidR="00EE1D0F" w:rsidRPr="003E3613">
        <w:rPr>
          <w:rFonts w:ascii="Book Antiqua" w:hAnsi="Book Antiqua"/>
          <w:iCs/>
          <w:sz w:val="23"/>
          <w:szCs w:val="23"/>
          <w:lang w:val="en-GB"/>
        </w:rPr>
        <w:t xml:space="preserve">to </w:t>
      </w:r>
      <w:r w:rsidR="00512C5A" w:rsidRPr="003E3613">
        <w:rPr>
          <w:rFonts w:ascii="Book Antiqua" w:hAnsi="Book Antiqua"/>
          <w:iCs/>
          <w:sz w:val="23"/>
          <w:szCs w:val="23"/>
          <w:lang w:val="en-GB"/>
        </w:rPr>
        <w:t>which “Journalists shall have due regard to the dignity, privacy and integrity of all individuals, Commissioners, Commission staff, visitors and any other individuals present on Commission premises as well as to the integrity of the Commission's property and equipment. Any violation may lead to the measures laid out in Commission Decision 2015/443.” Compared to Commission rules</w:t>
      </w:r>
      <w:r w:rsidR="00EE1D0F" w:rsidRPr="003E3613">
        <w:rPr>
          <w:rFonts w:ascii="Book Antiqua" w:hAnsi="Book Antiqua"/>
          <w:iCs/>
          <w:sz w:val="23"/>
          <w:szCs w:val="23"/>
          <w:lang w:val="en-GB"/>
        </w:rPr>
        <w:t>,</w:t>
      </w:r>
      <w:r w:rsidR="00512C5A" w:rsidRPr="003E3613">
        <w:rPr>
          <w:rFonts w:ascii="Book Antiqua" w:hAnsi="Book Antiqua"/>
          <w:iCs/>
          <w:sz w:val="23"/>
          <w:szCs w:val="23"/>
          <w:lang w:val="en-GB"/>
        </w:rPr>
        <w:t xml:space="preserve"> </w:t>
      </w:r>
      <w:r w:rsidR="00EE1D0F" w:rsidRPr="003E3613">
        <w:rPr>
          <w:rFonts w:ascii="Book Antiqua" w:hAnsi="Book Antiqua"/>
          <w:iCs/>
          <w:sz w:val="23"/>
          <w:szCs w:val="23"/>
          <w:lang w:val="en-GB"/>
        </w:rPr>
        <w:t>Order</w:t>
      </w:r>
      <w:r w:rsidR="00512C5A" w:rsidRPr="003E3613">
        <w:rPr>
          <w:rFonts w:ascii="Book Antiqua" w:hAnsi="Book Antiqua"/>
          <w:iCs/>
          <w:sz w:val="23"/>
          <w:szCs w:val="23"/>
          <w:lang w:val="en-GB"/>
        </w:rPr>
        <w:t xml:space="preserve"> 9/2013 is stric</w:t>
      </w:r>
      <w:r w:rsidR="00EF7D4D" w:rsidRPr="003E3613">
        <w:rPr>
          <w:rFonts w:ascii="Book Antiqua" w:hAnsi="Book Antiqua"/>
          <w:iCs/>
          <w:sz w:val="23"/>
          <w:szCs w:val="23"/>
          <w:lang w:val="en-GB"/>
        </w:rPr>
        <w:t>t</w:t>
      </w:r>
      <w:r w:rsidR="00512C5A" w:rsidRPr="003E3613">
        <w:rPr>
          <w:rFonts w:ascii="Book Antiqua" w:hAnsi="Book Antiqua"/>
          <w:iCs/>
          <w:sz w:val="23"/>
          <w:szCs w:val="23"/>
          <w:lang w:val="en-GB"/>
        </w:rPr>
        <w:t xml:space="preserve">er only in cases such as: alcohol, drugs and the display of totalitarian symbols. </w:t>
      </w:r>
      <w:r w:rsidR="00A92393" w:rsidRPr="003E3613">
        <w:rPr>
          <w:rFonts w:ascii="Book Antiqua" w:hAnsi="Book Antiqua"/>
          <w:iCs/>
          <w:sz w:val="23"/>
          <w:szCs w:val="23"/>
          <w:lang w:val="en-GB"/>
        </w:rPr>
        <w:t xml:space="preserve">It is to be noted that no serious conclusions can be drawn from a one-off event, mentioned in the European Parliament’s </w:t>
      </w:r>
      <w:r w:rsidR="007B3AC8" w:rsidRPr="003E3613">
        <w:rPr>
          <w:rFonts w:ascii="Book Antiqua" w:hAnsi="Book Antiqua"/>
          <w:iCs/>
          <w:sz w:val="23"/>
          <w:szCs w:val="23"/>
          <w:lang w:val="en-GB"/>
        </w:rPr>
        <w:t>r</w:t>
      </w:r>
      <w:r w:rsidR="00A92393" w:rsidRPr="003E3613">
        <w:rPr>
          <w:rFonts w:ascii="Book Antiqua" w:hAnsi="Book Antiqua"/>
          <w:iCs/>
          <w:sz w:val="23"/>
          <w:szCs w:val="23"/>
          <w:lang w:val="en-GB"/>
        </w:rPr>
        <w:t xml:space="preserve">easoned </w:t>
      </w:r>
      <w:r w:rsidR="007B3AC8" w:rsidRPr="003E3613">
        <w:rPr>
          <w:rFonts w:ascii="Book Antiqua" w:hAnsi="Book Antiqua"/>
          <w:iCs/>
          <w:sz w:val="23"/>
          <w:szCs w:val="23"/>
          <w:lang w:val="en-GB"/>
        </w:rPr>
        <w:t>p</w:t>
      </w:r>
      <w:r w:rsidR="00A92393" w:rsidRPr="003E3613">
        <w:rPr>
          <w:rFonts w:ascii="Book Antiqua" w:hAnsi="Book Antiqua"/>
          <w:iCs/>
          <w:sz w:val="23"/>
          <w:szCs w:val="23"/>
          <w:lang w:val="en-GB"/>
        </w:rPr>
        <w:t>roposal.</w:t>
      </w:r>
    </w:p>
    <w:p w14:paraId="3031F051" w14:textId="2F9C1B97" w:rsidR="007A7E18" w:rsidRDefault="000D0F81" w:rsidP="00204696">
      <w:pPr>
        <w:jc w:val="both"/>
        <w:rPr>
          <w:rFonts w:ascii="Book Antiqua" w:hAnsi="Book Antiqua"/>
          <w:b/>
          <w:iCs/>
          <w:sz w:val="23"/>
          <w:szCs w:val="23"/>
          <w:lang w:val="en-GB"/>
        </w:rPr>
      </w:pPr>
      <w:r w:rsidRPr="003E3613">
        <w:rPr>
          <w:rFonts w:ascii="Book Antiqua" w:hAnsi="Book Antiqua"/>
          <w:b/>
          <w:iCs/>
          <w:sz w:val="23"/>
          <w:szCs w:val="23"/>
          <w:lang w:val="en-GB"/>
        </w:rPr>
        <w:t>Hungary recognises the importance of access to public information as a means to provide transparency in the governmental sector and the Fundamental Law ensures the right to access and disseminate data of public interest. Therefore, it is not justified to mention the elements of recitals 27-32 in a reasoned proposal requesting the Council to determine, pursuant to Article 7(1) of the Treaty on European Union, the existence of a clear risk of a serious breach by Hungary of the values on which the Union is founded.</w:t>
      </w:r>
    </w:p>
    <w:p w14:paraId="0C556996" w14:textId="77777777" w:rsidR="00366F3E" w:rsidRPr="003E3613" w:rsidRDefault="00366F3E" w:rsidP="00204696">
      <w:pPr>
        <w:pStyle w:val="Heading1"/>
        <w:keepNext w:val="0"/>
        <w:keepLines w:val="0"/>
        <w:pBdr>
          <w:top w:val="single" w:sz="4" w:space="1" w:color="auto"/>
          <w:left w:val="single" w:sz="4" w:space="4" w:color="auto"/>
          <w:bottom w:val="single" w:sz="4" w:space="1" w:color="auto"/>
          <w:right w:val="single" w:sz="4" w:space="4" w:color="auto"/>
        </w:pBdr>
        <w:shd w:val="clear" w:color="auto" w:fill="C6D9F1" w:themeFill="text2" w:themeFillTint="33"/>
        <w:spacing w:before="0"/>
        <w:rPr>
          <w:rFonts w:ascii="Book Antiqua" w:hAnsi="Book Antiqua"/>
          <w:color w:val="auto"/>
          <w:sz w:val="23"/>
          <w:szCs w:val="23"/>
          <w:lang w:val="en-GB"/>
        </w:rPr>
      </w:pPr>
      <w:bookmarkStart w:id="33" w:name="_Toc19120794"/>
      <w:r w:rsidRPr="003E3613">
        <w:rPr>
          <w:rFonts w:ascii="Book Antiqua" w:hAnsi="Book Antiqua"/>
          <w:color w:val="auto"/>
          <w:sz w:val="23"/>
          <w:szCs w:val="23"/>
          <w:lang w:val="en-GB"/>
        </w:rPr>
        <w:t>Academic freedom</w:t>
      </w:r>
      <w:bookmarkEnd w:id="33"/>
    </w:p>
    <w:p w14:paraId="43C04CE6" w14:textId="77777777" w:rsidR="007E2EF3" w:rsidRPr="003E3613" w:rsidRDefault="007E2EF3" w:rsidP="00204696">
      <w:pPr>
        <w:spacing w:after="0"/>
        <w:jc w:val="both"/>
        <w:rPr>
          <w:rFonts w:ascii="Book Antiqua" w:hAnsi="Book Antiqua"/>
          <w:i/>
          <w:sz w:val="23"/>
          <w:szCs w:val="23"/>
          <w:lang w:val="en-GB"/>
        </w:rPr>
      </w:pPr>
    </w:p>
    <w:p w14:paraId="4352F03E" w14:textId="77777777" w:rsidR="007E2EF3" w:rsidRPr="003E3613" w:rsidRDefault="002A734E"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Fundamental Law of Hungary (Article X) stipulates that Hungary shall ensure the freedom of scientific research and artistic creation, as well as the freedom of learning and teaching. Any measure or legislation to curb these freedoms would be unconstitutional. </w:t>
      </w:r>
      <w:r w:rsidR="007E2EF3" w:rsidRPr="003E3613">
        <w:rPr>
          <w:rFonts w:ascii="Book Antiqua" w:hAnsi="Book Antiqua"/>
          <w:sz w:val="23"/>
          <w:szCs w:val="23"/>
          <w:lang w:val="en-GB"/>
        </w:rPr>
        <w:t xml:space="preserve">The clarification of the rules of the operation of foreign universities in Hungary was merely misinterpreted, the academic freedom is not restricted in Hungary. The Hungarian Act on National Higher Education entered into force in 2012, so its five-year systematic revision became due at the end of 2016. The systematic revision was implemented by the Hungarian Educational Authority and based on the findings of the revision, the amendment of the National Higher Education Act was </w:t>
      </w:r>
      <w:r w:rsidR="00522CE5" w:rsidRPr="003E3613">
        <w:rPr>
          <w:rFonts w:ascii="Book Antiqua" w:hAnsi="Book Antiqua"/>
          <w:sz w:val="23"/>
          <w:szCs w:val="23"/>
          <w:lang w:val="en-GB"/>
        </w:rPr>
        <w:t>necessary</w:t>
      </w:r>
      <w:r w:rsidR="007E2EF3" w:rsidRPr="003E3613">
        <w:rPr>
          <w:rFonts w:ascii="Book Antiqua" w:hAnsi="Book Antiqua"/>
          <w:sz w:val="23"/>
          <w:szCs w:val="23"/>
          <w:lang w:val="en-GB"/>
        </w:rPr>
        <w:t>. The objective of the amendment of the National Higher Education Act was to ensure that only high quality foreign higher education institutions may operate in Hungary.</w:t>
      </w:r>
    </w:p>
    <w:p w14:paraId="5FD74872" w14:textId="77777777" w:rsidR="007E2EF3" w:rsidRPr="003E3613" w:rsidRDefault="007E2EF3" w:rsidP="00204696">
      <w:pPr>
        <w:spacing w:after="0"/>
        <w:jc w:val="both"/>
        <w:rPr>
          <w:rFonts w:ascii="Book Antiqua" w:hAnsi="Book Antiqua"/>
          <w:i/>
          <w:sz w:val="23"/>
          <w:szCs w:val="23"/>
          <w:lang w:val="en-GB"/>
        </w:rPr>
      </w:pPr>
    </w:p>
    <w:p w14:paraId="61033A05" w14:textId="77777777" w:rsidR="00A320F0" w:rsidRPr="003E3613" w:rsidRDefault="00A320F0" w:rsidP="00204696">
      <w:pPr>
        <w:pStyle w:val="Heading2"/>
        <w:keepNext w:val="0"/>
        <w:keepLines w:val="0"/>
        <w:spacing w:before="0"/>
        <w:rPr>
          <w:rFonts w:ascii="Book Antiqua" w:hAnsi="Book Antiqua"/>
          <w:color w:val="auto"/>
          <w:sz w:val="23"/>
          <w:szCs w:val="23"/>
          <w:lang w:val="en-GB"/>
        </w:rPr>
      </w:pPr>
      <w:bookmarkStart w:id="34" w:name="_Toc19120795"/>
      <w:r w:rsidRPr="003E3613">
        <w:rPr>
          <w:rFonts w:ascii="Book Antiqua" w:hAnsi="Book Antiqua"/>
          <w:color w:val="auto"/>
          <w:sz w:val="23"/>
          <w:szCs w:val="23"/>
          <w:lang w:val="en-GB"/>
        </w:rPr>
        <w:t>Amendment of Act CCIV of 2011 on National Tertiary Education</w:t>
      </w:r>
      <w:bookmarkEnd w:id="34"/>
    </w:p>
    <w:p w14:paraId="53D5AE47" w14:textId="77777777" w:rsidR="00A320F0" w:rsidRPr="003E3613" w:rsidRDefault="00A320F0" w:rsidP="00204696">
      <w:pPr>
        <w:spacing w:after="0"/>
        <w:jc w:val="both"/>
        <w:rPr>
          <w:rFonts w:ascii="Book Antiqua" w:hAnsi="Book Antiqua"/>
          <w:i/>
          <w:sz w:val="23"/>
          <w:szCs w:val="23"/>
          <w:lang w:val="en-GB"/>
        </w:rPr>
      </w:pPr>
    </w:p>
    <w:p w14:paraId="478BB92D" w14:textId="77777777" w:rsidR="00366F3E" w:rsidRPr="003E3613" w:rsidRDefault="00366F3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DF59CD" w:rsidRPr="003E3613">
        <w:rPr>
          <w:rFonts w:ascii="Book Antiqua" w:hAnsi="Book Antiqua"/>
          <w:i/>
          <w:sz w:val="23"/>
          <w:szCs w:val="23"/>
          <w:lang w:val="en-GB"/>
        </w:rPr>
        <w:t>33</w:t>
      </w:r>
      <w:r w:rsidRPr="003E3613">
        <w:rPr>
          <w:rFonts w:ascii="Book Antiqua" w:hAnsi="Book Antiqua"/>
          <w:i/>
          <w:sz w:val="23"/>
          <w:szCs w:val="23"/>
          <w:lang w:val="en-GB"/>
        </w:rPr>
        <w:t>) On 6 October 2017, the Venice Commission adopted its Opinion on Act XXV of 4 April 2017 on the Amendment of Act CCIV of 2011 on National Tertiary Education. It concluded that introducing more stringent rules without very strong reasons, coupled with strict deadlines and severe legal consequences, for foreign universities which are already established in Hungary and have been lawfully operating there for many years, appears highly problematic from the standpoint of the rule of law and fundamental ri</w:t>
      </w:r>
      <w:r w:rsidR="00053E89" w:rsidRPr="003E3613">
        <w:rPr>
          <w:rFonts w:ascii="Book Antiqua" w:hAnsi="Book Antiqua"/>
          <w:i/>
          <w:sz w:val="23"/>
          <w:szCs w:val="23"/>
          <w:lang w:val="en-GB"/>
        </w:rPr>
        <w:t xml:space="preserve">ghts principles and guarantees. </w:t>
      </w:r>
      <w:r w:rsidRPr="003E3613">
        <w:rPr>
          <w:rFonts w:ascii="Book Antiqua" w:hAnsi="Book Antiqua"/>
          <w:i/>
          <w:sz w:val="23"/>
          <w:szCs w:val="23"/>
          <w:lang w:val="en-GB"/>
        </w:rPr>
        <w:t xml:space="preserve">Those universities and their students are protected by domestic and international rules on academic freedom, the freedom of expression and assembly and the right to, and freedom of, education. The Venice Commission recommended that the Hungarian authorities, in particular, ensure that new rules on requirement to have a work permit do not disproportionally affect academic freedom and are applied in a non-discriminatory and flexible manner, without jeopardising the quality and international character of education already provided by existing </w:t>
      </w:r>
      <w:r w:rsidRPr="003E3613">
        <w:rPr>
          <w:rFonts w:ascii="Book Antiqua" w:hAnsi="Book Antiqua"/>
          <w:i/>
          <w:sz w:val="23"/>
          <w:szCs w:val="23"/>
          <w:lang w:val="en-GB"/>
        </w:rPr>
        <w:lastRenderedPageBreak/>
        <w:t>universities. The concerns about the Amendment of Act CCIV of 2011 on National Tertiary Education have also been shared by the UN Special Rapporteurs on the freedom of opinion and expression, on the rights to freedom of peaceful assembly and association and on cultural rights in their statement of 11 April 2017. In the concluding observations of 5 April 2018, the UN Human Rights Committee noted the lack of a sufficient justification for the imposition of such constraints on the freedom of thought, expression and association, as well as academic freedom.</w:t>
      </w:r>
    </w:p>
    <w:p w14:paraId="564BD5F4" w14:textId="77777777" w:rsidR="00366F3E" w:rsidRPr="003E3613" w:rsidRDefault="00366F3E" w:rsidP="00204696">
      <w:pPr>
        <w:spacing w:after="0"/>
        <w:jc w:val="both"/>
        <w:rPr>
          <w:rFonts w:ascii="Book Antiqua" w:hAnsi="Book Antiqua"/>
          <w:i/>
          <w:sz w:val="23"/>
          <w:szCs w:val="23"/>
          <w:lang w:val="en-GB"/>
        </w:rPr>
      </w:pPr>
    </w:p>
    <w:p w14:paraId="365BCCFB" w14:textId="10E80818" w:rsidR="005B2A04" w:rsidRPr="003E3613" w:rsidRDefault="006F22F4"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It is </w:t>
      </w:r>
      <w:r w:rsidR="00F5027A" w:rsidRPr="003E3613">
        <w:rPr>
          <w:rFonts w:ascii="Book Antiqua" w:hAnsi="Book Antiqua"/>
          <w:sz w:val="23"/>
          <w:szCs w:val="23"/>
          <w:lang w:val="en-GB"/>
        </w:rPr>
        <w:t xml:space="preserve">submitted </w:t>
      </w:r>
      <w:r w:rsidRPr="003E3613">
        <w:rPr>
          <w:rFonts w:ascii="Book Antiqua" w:hAnsi="Book Antiqua"/>
          <w:sz w:val="23"/>
          <w:szCs w:val="23"/>
          <w:lang w:val="en-GB"/>
        </w:rPr>
        <w:t xml:space="preserve">that the academic freedom is not restricted in Hungary, the clarification of the rules of operation of foreign universities in Hungary was merely misinterpreted. </w:t>
      </w:r>
      <w:r w:rsidR="002A734E" w:rsidRPr="003E3613">
        <w:rPr>
          <w:rFonts w:ascii="Book Antiqua" w:hAnsi="Book Antiqua"/>
          <w:sz w:val="23"/>
          <w:szCs w:val="23"/>
          <w:lang w:val="en-GB"/>
        </w:rPr>
        <w:t>The contested new provisions of the Higher Education Act – the requirement of a bilateral agreement with non-EEA countries of origin of higher education institutions and a genuine higher education activity in the country of origin – are of general scope, applicable to all higher education institutions of foreign origin operating in Hungary. These requirements have been met by most of the institutions concerned; currently 1</w:t>
      </w:r>
      <w:r w:rsidR="00F0067E" w:rsidRPr="003E3613">
        <w:rPr>
          <w:rFonts w:ascii="Book Antiqua" w:hAnsi="Book Antiqua"/>
          <w:sz w:val="23"/>
          <w:szCs w:val="23"/>
          <w:lang w:val="en-GB"/>
        </w:rPr>
        <w:t>7</w:t>
      </w:r>
      <w:r w:rsidR="002A734E" w:rsidRPr="003E3613">
        <w:rPr>
          <w:rFonts w:ascii="Book Antiqua" w:hAnsi="Book Antiqua"/>
          <w:sz w:val="23"/>
          <w:szCs w:val="23"/>
          <w:lang w:val="en-GB"/>
        </w:rPr>
        <w:t xml:space="preserve"> universities of EEA or non-EEA origin operate in Hungary. </w:t>
      </w:r>
    </w:p>
    <w:p w14:paraId="7AD37CC4" w14:textId="77777777" w:rsidR="005B2A04" w:rsidRPr="003E3613" w:rsidRDefault="005B2A04" w:rsidP="00204696">
      <w:pPr>
        <w:spacing w:after="0"/>
        <w:jc w:val="both"/>
        <w:rPr>
          <w:rFonts w:ascii="Book Antiqua" w:hAnsi="Book Antiqua"/>
          <w:sz w:val="23"/>
          <w:szCs w:val="23"/>
          <w:lang w:val="en-GB"/>
        </w:rPr>
      </w:pPr>
      <w:r w:rsidRPr="003E3613">
        <w:rPr>
          <w:rFonts w:ascii="Book Antiqua" w:hAnsi="Book Antiqua"/>
          <w:sz w:val="23"/>
          <w:szCs w:val="23"/>
          <w:lang w:val="en-GB"/>
        </w:rPr>
        <w:t>The fulfilling of these two conditions are also guaranteeing for the students of these institutions that the diploma that they receive at the end of their studies will well worth the effort, time and money they spend on their education – since it is guaranteed by the state authorisation that the higher education activity pursued by the institution concerned satisfies the standards of the diplomas they hope to get.</w:t>
      </w:r>
    </w:p>
    <w:p w14:paraId="1E666544" w14:textId="77777777" w:rsidR="00B826F0" w:rsidRPr="003E3613" w:rsidRDefault="00B826F0" w:rsidP="00204696">
      <w:pPr>
        <w:spacing w:after="0"/>
        <w:jc w:val="both"/>
        <w:rPr>
          <w:rFonts w:ascii="Book Antiqua" w:hAnsi="Book Antiqua"/>
          <w:sz w:val="23"/>
          <w:szCs w:val="23"/>
          <w:lang w:val="en-GB"/>
        </w:rPr>
      </w:pPr>
    </w:p>
    <w:p w14:paraId="59479122" w14:textId="77777777" w:rsidR="006F22F4" w:rsidRPr="003E3613" w:rsidRDefault="006F22F4"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Hungarian Act on National Higher Education entered into force in 2012, so its five-year systematic revision became due at the end of 2016. The revision is based on the findings of the Educational Authority and its main objective is to ensure that only high quality foreign higher education institutions may operate in Hungary. </w:t>
      </w:r>
      <w:r w:rsidR="00F5027A" w:rsidRPr="003E3613">
        <w:rPr>
          <w:rFonts w:ascii="Book Antiqua" w:hAnsi="Book Antiqua"/>
          <w:sz w:val="23"/>
          <w:szCs w:val="23"/>
          <w:lang w:val="en-GB"/>
        </w:rPr>
        <w:t>Consequently</w:t>
      </w:r>
      <w:r w:rsidRPr="003E3613">
        <w:rPr>
          <w:rFonts w:ascii="Book Antiqua" w:hAnsi="Book Antiqua"/>
          <w:sz w:val="23"/>
          <w:szCs w:val="23"/>
          <w:lang w:val="en-GB"/>
        </w:rPr>
        <w:t xml:space="preserve">, the Act requires that the operation of a foreign institution of higher education should be based on an international treaty. </w:t>
      </w:r>
      <w:r w:rsidR="002A734E" w:rsidRPr="003E3613">
        <w:rPr>
          <w:rFonts w:ascii="Book Antiqua" w:hAnsi="Book Antiqua"/>
          <w:sz w:val="23"/>
          <w:szCs w:val="23"/>
          <w:lang w:val="en-GB"/>
        </w:rPr>
        <w:t>The provisions are therefore in no way specifically aimed at the Central European University, but are considered to contribute to ensuring the quality of higher education in accordance with the competences and responsibilities of Hungary.</w:t>
      </w:r>
    </w:p>
    <w:p w14:paraId="29979E5E" w14:textId="77777777" w:rsidR="006F22F4" w:rsidRPr="003E3613" w:rsidRDefault="006F22F4" w:rsidP="00204696">
      <w:pPr>
        <w:spacing w:after="0"/>
        <w:jc w:val="both"/>
        <w:rPr>
          <w:rFonts w:ascii="Book Antiqua" w:hAnsi="Book Antiqua"/>
          <w:sz w:val="23"/>
          <w:szCs w:val="23"/>
          <w:lang w:val="en-GB"/>
        </w:rPr>
      </w:pPr>
    </w:p>
    <w:p w14:paraId="38A34DE5" w14:textId="77777777" w:rsidR="006F22F4" w:rsidRPr="003E3613" w:rsidRDefault="006F22F4" w:rsidP="00204696">
      <w:pPr>
        <w:spacing w:after="0"/>
        <w:jc w:val="both"/>
        <w:rPr>
          <w:rFonts w:ascii="Book Antiqua" w:hAnsi="Book Antiqua"/>
          <w:sz w:val="23"/>
          <w:szCs w:val="23"/>
          <w:lang w:val="en-GB"/>
        </w:rPr>
      </w:pPr>
      <w:r w:rsidRPr="003E3613">
        <w:rPr>
          <w:rFonts w:ascii="Book Antiqua" w:hAnsi="Book Antiqua"/>
          <w:sz w:val="23"/>
          <w:szCs w:val="23"/>
          <w:lang w:val="en-GB"/>
        </w:rPr>
        <w:t>Based on this revision, one of the aim</w:t>
      </w:r>
      <w:r w:rsidR="00F5027A" w:rsidRPr="003E3613">
        <w:rPr>
          <w:rFonts w:ascii="Book Antiqua" w:hAnsi="Book Antiqua"/>
          <w:sz w:val="23"/>
          <w:szCs w:val="23"/>
          <w:lang w:val="en-GB"/>
        </w:rPr>
        <w:t>s</w:t>
      </w:r>
      <w:r w:rsidRPr="003E3613">
        <w:rPr>
          <w:rFonts w:ascii="Book Antiqua" w:hAnsi="Book Antiqua"/>
          <w:sz w:val="23"/>
          <w:szCs w:val="23"/>
          <w:lang w:val="en-GB"/>
        </w:rPr>
        <w:t xml:space="preserve"> of the modification of the Act on National Higher Education was to provide equal level playing field for the operation of the foreign universities. As regards the detailed provisions of the relevant Hungarian legislation see our comment under </w:t>
      </w:r>
      <w:r w:rsidR="00C46340" w:rsidRPr="003E3613">
        <w:rPr>
          <w:rFonts w:ascii="Book Antiqua" w:hAnsi="Book Antiqua"/>
          <w:sz w:val="23"/>
          <w:szCs w:val="23"/>
          <w:lang w:val="en-GB"/>
        </w:rPr>
        <w:t>recital</w:t>
      </w:r>
      <w:r w:rsidR="00F5027A" w:rsidRPr="003E3613">
        <w:rPr>
          <w:rFonts w:ascii="Book Antiqua" w:hAnsi="Book Antiqua"/>
          <w:sz w:val="23"/>
          <w:szCs w:val="23"/>
          <w:lang w:val="en-GB"/>
        </w:rPr>
        <w:t xml:space="preserve"> </w:t>
      </w:r>
      <w:r w:rsidRPr="003E3613">
        <w:rPr>
          <w:rFonts w:ascii="Book Antiqua" w:hAnsi="Book Antiqua"/>
          <w:sz w:val="23"/>
          <w:szCs w:val="23"/>
          <w:lang w:val="en-GB"/>
        </w:rPr>
        <w:t xml:space="preserve">(34) of the </w:t>
      </w:r>
      <w:r w:rsidR="00F5027A" w:rsidRPr="003E3613">
        <w:rPr>
          <w:rFonts w:ascii="Book Antiqua" w:hAnsi="Book Antiqua"/>
          <w:sz w:val="23"/>
          <w:szCs w:val="23"/>
          <w:lang w:val="en-GB"/>
        </w:rPr>
        <w:t>reasoned proposal</w:t>
      </w:r>
      <w:r w:rsidRPr="003E3613">
        <w:rPr>
          <w:rFonts w:ascii="Book Antiqua" w:hAnsi="Book Antiqua"/>
          <w:sz w:val="23"/>
          <w:szCs w:val="23"/>
          <w:lang w:val="en-GB"/>
        </w:rPr>
        <w:t xml:space="preserve">. The nature and goal of the criticised legislative amendments </w:t>
      </w:r>
      <w:r w:rsidR="00F5027A" w:rsidRPr="003E3613">
        <w:rPr>
          <w:rFonts w:ascii="Book Antiqua" w:hAnsi="Book Antiqua"/>
          <w:sz w:val="23"/>
          <w:szCs w:val="23"/>
          <w:lang w:val="en-GB"/>
        </w:rPr>
        <w:t>are</w:t>
      </w:r>
      <w:r w:rsidRPr="003E3613">
        <w:rPr>
          <w:rFonts w:ascii="Book Antiqua" w:hAnsi="Book Antiqua"/>
          <w:sz w:val="23"/>
          <w:szCs w:val="23"/>
          <w:lang w:val="en-GB"/>
        </w:rPr>
        <w:t xml:space="preserve"> not connected neither to freedom of thought or expression, nor to artistic or academic freedom. According to </w:t>
      </w:r>
      <w:r w:rsidR="00F5027A" w:rsidRPr="003E3613">
        <w:rPr>
          <w:rFonts w:ascii="Book Antiqua" w:hAnsi="Book Antiqua"/>
          <w:sz w:val="23"/>
          <w:szCs w:val="23"/>
          <w:lang w:val="en-GB"/>
        </w:rPr>
        <w:t xml:space="preserve">the </w:t>
      </w:r>
      <w:r w:rsidRPr="003E3613">
        <w:rPr>
          <w:rFonts w:ascii="Book Antiqua" w:hAnsi="Book Antiqua"/>
          <w:sz w:val="23"/>
          <w:szCs w:val="23"/>
          <w:lang w:val="en-GB"/>
        </w:rPr>
        <w:t xml:space="preserve">legislation, on the territory of Hungary a foreign higher education institution may pursue a qualification if the following requirements are fulfilled: a preliminary agreement between the Contracting Parties (central governments), requirement of actual operation and recognition of the diploma issued, the operation being authorized by the Educational Authority and fulfilment of the requirements regarding the provisions of the name of the institution. </w:t>
      </w:r>
    </w:p>
    <w:p w14:paraId="6BF02A8C" w14:textId="77777777" w:rsidR="006F22F4" w:rsidRPr="003E3613" w:rsidRDefault="006F22F4" w:rsidP="00204696">
      <w:pPr>
        <w:spacing w:after="0"/>
        <w:jc w:val="both"/>
        <w:rPr>
          <w:rFonts w:ascii="Book Antiqua" w:hAnsi="Book Antiqua"/>
          <w:sz w:val="23"/>
          <w:szCs w:val="23"/>
          <w:lang w:val="en-GB"/>
        </w:rPr>
      </w:pPr>
    </w:p>
    <w:p w14:paraId="779D2D53" w14:textId="77777777" w:rsidR="0066085D" w:rsidRPr="003E3613" w:rsidRDefault="00F5027A"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T</w:t>
      </w:r>
      <w:r w:rsidR="006F22F4" w:rsidRPr="003E3613">
        <w:rPr>
          <w:rFonts w:ascii="Book Antiqua" w:hAnsi="Book Antiqua"/>
          <w:sz w:val="23"/>
          <w:szCs w:val="23"/>
          <w:lang w:val="en-GB"/>
        </w:rPr>
        <w:t xml:space="preserve">he </w:t>
      </w:r>
      <w:r w:rsidR="00C46340" w:rsidRPr="003E3613">
        <w:rPr>
          <w:rFonts w:ascii="Book Antiqua" w:hAnsi="Book Antiqua"/>
          <w:sz w:val="23"/>
          <w:szCs w:val="23"/>
          <w:lang w:val="en-GB"/>
        </w:rPr>
        <w:t>recital</w:t>
      </w:r>
      <w:r w:rsidRPr="003E3613">
        <w:rPr>
          <w:rFonts w:ascii="Book Antiqua" w:hAnsi="Book Antiqua"/>
          <w:sz w:val="23"/>
          <w:szCs w:val="23"/>
          <w:lang w:val="en-GB"/>
        </w:rPr>
        <w:t xml:space="preserve"> </w:t>
      </w:r>
      <w:r w:rsidR="006F22F4" w:rsidRPr="003E3613">
        <w:rPr>
          <w:rFonts w:ascii="Book Antiqua" w:hAnsi="Book Antiqua"/>
          <w:sz w:val="23"/>
          <w:szCs w:val="23"/>
          <w:lang w:val="en-GB"/>
        </w:rPr>
        <w:t>of the reasoned proposal focuses on the negative elements of the Venice Commission</w:t>
      </w:r>
      <w:r w:rsidRPr="003E3613">
        <w:rPr>
          <w:rFonts w:ascii="Book Antiqua" w:hAnsi="Book Antiqua"/>
          <w:sz w:val="23"/>
          <w:szCs w:val="23"/>
          <w:lang w:val="en-GB"/>
        </w:rPr>
        <w:t>’s</w:t>
      </w:r>
      <w:r w:rsidR="006F22F4" w:rsidRPr="003E3613">
        <w:rPr>
          <w:rFonts w:ascii="Book Antiqua" w:hAnsi="Book Antiqua"/>
          <w:sz w:val="23"/>
          <w:szCs w:val="23"/>
          <w:lang w:val="en-GB"/>
        </w:rPr>
        <w:t xml:space="preserve"> opinion. The Venice Commission also found that states have a large room for manoeuvre when it comes to regulating the operational conditions for institutions of higher education, as it is of national competence. The body also underlined that it is a legitimate goal to provide greater transparency in order to guarantee a quality education and to protect future students. The Venice Commission also acknowledged that some states do not allow foreign universities to operate at all, furthermore, that Hungary has the right to create and review regulation concerning institutions of higher education operating within </w:t>
      </w:r>
      <w:r w:rsidRPr="003E3613">
        <w:rPr>
          <w:rFonts w:ascii="Book Antiqua" w:hAnsi="Book Antiqua"/>
          <w:sz w:val="23"/>
          <w:szCs w:val="23"/>
          <w:lang w:val="en-GB"/>
        </w:rPr>
        <w:t xml:space="preserve">its </w:t>
      </w:r>
      <w:r w:rsidR="006F22F4" w:rsidRPr="003E3613">
        <w:rPr>
          <w:rFonts w:ascii="Book Antiqua" w:hAnsi="Book Antiqua"/>
          <w:sz w:val="23"/>
          <w:szCs w:val="23"/>
          <w:lang w:val="en-GB"/>
        </w:rPr>
        <w:t>territory.</w:t>
      </w:r>
      <w:r w:rsidRPr="003E3613">
        <w:rPr>
          <w:rFonts w:ascii="Book Antiqua" w:hAnsi="Book Antiqua"/>
          <w:sz w:val="23"/>
          <w:szCs w:val="23"/>
          <w:lang w:val="en-GB"/>
        </w:rPr>
        <w:t xml:space="preserve"> </w:t>
      </w:r>
    </w:p>
    <w:p w14:paraId="63E0BBB7" w14:textId="77777777" w:rsidR="008C36AC" w:rsidRPr="003E3613" w:rsidRDefault="008C36AC" w:rsidP="00204696">
      <w:pPr>
        <w:spacing w:after="0"/>
        <w:jc w:val="both"/>
        <w:rPr>
          <w:rFonts w:ascii="Book Antiqua" w:hAnsi="Book Antiqua"/>
          <w:sz w:val="23"/>
          <w:szCs w:val="23"/>
          <w:lang w:val="en-GB"/>
        </w:rPr>
      </w:pPr>
    </w:p>
    <w:p w14:paraId="3F8E5158" w14:textId="77777777" w:rsidR="003C0E12" w:rsidRPr="003E3613" w:rsidRDefault="0066085D" w:rsidP="00204696">
      <w:pPr>
        <w:spacing w:after="0"/>
        <w:jc w:val="both"/>
        <w:rPr>
          <w:rFonts w:ascii="Book Antiqua" w:hAnsi="Book Antiqua"/>
          <w:sz w:val="23"/>
          <w:szCs w:val="23"/>
          <w:lang w:val="en-GB"/>
        </w:rPr>
      </w:pPr>
      <w:r w:rsidRPr="003E3613">
        <w:rPr>
          <w:rFonts w:ascii="Book Antiqua" w:hAnsi="Book Antiqua"/>
          <w:sz w:val="23"/>
          <w:szCs w:val="23"/>
          <w:lang w:val="en-GB"/>
        </w:rPr>
        <w:t>The European Commission itself has also stated that it is not without precedent that Member States of the EU enact special legal requirements for institutions of higher education with headquarters in a foreign country</w:t>
      </w:r>
      <w:r w:rsidR="00915F03" w:rsidRPr="003E3613">
        <w:rPr>
          <w:rFonts w:ascii="Book Antiqua" w:hAnsi="Book Antiqua"/>
          <w:sz w:val="23"/>
          <w:szCs w:val="23"/>
          <w:lang w:val="en-GB"/>
        </w:rPr>
        <w:t>. Many Member States of the EU</w:t>
      </w:r>
      <w:r w:rsidRPr="003E3613">
        <w:rPr>
          <w:rFonts w:ascii="Book Antiqua" w:hAnsi="Book Antiqua"/>
          <w:sz w:val="23"/>
          <w:szCs w:val="23"/>
          <w:lang w:val="en-GB"/>
        </w:rPr>
        <w:t xml:space="preserve"> have much stricter rules in many aspects than the new Hungarian law</w:t>
      </w:r>
      <w:r w:rsidR="009657FE" w:rsidRPr="003E3613">
        <w:rPr>
          <w:rFonts w:ascii="Book Antiqua" w:hAnsi="Book Antiqua"/>
          <w:sz w:val="23"/>
          <w:szCs w:val="23"/>
          <w:lang w:val="en-GB"/>
        </w:rPr>
        <w:t>.</w:t>
      </w:r>
    </w:p>
    <w:p w14:paraId="51D36C18" w14:textId="77777777" w:rsidR="00543E82" w:rsidRPr="003E3613" w:rsidRDefault="00543E82" w:rsidP="00204696">
      <w:pPr>
        <w:spacing w:after="0"/>
        <w:jc w:val="both"/>
        <w:rPr>
          <w:rFonts w:ascii="Book Antiqua" w:hAnsi="Book Antiqua"/>
          <w:sz w:val="23"/>
          <w:szCs w:val="23"/>
          <w:lang w:val="en-GB"/>
        </w:rPr>
      </w:pPr>
    </w:p>
    <w:p w14:paraId="36E6A75E" w14:textId="77777777" w:rsidR="00543E82" w:rsidRPr="003E3613" w:rsidRDefault="0067781E" w:rsidP="00204696">
      <w:pPr>
        <w:autoSpaceDE w:val="0"/>
        <w:autoSpaceDN w:val="0"/>
        <w:adjustRightInd w:val="0"/>
        <w:spacing w:after="0"/>
        <w:jc w:val="both"/>
        <w:rPr>
          <w:rFonts w:ascii="Book Antiqua" w:hAnsi="Book Antiqua"/>
          <w:sz w:val="23"/>
          <w:szCs w:val="23"/>
          <w:lang w:val="en-GB"/>
        </w:rPr>
      </w:pPr>
      <w:r w:rsidRPr="003E3613">
        <w:rPr>
          <w:rFonts w:ascii="Book Antiqua" w:hAnsi="Book Antiqua"/>
          <w:sz w:val="23"/>
          <w:szCs w:val="23"/>
          <w:lang w:val="en-GB"/>
        </w:rPr>
        <w:t>An</w:t>
      </w:r>
      <w:r w:rsidR="0058683F" w:rsidRPr="003E3613">
        <w:rPr>
          <w:rFonts w:ascii="Book Antiqua" w:hAnsi="Book Antiqua"/>
          <w:sz w:val="23"/>
          <w:szCs w:val="23"/>
          <w:lang w:val="en-GB"/>
        </w:rPr>
        <w:t xml:space="preserve"> infringement procedure is</w:t>
      </w:r>
      <w:r w:rsidR="00543E82" w:rsidRPr="003E3613">
        <w:rPr>
          <w:rFonts w:ascii="Book Antiqua" w:hAnsi="Book Antiqua"/>
          <w:sz w:val="23"/>
          <w:szCs w:val="23"/>
          <w:lang w:val="en-GB"/>
        </w:rPr>
        <w:t xml:space="preserve"> currently pending before the Court of Justice of the E</w:t>
      </w:r>
      <w:r w:rsidR="0040560D" w:rsidRPr="003E3613">
        <w:rPr>
          <w:rFonts w:ascii="Book Antiqua" w:hAnsi="Book Antiqua"/>
          <w:sz w:val="23"/>
          <w:szCs w:val="23"/>
          <w:lang w:val="en-GB"/>
        </w:rPr>
        <w:t xml:space="preserve">uropean </w:t>
      </w:r>
      <w:r w:rsidR="00543E82" w:rsidRPr="003E3613">
        <w:rPr>
          <w:rFonts w:ascii="Book Antiqua" w:hAnsi="Book Antiqua"/>
          <w:sz w:val="23"/>
          <w:szCs w:val="23"/>
          <w:lang w:val="en-GB"/>
        </w:rPr>
        <w:t>U</w:t>
      </w:r>
      <w:r w:rsidR="0040560D" w:rsidRPr="003E3613">
        <w:rPr>
          <w:rFonts w:ascii="Book Antiqua" w:hAnsi="Book Antiqua"/>
          <w:sz w:val="23"/>
          <w:szCs w:val="23"/>
          <w:lang w:val="en-GB"/>
        </w:rPr>
        <w:t>nion</w:t>
      </w:r>
      <w:r w:rsidR="00543E82" w:rsidRPr="003E3613">
        <w:rPr>
          <w:rFonts w:ascii="Book Antiqua" w:hAnsi="Book Antiqua"/>
          <w:sz w:val="23"/>
          <w:szCs w:val="23"/>
          <w:lang w:val="en-GB"/>
        </w:rPr>
        <w:t xml:space="preserve">. </w:t>
      </w:r>
      <w:r w:rsidR="0040560D" w:rsidRPr="003E3613">
        <w:rPr>
          <w:rFonts w:ascii="Book Antiqua" w:hAnsi="Book Antiqua"/>
          <w:sz w:val="23"/>
          <w:szCs w:val="23"/>
          <w:lang w:val="en-GB"/>
        </w:rPr>
        <w:t xml:space="preserve">A hearing was held on 24 June 2019. </w:t>
      </w:r>
      <w:r w:rsidR="0040560D" w:rsidRPr="003E3613">
        <w:rPr>
          <w:rFonts w:ascii="Book Antiqua" w:hAnsi="Book Antiqua"/>
          <w:iCs/>
          <w:sz w:val="23"/>
          <w:szCs w:val="23"/>
          <w:lang w:val="en-GB"/>
        </w:rPr>
        <w:t>The Advocate General’s opinion will be presented on 19 November 2019, whereas the judgement is expected to be delivered in the first half of 2020.</w:t>
      </w:r>
    </w:p>
    <w:p w14:paraId="49AF8209" w14:textId="77777777" w:rsidR="002A734E" w:rsidRPr="003E3613" w:rsidRDefault="002A734E" w:rsidP="00204696">
      <w:pPr>
        <w:autoSpaceDE w:val="0"/>
        <w:autoSpaceDN w:val="0"/>
        <w:adjustRightInd w:val="0"/>
        <w:spacing w:after="0"/>
        <w:jc w:val="both"/>
        <w:rPr>
          <w:rFonts w:ascii="Book Antiqua" w:hAnsi="Book Antiqua"/>
          <w:sz w:val="23"/>
          <w:szCs w:val="23"/>
          <w:lang w:val="en-GB"/>
        </w:rPr>
      </w:pPr>
    </w:p>
    <w:p w14:paraId="1511AD71" w14:textId="77777777" w:rsidR="00660031" w:rsidRDefault="002A734E" w:rsidP="00204696">
      <w:pPr>
        <w:autoSpaceDE w:val="0"/>
        <w:autoSpaceDN w:val="0"/>
        <w:adjustRightInd w:val="0"/>
        <w:spacing w:after="0"/>
        <w:jc w:val="both"/>
        <w:rPr>
          <w:rFonts w:ascii="Book Antiqua" w:hAnsi="Book Antiqua"/>
          <w:sz w:val="23"/>
          <w:szCs w:val="23"/>
          <w:lang w:val="en-GB"/>
        </w:rPr>
      </w:pPr>
      <w:r w:rsidRPr="003E3613">
        <w:rPr>
          <w:rFonts w:ascii="Book Antiqua" w:hAnsi="Book Antiqua"/>
          <w:sz w:val="23"/>
          <w:szCs w:val="23"/>
          <w:lang w:val="en-GB"/>
        </w:rPr>
        <w:t xml:space="preserve">The Commission questions the compatibility of these provisions with GATS rules as well as </w:t>
      </w:r>
      <w:r w:rsidR="00867916" w:rsidRPr="003E3613">
        <w:rPr>
          <w:rFonts w:ascii="Book Antiqua" w:hAnsi="Book Antiqua"/>
          <w:sz w:val="23"/>
          <w:szCs w:val="23"/>
          <w:lang w:val="en-GB"/>
        </w:rPr>
        <w:t>U</w:t>
      </w:r>
      <w:r w:rsidRPr="003E3613">
        <w:rPr>
          <w:rFonts w:ascii="Book Antiqua" w:hAnsi="Book Antiqua"/>
          <w:sz w:val="23"/>
          <w:szCs w:val="23"/>
          <w:lang w:val="en-GB"/>
        </w:rPr>
        <w:t>nion law, i.e. the freedom to provide services and certain provisions of the Charter</w:t>
      </w:r>
      <w:r w:rsidR="00F0067E" w:rsidRPr="003E3613">
        <w:rPr>
          <w:rFonts w:ascii="Book Antiqua" w:hAnsi="Book Antiqua"/>
          <w:sz w:val="23"/>
          <w:szCs w:val="23"/>
          <w:lang w:val="en-GB"/>
        </w:rPr>
        <w:t xml:space="preserve"> of F</w:t>
      </w:r>
      <w:r w:rsidRPr="003E3613">
        <w:rPr>
          <w:rFonts w:ascii="Book Antiqua" w:hAnsi="Book Antiqua"/>
          <w:sz w:val="23"/>
          <w:szCs w:val="23"/>
          <w:lang w:val="en-GB"/>
        </w:rPr>
        <w:t xml:space="preserve">undamental Rights, including the freedom of the sciences. Nevertheless, Hungary </w:t>
      </w:r>
    </w:p>
    <w:p w14:paraId="6D1C78A5" w14:textId="60E039AE" w:rsidR="002A734E" w:rsidRPr="003E3613" w:rsidRDefault="002A734E" w:rsidP="00204696">
      <w:pPr>
        <w:autoSpaceDE w:val="0"/>
        <w:autoSpaceDN w:val="0"/>
        <w:adjustRightInd w:val="0"/>
        <w:spacing w:after="0"/>
        <w:jc w:val="both"/>
        <w:rPr>
          <w:rFonts w:ascii="Book Antiqua" w:hAnsi="Book Antiqua"/>
          <w:sz w:val="23"/>
          <w:szCs w:val="23"/>
          <w:lang w:val="en-GB"/>
        </w:rPr>
      </w:pPr>
      <w:r w:rsidRPr="003E3613">
        <w:rPr>
          <w:rFonts w:ascii="Book Antiqua" w:hAnsi="Book Antiqua"/>
          <w:sz w:val="23"/>
          <w:szCs w:val="23"/>
          <w:lang w:val="en-GB"/>
        </w:rPr>
        <w:t xml:space="preserve">disputes these assertions and is convinced that the provisions in question relating to higher education remain within the competences of the Member States and are in no way contrary to EU law. </w:t>
      </w:r>
    </w:p>
    <w:p w14:paraId="784D48ED" w14:textId="77777777" w:rsidR="00421892" w:rsidRPr="003E3613" w:rsidRDefault="00421892" w:rsidP="00204696">
      <w:pPr>
        <w:spacing w:after="0"/>
        <w:jc w:val="both"/>
        <w:rPr>
          <w:rFonts w:ascii="Book Antiqua" w:hAnsi="Book Antiqua"/>
          <w:sz w:val="23"/>
          <w:szCs w:val="23"/>
          <w:lang w:val="en-GB"/>
        </w:rPr>
      </w:pPr>
    </w:p>
    <w:p w14:paraId="47F39705" w14:textId="77777777" w:rsidR="00A320F0" w:rsidRPr="003E3613" w:rsidRDefault="00A320F0" w:rsidP="00204696">
      <w:pPr>
        <w:pStyle w:val="Heading2"/>
        <w:keepNext w:val="0"/>
        <w:keepLines w:val="0"/>
        <w:spacing w:before="0"/>
        <w:rPr>
          <w:rFonts w:ascii="Book Antiqua" w:hAnsi="Book Antiqua"/>
          <w:color w:val="auto"/>
          <w:sz w:val="23"/>
          <w:szCs w:val="23"/>
          <w:lang w:val="en-GB"/>
        </w:rPr>
      </w:pPr>
      <w:bookmarkStart w:id="35" w:name="_Toc19120796"/>
      <w:r w:rsidRPr="003E3613">
        <w:rPr>
          <w:rFonts w:ascii="Book Antiqua" w:hAnsi="Book Antiqua"/>
          <w:color w:val="auto"/>
          <w:sz w:val="23"/>
          <w:szCs w:val="23"/>
          <w:lang w:val="en-GB"/>
        </w:rPr>
        <w:t xml:space="preserve">Negotiations </w:t>
      </w:r>
      <w:r w:rsidR="00396BD6" w:rsidRPr="003E3613">
        <w:rPr>
          <w:rFonts w:ascii="Book Antiqua" w:hAnsi="Book Antiqua"/>
          <w:color w:val="auto"/>
          <w:sz w:val="23"/>
          <w:szCs w:val="23"/>
          <w:lang w:val="en-GB"/>
        </w:rPr>
        <w:t xml:space="preserve">with </w:t>
      </w:r>
      <w:r w:rsidRPr="003E3613">
        <w:rPr>
          <w:rFonts w:ascii="Book Antiqua" w:hAnsi="Book Antiqua"/>
          <w:color w:val="auto"/>
          <w:sz w:val="23"/>
          <w:szCs w:val="23"/>
          <w:lang w:val="en-GB"/>
        </w:rPr>
        <w:t>foreign higher education institutions</w:t>
      </w:r>
      <w:bookmarkEnd w:id="35"/>
    </w:p>
    <w:p w14:paraId="66F57C72" w14:textId="77777777" w:rsidR="00A320F0" w:rsidRPr="003E3613" w:rsidRDefault="00A320F0" w:rsidP="00204696">
      <w:pPr>
        <w:spacing w:after="0"/>
        <w:jc w:val="both"/>
        <w:rPr>
          <w:rFonts w:ascii="Book Antiqua" w:hAnsi="Book Antiqua"/>
          <w:i/>
          <w:sz w:val="23"/>
          <w:szCs w:val="23"/>
          <w:lang w:val="en-GB"/>
        </w:rPr>
      </w:pPr>
    </w:p>
    <w:p w14:paraId="72B41540" w14:textId="77777777" w:rsidR="00366F3E" w:rsidRPr="003E3613" w:rsidRDefault="00366F3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DF59CD" w:rsidRPr="003E3613">
        <w:rPr>
          <w:rFonts w:ascii="Book Antiqua" w:hAnsi="Book Antiqua"/>
          <w:i/>
          <w:sz w:val="23"/>
          <w:szCs w:val="23"/>
          <w:lang w:val="en-GB"/>
        </w:rPr>
        <w:t>34</w:t>
      </w:r>
      <w:r w:rsidRPr="003E3613">
        <w:rPr>
          <w:rFonts w:ascii="Book Antiqua" w:hAnsi="Book Antiqua"/>
          <w:i/>
          <w:sz w:val="23"/>
          <w:szCs w:val="23"/>
          <w:lang w:val="en-GB"/>
        </w:rPr>
        <w:t>) On 17 October 2017, the Hungarian Parliament extended the deadline for foreign universities operating in the country to meet the new criteria to 1 January 2019</w:t>
      </w:r>
      <w:r w:rsidR="00DF59CD" w:rsidRPr="003E3613">
        <w:rPr>
          <w:rFonts w:ascii="Book Antiqua" w:hAnsi="Book Antiqua"/>
          <w:i/>
          <w:sz w:val="23"/>
          <w:szCs w:val="23"/>
          <w:lang w:val="en-GB"/>
        </w:rPr>
        <w:t xml:space="preserve"> at the request of the institutions concerned and following the recommendation of the Presidency of the Hungarian Rectors’ Conference. The Venice Commission has welcomed that prolongation.</w:t>
      </w:r>
      <w:r w:rsidRPr="003E3613">
        <w:rPr>
          <w:rFonts w:ascii="Book Antiqua" w:hAnsi="Book Antiqua"/>
          <w:i/>
          <w:sz w:val="23"/>
          <w:szCs w:val="23"/>
          <w:lang w:val="en-GB"/>
        </w:rPr>
        <w:t xml:space="preserve"> Negotiations between the Hungarian Government and foreign higher education institutions affected, in particular, the Central European University, are still ongoing, while the legal limbo for foreign universities remains</w:t>
      </w:r>
      <w:r w:rsidR="00DF59CD" w:rsidRPr="003E3613">
        <w:rPr>
          <w:rFonts w:ascii="Book Antiqua" w:hAnsi="Book Antiqua"/>
          <w:i/>
          <w:sz w:val="23"/>
          <w:szCs w:val="23"/>
          <w:lang w:val="en-GB"/>
        </w:rPr>
        <w:t>, although the Central European University complied with the new requirements in due time.</w:t>
      </w:r>
    </w:p>
    <w:p w14:paraId="01A0316A" w14:textId="77777777" w:rsidR="008E1C47" w:rsidRPr="003E3613" w:rsidRDefault="008E1C47" w:rsidP="00204696">
      <w:pPr>
        <w:spacing w:after="0"/>
        <w:jc w:val="both"/>
        <w:rPr>
          <w:rFonts w:ascii="Book Antiqua" w:hAnsi="Book Antiqua"/>
          <w:i/>
          <w:sz w:val="23"/>
          <w:szCs w:val="23"/>
          <w:lang w:val="en-GB"/>
        </w:rPr>
      </w:pPr>
    </w:p>
    <w:p w14:paraId="7994580A" w14:textId="77777777" w:rsidR="008E1C47" w:rsidRPr="003E3613" w:rsidRDefault="006E7DFB" w:rsidP="00204696">
      <w:pPr>
        <w:spacing w:after="0"/>
        <w:jc w:val="both"/>
        <w:rPr>
          <w:rFonts w:ascii="Book Antiqua" w:hAnsi="Book Antiqua"/>
          <w:sz w:val="23"/>
          <w:szCs w:val="23"/>
          <w:lang w:val="en-GB"/>
        </w:rPr>
      </w:pPr>
      <w:r w:rsidRPr="003E3613">
        <w:rPr>
          <w:rFonts w:ascii="Book Antiqua" w:hAnsi="Book Antiqua"/>
          <w:sz w:val="23"/>
          <w:szCs w:val="23"/>
          <w:lang w:val="en-GB"/>
        </w:rPr>
        <w:t>According to t</w:t>
      </w:r>
      <w:r w:rsidR="008E1C47" w:rsidRPr="003E3613">
        <w:rPr>
          <w:rFonts w:ascii="Book Antiqua" w:hAnsi="Book Antiqua"/>
          <w:sz w:val="23"/>
          <w:szCs w:val="23"/>
          <w:lang w:val="en-GB"/>
        </w:rPr>
        <w:t>he Hungarian Act on Higher Education</w:t>
      </w:r>
      <w:r w:rsidRPr="003E3613">
        <w:rPr>
          <w:rFonts w:ascii="Book Antiqua" w:hAnsi="Book Antiqua"/>
          <w:sz w:val="23"/>
          <w:szCs w:val="23"/>
          <w:lang w:val="en-GB"/>
        </w:rPr>
        <w:t>,</w:t>
      </w:r>
      <w:r w:rsidR="008E1C47" w:rsidRPr="003E3613">
        <w:rPr>
          <w:rFonts w:ascii="Book Antiqua" w:hAnsi="Book Antiqua"/>
          <w:sz w:val="23"/>
          <w:szCs w:val="23"/>
          <w:lang w:val="en-GB"/>
        </w:rPr>
        <w:t xml:space="preserve"> the activity of foreign higher education institutions in Hungary </w:t>
      </w:r>
      <w:r w:rsidRPr="003E3613">
        <w:rPr>
          <w:rFonts w:ascii="Book Antiqua" w:hAnsi="Book Antiqua"/>
          <w:sz w:val="23"/>
          <w:szCs w:val="23"/>
          <w:lang w:val="en-GB"/>
        </w:rPr>
        <w:t xml:space="preserve">is </w:t>
      </w:r>
      <w:r w:rsidR="008E1C47" w:rsidRPr="003E3613">
        <w:rPr>
          <w:rFonts w:ascii="Book Antiqua" w:hAnsi="Book Antiqua"/>
          <w:sz w:val="23"/>
          <w:szCs w:val="23"/>
          <w:lang w:val="en-GB"/>
        </w:rPr>
        <w:t xml:space="preserve">subject to two </w:t>
      </w:r>
      <w:r w:rsidR="00DC228D" w:rsidRPr="003E3613">
        <w:rPr>
          <w:rFonts w:ascii="Book Antiqua" w:hAnsi="Book Antiqua"/>
          <w:sz w:val="23"/>
          <w:szCs w:val="23"/>
          <w:lang w:val="en-GB"/>
        </w:rPr>
        <w:t xml:space="preserve">main </w:t>
      </w:r>
      <w:r w:rsidR="008E1C47" w:rsidRPr="003E3613">
        <w:rPr>
          <w:rFonts w:ascii="Book Antiqua" w:hAnsi="Book Antiqua"/>
          <w:sz w:val="23"/>
          <w:szCs w:val="23"/>
          <w:lang w:val="en-GB"/>
        </w:rPr>
        <w:t xml:space="preserve">conditions: a bilateral agreement in force between Hungary and the home country of the applicant institution regarding the cooperation in cross-border higher education and the </w:t>
      </w:r>
      <w:r w:rsidR="00915F03" w:rsidRPr="003E3613">
        <w:rPr>
          <w:rFonts w:ascii="Book Antiqua" w:hAnsi="Book Antiqua"/>
          <w:sz w:val="23"/>
          <w:szCs w:val="23"/>
          <w:lang w:val="en-GB"/>
        </w:rPr>
        <w:t xml:space="preserve">genuine </w:t>
      </w:r>
      <w:r w:rsidR="008E1C47" w:rsidRPr="003E3613">
        <w:rPr>
          <w:rFonts w:ascii="Book Antiqua" w:hAnsi="Book Antiqua"/>
          <w:sz w:val="23"/>
          <w:szCs w:val="23"/>
          <w:lang w:val="en-GB"/>
        </w:rPr>
        <w:t xml:space="preserve">higher education activity conducted by the </w:t>
      </w:r>
      <w:r w:rsidR="008E1C47" w:rsidRPr="003E3613">
        <w:rPr>
          <w:rFonts w:ascii="Book Antiqua" w:hAnsi="Book Antiqua"/>
          <w:sz w:val="23"/>
          <w:szCs w:val="23"/>
          <w:lang w:val="en-GB"/>
        </w:rPr>
        <w:lastRenderedPageBreak/>
        <w:t>applicant in its home country. Currently</w:t>
      </w:r>
      <w:r w:rsidRPr="003E3613">
        <w:rPr>
          <w:rStyle w:val="FootnoteReference"/>
          <w:rFonts w:ascii="Book Antiqua" w:hAnsi="Book Antiqua"/>
          <w:sz w:val="23"/>
          <w:szCs w:val="23"/>
          <w:lang w:val="en-GB"/>
        </w:rPr>
        <w:footnoteReference w:id="29"/>
      </w:r>
      <w:r w:rsidR="008E1C47" w:rsidRPr="003E3613">
        <w:rPr>
          <w:rFonts w:ascii="Book Antiqua" w:hAnsi="Book Antiqua"/>
          <w:sz w:val="23"/>
          <w:szCs w:val="23"/>
          <w:lang w:val="en-GB"/>
        </w:rPr>
        <w:t xml:space="preserve"> there are </w:t>
      </w:r>
      <w:r w:rsidR="009D27B4" w:rsidRPr="003E3613">
        <w:rPr>
          <w:rFonts w:ascii="Book Antiqua" w:hAnsi="Book Antiqua"/>
          <w:sz w:val="23"/>
          <w:szCs w:val="23"/>
          <w:lang w:val="en-GB"/>
        </w:rPr>
        <w:t>17</w:t>
      </w:r>
      <w:r w:rsidR="008E1C47" w:rsidRPr="003E3613">
        <w:rPr>
          <w:rFonts w:ascii="Book Antiqua" w:hAnsi="Book Antiqua"/>
          <w:sz w:val="23"/>
          <w:szCs w:val="23"/>
          <w:lang w:val="en-GB"/>
        </w:rPr>
        <w:t xml:space="preserve"> foreign institutions operating in Hungary, 6 of which are headquartered in a non-EEA country (1 in Thailand, 1 in Malaysia, 1 in China and 3 in the United States). With only one exception, all the institutions concerned have treated the amendment as a technical </w:t>
      </w:r>
      <w:r w:rsidR="00053E89" w:rsidRPr="003E3613">
        <w:rPr>
          <w:rFonts w:ascii="Book Antiqua" w:hAnsi="Book Antiqua"/>
          <w:sz w:val="23"/>
          <w:szCs w:val="23"/>
          <w:lang w:val="en-GB"/>
        </w:rPr>
        <w:t>one</w:t>
      </w:r>
      <w:r w:rsidR="008E1C47" w:rsidRPr="003E3613">
        <w:rPr>
          <w:rFonts w:ascii="Book Antiqua" w:hAnsi="Book Antiqua"/>
          <w:sz w:val="23"/>
          <w:szCs w:val="23"/>
          <w:lang w:val="en-GB"/>
        </w:rPr>
        <w:t xml:space="preserve"> and the solution has been clear from the beginning; the Government of Hungary has already signed the necessary cooperation agreements regarding the operation of the McDaniel College of Maryland</w:t>
      </w:r>
      <w:r w:rsidR="00CE5082" w:rsidRPr="003E3613">
        <w:rPr>
          <w:rFonts w:ascii="Book Antiqua" w:hAnsi="Book Antiqua"/>
          <w:sz w:val="23"/>
          <w:szCs w:val="23"/>
          <w:lang w:val="en-GB"/>
        </w:rPr>
        <w:t>,</w:t>
      </w:r>
      <w:r w:rsidR="003C0E12" w:rsidRPr="003E3613">
        <w:rPr>
          <w:rFonts w:ascii="Book Antiqua" w:hAnsi="Book Antiqua"/>
          <w:sz w:val="23"/>
          <w:szCs w:val="23"/>
          <w:lang w:val="en-GB"/>
        </w:rPr>
        <w:t xml:space="preserve"> </w:t>
      </w:r>
      <w:r w:rsidR="008E1C47" w:rsidRPr="003E3613">
        <w:rPr>
          <w:rFonts w:ascii="Book Antiqua" w:hAnsi="Book Antiqua"/>
          <w:sz w:val="23"/>
          <w:szCs w:val="23"/>
          <w:lang w:val="en-GB"/>
        </w:rPr>
        <w:t>the Heilongjiang University of China</w:t>
      </w:r>
      <w:r w:rsidR="00CE5082" w:rsidRPr="003E3613">
        <w:rPr>
          <w:rFonts w:ascii="Book Antiqua" w:hAnsi="Book Antiqua"/>
          <w:sz w:val="23"/>
          <w:szCs w:val="23"/>
          <w:lang w:val="en-GB"/>
        </w:rPr>
        <w:t xml:space="preserve"> and the Mahachulalongkornrajavidyalaya University of Thailand</w:t>
      </w:r>
      <w:r w:rsidR="008E1C47" w:rsidRPr="003E3613">
        <w:rPr>
          <w:rFonts w:ascii="Book Antiqua" w:hAnsi="Book Antiqua"/>
          <w:sz w:val="23"/>
          <w:szCs w:val="23"/>
          <w:lang w:val="en-GB"/>
        </w:rPr>
        <w:t xml:space="preserve">. The relatively short time between the amendment and the actual signing of the agreements has shown that the new legislation does not impose impossible conditions on foreign higher education institutions. With the swift and smooth conclusion of the </w:t>
      </w:r>
      <w:r w:rsidR="00BE42E3" w:rsidRPr="003E3613">
        <w:rPr>
          <w:rFonts w:ascii="Book Antiqua" w:hAnsi="Book Antiqua"/>
          <w:sz w:val="23"/>
          <w:szCs w:val="23"/>
          <w:lang w:val="en-GB"/>
        </w:rPr>
        <w:t xml:space="preserve">negotiations </w:t>
      </w:r>
      <w:r w:rsidR="008E1C47" w:rsidRPr="003E3613">
        <w:rPr>
          <w:rFonts w:ascii="Book Antiqua" w:hAnsi="Book Antiqua"/>
          <w:sz w:val="23"/>
          <w:szCs w:val="23"/>
          <w:lang w:val="en-GB"/>
        </w:rPr>
        <w:t>our American</w:t>
      </w:r>
      <w:r w:rsidR="00CE5082" w:rsidRPr="003E3613">
        <w:rPr>
          <w:rFonts w:ascii="Book Antiqua" w:hAnsi="Book Antiqua"/>
          <w:sz w:val="23"/>
          <w:szCs w:val="23"/>
          <w:lang w:val="en-GB"/>
        </w:rPr>
        <w:t>,</w:t>
      </w:r>
      <w:r w:rsidR="003C0E12" w:rsidRPr="003E3613">
        <w:rPr>
          <w:rFonts w:ascii="Book Antiqua" w:hAnsi="Book Antiqua"/>
          <w:sz w:val="23"/>
          <w:szCs w:val="23"/>
          <w:lang w:val="en-GB"/>
        </w:rPr>
        <w:t xml:space="preserve"> </w:t>
      </w:r>
      <w:r w:rsidR="008E1C47" w:rsidRPr="003E3613">
        <w:rPr>
          <w:rFonts w:ascii="Book Antiqua" w:hAnsi="Book Antiqua"/>
          <w:sz w:val="23"/>
          <w:szCs w:val="23"/>
          <w:lang w:val="en-GB"/>
        </w:rPr>
        <w:t>Chinese</w:t>
      </w:r>
      <w:r w:rsidR="00CE5082" w:rsidRPr="003E3613">
        <w:rPr>
          <w:rFonts w:ascii="Book Antiqua" w:hAnsi="Book Antiqua"/>
          <w:sz w:val="23"/>
          <w:szCs w:val="23"/>
          <w:lang w:val="en-GB"/>
        </w:rPr>
        <w:t xml:space="preserve"> and Thai</w:t>
      </w:r>
      <w:r w:rsidR="008E1C47" w:rsidRPr="003E3613">
        <w:rPr>
          <w:rFonts w:ascii="Book Antiqua" w:hAnsi="Book Antiqua"/>
          <w:sz w:val="23"/>
          <w:szCs w:val="23"/>
          <w:lang w:val="en-GB"/>
        </w:rPr>
        <w:t xml:space="preserve"> partners also demonstrated that the amendment does not at all jeopardize the freedom of higher education</w:t>
      </w:r>
      <w:r w:rsidR="005731E6" w:rsidRPr="003E3613">
        <w:rPr>
          <w:rFonts w:ascii="Book Antiqua" w:hAnsi="Book Antiqua"/>
          <w:sz w:val="23"/>
          <w:szCs w:val="23"/>
          <w:lang w:val="en-GB"/>
        </w:rPr>
        <w:t xml:space="preserve"> or create any obstacle to their activities in Hungary</w:t>
      </w:r>
      <w:r w:rsidR="008E1C47" w:rsidRPr="003E3613">
        <w:rPr>
          <w:rFonts w:ascii="Book Antiqua" w:hAnsi="Book Antiqua"/>
          <w:sz w:val="23"/>
          <w:szCs w:val="23"/>
          <w:lang w:val="en-GB"/>
        </w:rPr>
        <w:t>.</w:t>
      </w:r>
    </w:p>
    <w:p w14:paraId="4B02821A" w14:textId="77777777" w:rsidR="008E1C47" w:rsidRPr="003E3613" w:rsidRDefault="008E1C47" w:rsidP="00204696">
      <w:pPr>
        <w:spacing w:after="0"/>
        <w:jc w:val="both"/>
        <w:rPr>
          <w:rFonts w:ascii="Book Antiqua" w:hAnsi="Book Antiqua"/>
          <w:sz w:val="23"/>
          <w:szCs w:val="23"/>
          <w:lang w:val="en-GB"/>
        </w:rPr>
      </w:pPr>
    </w:p>
    <w:p w14:paraId="3A45F83C" w14:textId="77777777" w:rsidR="008E1C47" w:rsidRPr="003E3613" w:rsidRDefault="008E1C47"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In order to conduct the necessary expert-level negotiations, the Hungarian Government has formed a working group. At the May 2017 session of this working group all the concerned foreign institutions requested the prolongation of the deadline set by the Higher Education Act. The same request was made by the Presidency of the Hungarian Rectors’ Conference, in order to grant a longer time period for compliance. The Venice Commission has explicitly welcomed this position in its related opinion. </w:t>
      </w:r>
    </w:p>
    <w:p w14:paraId="2950F901" w14:textId="77777777" w:rsidR="008E1C47" w:rsidRPr="003E3613" w:rsidRDefault="008E1C47" w:rsidP="00204696">
      <w:pPr>
        <w:spacing w:after="0"/>
        <w:jc w:val="both"/>
        <w:rPr>
          <w:rFonts w:ascii="Book Antiqua" w:hAnsi="Book Antiqua"/>
          <w:sz w:val="23"/>
          <w:szCs w:val="23"/>
          <w:lang w:val="en-GB"/>
        </w:rPr>
      </w:pPr>
    </w:p>
    <w:p w14:paraId="226D61B9" w14:textId="77777777" w:rsidR="008E1C47" w:rsidRPr="003E3613" w:rsidRDefault="008E1C47" w:rsidP="00204696">
      <w:pPr>
        <w:spacing w:after="0"/>
        <w:jc w:val="both"/>
        <w:rPr>
          <w:rFonts w:ascii="Book Antiqua" w:hAnsi="Book Antiqua"/>
          <w:sz w:val="23"/>
          <w:szCs w:val="23"/>
          <w:lang w:val="en-GB"/>
        </w:rPr>
      </w:pPr>
      <w:r w:rsidRPr="003E3613">
        <w:rPr>
          <w:rFonts w:ascii="Book Antiqua" w:hAnsi="Book Antiqua"/>
          <w:sz w:val="23"/>
          <w:szCs w:val="23"/>
          <w:lang w:val="en-GB"/>
        </w:rPr>
        <w:t>Fulfilling this request, and since the bilateral agreements were only finalized with two of the concerned institutions until that date – the McDaniel College of Maryland and the Heilongjiang University of China – the Hungarian Parliament decided to prolong the deadlines on 24 October 2017 upon the initiative of the Hungarian Government.</w:t>
      </w:r>
    </w:p>
    <w:p w14:paraId="594ABF30" w14:textId="77777777" w:rsidR="008E1C47" w:rsidRPr="003E3613" w:rsidRDefault="008E1C47" w:rsidP="00204696">
      <w:pPr>
        <w:spacing w:after="0"/>
        <w:jc w:val="both"/>
        <w:rPr>
          <w:rFonts w:ascii="Book Antiqua" w:hAnsi="Book Antiqua"/>
          <w:sz w:val="23"/>
          <w:szCs w:val="23"/>
          <w:lang w:val="en-GB"/>
        </w:rPr>
      </w:pPr>
    </w:p>
    <w:p w14:paraId="23956B22" w14:textId="77777777" w:rsidR="00BF0A28" w:rsidRPr="003E3613" w:rsidRDefault="00941AC1"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On 26 July 2018 </w:t>
      </w:r>
      <w:r w:rsidR="00DC067C" w:rsidRPr="003E3613">
        <w:rPr>
          <w:rFonts w:ascii="Book Antiqua" w:hAnsi="Book Antiqua"/>
          <w:sz w:val="23"/>
          <w:szCs w:val="23"/>
          <w:lang w:val="en-GB"/>
        </w:rPr>
        <w:t xml:space="preserve">a </w:t>
      </w:r>
      <w:r w:rsidRPr="003E3613">
        <w:rPr>
          <w:rFonts w:ascii="Book Antiqua" w:hAnsi="Book Antiqua"/>
          <w:sz w:val="23"/>
          <w:szCs w:val="23"/>
          <w:lang w:val="en-GB"/>
        </w:rPr>
        <w:t xml:space="preserve">bilateral treaty was signed between the Hungarian Government and </w:t>
      </w:r>
      <w:r w:rsidR="00167DAB" w:rsidRPr="003E3613">
        <w:rPr>
          <w:rFonts w:ascii="Book Antiqua" w:hAnsi="Book Antiqua"/>
          <w:sz w:val="23"/>
          <w:szCs w:val="23"/>
          <w:lang w:val="en-GB"/>
        </w:rPr>
        <w:t xml:space="preserve">the </w:t>
      </w:r>
      <w:r w:rsidRPr="003E3613">
        <w:rPr>
          <w:rFonts w:ascii="Book Antiqua" w:hAnsi="Book Antiqua"/>
          <w:sz w:val="23"/>
          <w:szCs w:val="23"/>
          <w:lang w:val="en-GB"/>
        </w:rPr>
        <w:t>State of Indiana. As</w:t>
      </w:r>
      <w:r w:rsidR="00BF0A28" w:rsidRPr="003E3613">
        <w:rPr>
          <w:rFonts w:ascii="Book Antiqua" w:hAnsi="Book Antiqua"/>
          <w:sz w:val="23"/>
          <w:szCs w:val="23"/>
          <w:lang w:val="en-GB"/>
        </w:rPr>
        <w:t xml:space="preserve"> a</w:t>
      </w:r>
      <w:r w:rsidRPr="003E3613">
        <w:rPr>
          <w:rFonts w:ascii="Book Antiqua" w:hAnsi="Book Antiqua"/>
          <w:sz w:val="23"/>
          <w:szCs w:val="23"/>
          <w:lang w:val="en-GB"/>
        </w:rPr>
        <w:t xml:space="preserve"> </w:t>
      </w:r>
      <w:r w:rsidR="00BF0A28" w:rsidRPr="003E3613">
        <w:rPr>
          <w:rFonts w:ascii="Book Antiqua" w:hAnsi="Book Antiqua"/>
          <w:sz w:val="23"/>
          <w:szCs w:val="23"/>
          <w:lang w:val="en-GB"/>
        </w:rPr>
        <w:t>result,</w:t>
      </w:r>
      <w:r w:rsidRPr="003E3613">
        <w:rPr>
          <w:rFonts w:ascii="Book Antiqua" w:hAnsi="Book Antiqua"/>
          <w:sz w:val="23"/>
          <w:szCs w:val="23"/>
          <w:lang w:val="en-GB"/>
        </w:rPr>
        <w:t xml:space="preserve"> </w:t>
      </w:r>
      <w:r w:rsidR="00BF0A28" w:rsidRPr="003E3613">
        <w:rPr>
          <w:rFonts w:ascii="Book Antiqua" w:hAnsi="Book Antiqua"/>
          <w:sz w:val="23"/>
          <w:szCs w:val="23"/>
          <w:lang w:val="en-GB"/>
        </w:rPr>
        <w:t>Notre Dame University will cooperate with Hungary’s Pázmány Péter University to offer courses in chemical and civil engineering</w:t>
      </w:r>
      <w:r w:rsidR="00DC067C" w:rsidRPr="003E3613">
        <w:rPr>
          <w:rFonts w:ascii="Book Antiqua" w:hAnsi="Book Antiqua"/>
          <w:sz w:val="23"/>
          <w:szCs w:val="23"/>
          <w:lang w:val="en-GB"/>
        </w:rPr>
        <w:t>,</w:t>
      </w:r>
      <w:r w:rsidR="00BF0A28" w:rsidRPr="003E3613">
        <w:rPr>
          <w:rFonts w:ascii="Book Antiqua" w:hAnsi="Book Antiqua"/>
          <w:sz w:val="23"/>
          <w:szCs w:val="23"/>
          <w:lang w:val="en-GB"/>
        </w:rPr>
        <w:t xml:space="preserve"> as well as</w:t>
      </w:r>
      <w:r w:rsidR="00DC067C" w:rsidRPr="003E3613">
        <w:rPr>
          <w:rFonts w:ascii="Book Antiqua" w:hAnsi="Book Antiqua"/>
          <w:sz w:val="23"/>
          <w:szCs w:val="23"/>
          <w:lang w:val="en-GB"/>
        </w:rPr>
        <w:t>,</w:t>
      </w:r>
      <w:r w:rsidR="00BF0A28" w:rsidRPr="003E3613">
        <w:rPr>
          <w:rFonts w:ascii="Book Antiqua" w:hAnsi="Book Antiqua"/>
          <w:sz w:val="23"/>
          <w:szCs w:val="23"/>
          <w:lang w:val="en-GB"/>
        </w:rPr>
        <w:t xml:space="preserve"> mechatronics. With this agreement signed</w:t>
      </w:r>
      <w:r w:rsidR="00DC067C" w:rsidRPr="003E3613">
        <w:rPr>
          <w:rFonts w:ascii="Book Antiqua" w:hAnsi="Book Antiqua"/>
          <w:sz w:val="23"/>
          <w:szCs w:val="23"/>
          <w:lang w:val="en-GB"/>
        </w:rPr>
        <w:t>,</w:t>
      </w:r>
      <w:r w:rsidR="00BF0A28" w:rsidRPr="003E3613">
        <w:rPr>
          <w:rFonts w:ascii="Book Antiqua" w:hAnsi="Book Antiqua"/>
          <w:sz w:val="23"/>
          <w:szCs w:val="23"/>
          <w:lang w:val="en-GB"/>
        </w:rPr>
        <w:t xml:space="preserve"> the number of non-EEA higher education institutions</w:t>
      </w:r>
      <w:r w:rsidR="006D1C4F" w:rsidRPr="003E3613">
        <w:rPr>
          <w:rFonts w:ascii="Book Antiqua" w:hAnsi="Book Antiqua"/>
          <w:sz w:val="23"/>
          <w:szCs w:val="23"/>
          <w:lang w:val="en-GB"/>
        </w:rPr>
        <w:t xml:space="preserve"> will</w:t>
      </w:r>
      <w:r w:rsidR="00BF0A28" w:rsidRPr="003E3613">
        <w:rPr>
          <w:rFonts w:ascii="Book Antiqua" w:hAnsi="Book Antiqua"/>
          <w:sz w:val="23"/>
          <w:szCs w:val="23"/>
          <w:lang w:val="en-GB"/>
        </w:rPr>
        <w:t xml:space="preserve"> increase to </w:t>
      </w:r>
      <w:r w:rsidR="00DC228D" w:rsidRPr="003E3613">
        <w:rPr>
          <w:rFonts w:ascii="Book Antiqua" w:hAnsi="Book Antiqua"/>
          <w:sz w:val="23"/>
          <w:szCs w:val="23"/>
          <w:lang w:val="en-GB"/>
        </w:rPr>
        <w:t>seven</w:t>
      </w:r>
      <w:r w:rsidR="00BF0A28" w:rsidRPr="003E3613">
        <w:rPr>
          <w:rFonts w:ascii="Book Antiqua" w:hAnsi="Book Antiqua"/>
          <w:sz w:val="23"/>
          <w:szCs w:val="23"/>
          <w:lang w:val="en-GB"/>
        </w:rPr>
        <w:t>.</w:t>
      </w:r>
    </w:p>
    <w:p w14:paraId="363BB0E6" w14:textId="77777777" w:rsidR="00A76D60" w:rsidRPr="003E3613" w:rsidRDefault="00A76D60" w:rsidP="00204696">
      <w:pPr>
        <w:spacing w:after="0"/>
        <w:jc w:val="both"/>
        <w:rPr>
          <w:rFonts w:ascii="Book Antiqua" w:hAnsi="Book Antiqua"/>
          <w:sz w:val="23"/>
          <w:szCs w:val="23"/>
          <w:lang w:val="en-GB"/>
        </w:rPr>
      </w:pPr>
    </w:p>
    <w:p w14:paraId="2AFE2E37" w14:textId="77777777" w:rsidR="00A76D60" w:rsidRPr="003E3613" w:rsidRDefault="00A76D60"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As regards the Central </w:t>
      </w:r>
      <w:r w:rsidR="00E8081E" w:rsidRPr="003E3613">
        <w:rPr>
          <w:rFonts w:ascii="Book Antiqua" w:hAnsi="Book Antiqua"/>
          <w:sz w:val="23"/>
          <w:szCs w:val="23"/>
          <w:lang w:val="en-GB"/>
        </w:rPr>
        <w:t>E</w:t>
      </w:r>
      <w:r w:rsidRPr="003E3613">
        <w:rPr>
          <w:rFonts w:ascii="Book Antiqua" w:hAnsi="Book Antiqua"/>
          <w:sz w:val="23"/>
          <w:szCs w:val="23"/>
          <w:lang w:val="en-GB"/>
        </w:rPr>
        <w:t>uropean University</w:t>
      </w:r>
      <w:r w:rsidR="005A2C09" w:rsidRPr="003E3613">
        <w:rPr>
          <w:rFonts w:ascii="Book Antiqua" w:hAnsi="Book Antiqua"/>
          <w:sz w:val="23"/>
          <w:szCs w:val="23"/>
          <w:lang w:val="en-GB"/>
        </w:rPr>
        <w:t>,</w:t>
      </w:r>
      <w:r w:rsidRPr="003E3613">
        <w:rPr>
          <w:rFonts w:ascii="Book Antiqua" w:hAnsi="Book Antiqua"/>
          <w:sz w:val="23"/>
          <w:szCs w:val="23"/>
          <w:lang w:val="en-GB"/>
        </w:rPr>
        <w:t xml:space="preserve"> it is important to note that the name in English actually covers two institutions</w:t>
      </w:r>
      <w:r w:rsidR="00C20C0D" w:rsidRPr="003E3613">
        <w:rPr>
          <w:rFonts w:ascii="Book Antiqua" w:hAnsi="Book Antiqua"/>
          <w:sz w:val="23"/>
          <w:szCs w:val="23"/>
          <w:lang w:val="en-GB"/>
        </w:rPr>
        <w:t xml:space="preserve"> that operate together</w:t>
      </w:r>
      <w:r w:rsidRPr="003E3613">
        <w:rPr>
          <w:rFonts w:ascii="Book Antiqua" w:hAnsi="Book Antiqua"/>
          <w:sz w:val="23"/>
          <w:szCs w:val="23"/>
          <w:lang w:val="en-GB"/>
        </w:rPr>
        <w:t>: the Közép-európai Egyetem (KEE) and the Central European University (CEU). Közép-európai Egyetem (KEE</w:t>
      </w:r>
      <w:r w:rsidR="002227E1" w:rsidRPr="003E3613">
        <w:rPr>
          <w:rFonts w:ascii="Book Antiqua" w:hAnsi="Book Antiqua"/>
          <w:sz w:val="23"/>
          <w:szCs w:val="23"/>
          <w:lang w:val="en-GB"/>
        </w:rPr>
        <w:t xml:space="preserve"> </w:t>
      </w:r>
      <w:r w:rsidRPr="003E3613">
        <w:rPr>
          <w:rFonts w:ascii="Book Antiqua" w:hAnsi="Book Antiqua"/>
          <w:sz w:val="23"/>
          <w:szCs w:val="23"/>
          <w:lang w:val="en-GB"/>
        </w:rPr>
        <w:t>= Hungarian translation of the name “Central European University”</w:t>
      </w:r>
      <w:r w:rsidR="002227E1" w:rsidRPr="003E3613">
        <w:rPr>
          <w:rFonts w:ascii="Book Antiqua" w:hAnsi="Book Antiqua"/>
          <w:sz w:val="23"/>
          <w:szCs w:val="23"/>
          <w:lang w:val="en-GB"/>
        </w:rPr>
        <w:t xml:space="preserve"> as abbreviated)</w:t>
      </w:r>
      <w:r w:rsidRPr="003E3613">
        <w:rPr>
          <w:rFonts w:ascii="Book Antiqua" w:hAnsi="Book Antiqua"/>
          <w:sz w:val="23"/>
          <w:szCs w:val="23"/>
          <w:lang w:val="en-GB"/>
        </w:rPr>
        <w:t xml:space="preserve"> is a </w:t>
      </w:r>
      <w:r w:rsidR="005A2C09" w:rsidRPr="003E3613">
        <w:rPr>
          <w:rFonts w:ascii="Book Antiqua" w:hAnsi="Book Antiqua"/>
          <w:sz w:val="23"/>
          <w:szCs w:val="23"/>
          <w:lang w:val="en-GB"/>
        </w:rPr>
        <w:t xml:space="preserve">„public benefit purpose entity”, thus a </w:t>
      </w:r>
      <w:r w:rsidRPr="003E3613">
        <w:rPr>
          <w:rFonts w:ascii="Book Antiqua" w:hAnsi="Book Antiqua"/>
          <w:sz w:val="23"/>
          <w:szCs w:val="23"/>
          <w:lang w:val="en-GB"/>
        </w:rPr>
        <w:t xml:space="preserve">privately-operated Hungarian higher education institution recognised by the </w:t>
      </w:r>
      <w:r w:rsidR="00742F87" w:rsidRPr="003E3613">
        <w:rPr>
          <w:rFonts w:ascii="Book Antiqua" w:hAnsi="Book Antiqua"/>
          <w:sz w:val="23"/>
          <w:szCs w:val="23"/>
          <w:lang w:val="en-GB"/>
        </w:rPr>
        <w:t xml:space="preserve">Hungarian </w:t>
      </w:r>
      <w:r w:rsidRPr="003E3613">
        <w:rPr>
          <w:rFonts w:ascii="Book Antiqua" w:hAnsi="Book Antiqua"/>
          <w:sz w:val="23"/>
          <w:szCs w:val="23"/>
          <w:lang w:val="en-GB"/>
        </w:rPr>
        <w:t xml:space="preserve">state and the </w:t>
      </w:r>
      <w:r w:rsidR="00AC6807" w:rsidRPr="003E3613">
        <w:rPr>
          <w:rFonts w:ascii="Book Antiqua" w:hAnsi="Book Antiqua"/>
          <w:sz w:val="23"/>
          <w:szCs w:val="23"/>
          <w:lang w:val="en-GB"/>
        </w:rPr>
        <w:t>Act</w:t>
      </w:r>
      <w:r w:rsidRPr="003E3613">
        <w:rPr>
          <w:rFonts w:ascii="Book Antiqua" w:hAnsi="Book Antiqua"/>
          <w:sz w:val="23"/>
          <w:szCs w:val="23"/>
          <w:lang w:val="en-GB"/>
        </w:rPr>
        <w:t xml:space="preserve"> on National Higher Education. The amendment of the National Higher Education Act </w:t>
      </w:r>
      <w:r w:rsidR="00C20C0D" w:rsidRPr="003E3613">
        <w:rPr>
          <w:rFonts w:ascii="Book Antiqua" w:hAnsi="Book Antiqua"/>
          <w:sz w:val="23"/>
          <w:szCs w:val="23"/>
          <w:lang w:val="en-GB"/>
        </w:rPr>
        <w:t>related to the establishment and operation</w:t>
      </w:r>
      <w:r w:rsidRPr="003E3613">
        <w:rPr>
          <w:rFonts w:ascii="Book Antiqua" w:hAnsi="Book Antiqua"/>
          <w:sz w:val="23"/>
          <w:szCs w:val="23"/>
          <w:lang w:val="en-GB"/>
        </w:rPr>
        <w:t xml:space="preserve"> </w:t>
      </w:r>
      <w:r w:rsidR="00C20C0D" w:rsidRPr="003E3613">
        <w:rPr>
          <w:rFonts w:ascii="Book Antiqua" w:hAnsi="Book Antiqua"/>
          <w:sz w:val="23"/>
          <w:szCs w:val="23"/>
          <w:lang w:val="en-GB"/>
        </w:rPr>
        <w:t xml:space="preserve">of </w:t>
      </w:r>
      <w:r w:rsidRPr="003E3613">
        <w:rPr>
          <w:rFonts w:ascii="Book Antiqua" w:hAnsi="Book Antiqua"/>
          <w:sz w:val="23"/>
          <w:szCs w:val="23"/>
          <w:lang w:val="en-GB"/>
        </w:rPr>
        <w:t>foreign higher education</w:t>
      </w:r>
      <w:r w:rsidR="00C20C0D" w:rsidRPr="003E3613">
        <w:rPr>
          <w:rFonts w:ascii="Book Antiqua" w:hAnsi="Book Antiqua"/>
          <w:sz w:val="23"/>
          <w:szCs w:val="23"/>
          <w:lang w:val="en-GB"/>
        </w:rPr>
        <w:t xml:space="preserve"> institutions in Hungary</w:t>
      </w:r>
      <w:r w:rsidRPr="003E3613">
        <w:rPr>
          <w:rFonts w:ascii="Book Antiqua" w:hAnsi="Book Antiqua"/>
          <w:sz w:val="23"/>
          <w:szCs w:val="23"/>
          <w:lang w:val="en-GB"/>
        </w:rPr>
        <w:t xml:space="preserve"> never </w:t>
      </w:r>
      <w:r w:rsidR="00C20C0D" w:rsidRPr="003E3613">
        <w:rPr>
          <w:rFonts w:ascii="Book Antiqua" w:hAnsi="Book Antiqua"/>
          <w:sz w:val="23"/>
          <w:szCs w:val="23"/>
          <w:lang w:val="en-GB"/>
        </w:rPr>
        <w:t>concerned this</w:t>
      </w:r>
      <w:r w:rsidRPr="003E3613">
        <w:rPr>
          <w:rFonts w:ascii="Book Antiqua" w:hAnsi="Book Antiqua"/>
          <w:sz w:val="23"/>
          <w:szCs w:val="23"/>
          <w:lang w:val="en-GB"/>
        </w:rPr>
        <w:t xml:space="preserve"> institution</w:t>
      </w:r>
      <w:r w:rsidR="00C20C0D" w:rsidRPr="003E3613">
        <w:rPr>
          <w:rFonts w:ascii="Book Antiqua" w:hAnsi="Book Antiqua"/>
          <w:sz w:val="23"/>
          <w:szCs w:val="23"/>
          <w:lang w:val="en-GB"/>
        </w:rPr>
        <w:t>. The</w:t>
      </w:r>
      <w:r w:rsidRPr="003E3613">
        <w:rPr>
          <w:rFonts w:ascii="Book Antiqua" w:hAnsi="Book Antiqua"/>
          <w:sz w:val="23"/>
          <w:szCs w:val="23"/>
          <w:lang w:val="en-GB"/>
        </w:rPr>
        <w:t xml:space="preserve"> Central European </w:t>
      </w:r>
      <w:r w:rsidRPr="003E3613">
        <w:rPr>
          <w:rFonts w:ascii="Book Antiqua" w:hAnsi="Book Antiqua"/>
          <w:sz w:val="23"/>
          <w:szCs w:val="23"/>
          <w:lang w:val="en-GB"/>
        </w:rPr>
        <w:lastRenderedPageBreak/>
        <w:t xml:space="preserve">University, New York (CEU) exists as an entity jointly operated with the </w:t>
      </w:r>
      <w:r w:rsidR="00C20C0D" w:rsidRPr="003E3613">
        <w:rPr>
          <w:rFonts w:ascii="Book Antiqua" w:hAnsi="Book Antiqua"/>
          <w:sz w:val="23"/>
          <w:szCs w:val="23"/>
          <w:lang w:val="en-GB"/>
        </w:rPr>
        <w:t>Közép-európai Egyetem</w:t>
      </w:r>
      <w:r w:rsidR="002227E1" w:rsidRPr="003E3613">
        <w:rPr>
          <w:rFonts w:ascii="Book Antiqua" w:hAnsi="Book Antiqua"/>
          <w:sz w:val="23"/>
          <w:szCs w:val="23"/>
          <w:lang w:val="en-GB"/>
        </w:rPr>
        <w:t xml:space="preserve"> (KEE)</w:t>
      </w:r>
      <w:r w:rsidRPr="003E3613">
        <w:rPr>
          <w:rFonts w:ascii="Book Antiqua" w:hAnsi="Book Antiqua"/>
          <w:sz w:val="23"/>
          <w:szCs w:val="23"/>
          <w:lang w:val="en-GB"/>
        </w:rPr>
        <w:t xml:space="preserve">, and is a foreign higher education </w:t>
      </w:r>
      <w:r w:rsidR="00C20C0D" w:rsidRPr="003E3613">
        <w:rPr>
          <w:rFonts w:ascii="Book Antiqua" w:hAnsi="Book Antiqua"/>
          <w:sz w:val="23"/>
          <w:szCs w:val="23"/>
          <w:lang w:val="en-GB"/>
        </w:rPr>
        <w:t>institution according to the Act on National Higher Education.</w:t>
      </w:r>
    </w:p>
    <w:p w14:paraId="743FB278" w14:textId="77777777" w:rsidR="00941AC1" w:rsidRPr="003E3613" w:rsidRDefault="002D6C7E" w:rsidP="00204696">
      <w:pPr>
        <w:spacing w:after="0"/>
        <w:jc w:val="both"/>
        <w:rPr>
          <w:rFonts w:ascii="Book Antiqua" w:hAnsi="Book Antiqua"/>
          <w:sz w:val="23"/>
          <w:szCs w:val="23"/>
          <w:lang w:val="en-GB"/>
        </w:rPr>
      </w:pPr>
      <w:r w:rsidRPr="003E3613">
        <w:rPr>
          <w:rFonts w:ascii="Book Antiqua" w:hAnsi="Book Antiqua"/>
          <w:sz w:val="23"/>
          <w:szCs w:val="23"/>
          <w:lang w:val="en-GB"/>
        </w:rPr>
        <w:t>It must be pointed out that the Hungarian “Közép-európai Egyetem” – unlike its American counterpart – issues Hungarian diplomas under the Bologna System, in line with EU standards of quality assurance</w:t>
      </w:r>
      <w:r w:rsidR="00742F87" w:rsidRPr="003E3613">
        <w:rPr>
          <w:rFonts w:ascii="Book Antiqua" w:hAnsi="Book Antiqua"/>
          <w:sz w:val="23"/>
          <w:szCs w:val="23"/>
          <w:lang w:val="en-GB"/>
        </w:rPr>
        <w:t>. In case</w:t>
      </w:r>
      <w:r w:rsidRPr="003E3613">
        <w:rPr>
          <w:rFonts w:ascii="Book Antiqua" w:hAnsi="Book Antiqua"/>
          <w:sz w:val="23"/>
          <w:szCs w:val="23"/>
          <w:lang w:val="en-GB"/>
        </w:rPr>
        <w:t xml:space="preserve"> the Hungarian diploma is issued in English and the institution’s name is also translated</w:t>
      </w:r>
      <w:r w:rsidR="00742F87" w:rsidRPr="003E3613">
        <w:rPr>
          <w:rFonts w:ascii="Book Antiqua" w:hAnsi="Book Antiqua"/>
          <w:sz w:val="23"/>
          <w:szCs w:val="23"/>
          <w:lang w:val="en-GB"/>
        </w:rPr>
        <w:t xml:space="preserve"> into English</w:t>
      </w:r>
      <w:r w:rsidRPr="003E3613">
        <w:rPr>
          <w:rFonts w:ascii="Book Antiqua" w:hAnsi="Book Antiqua"/>
          <w:sz w:val="23"/>
          <w:szCs w:val="23"/>
          <w:lang w:val="en-GB"/>
        </w:rPr>
        <w:t>, it is confusing and unclear</w:t>
      </w:r>
      <w:r w:rsidR="00742F87" w:rsidRPr="003E3613">
        <w:rPr>
          <w:rFonts w:ascii="Book Antiqua" w:hAnsi="Book Antiqua"/>
          <w:sz w:val="23"/>
          <w:szCs w:val="23"/>
          <w:lang w:val="en-GB"/>
        </w:rPr>
        <w:t xml:space="preserve"> which institution issued the diploma</w:t>
      </w:r>
      <w:r w:rsidRPr="003E3613">
        <w:rPr>
          <w:rFonts w:ascii="Book Antiqua" w:hAnsi="Book Antiqua"/>
          <w:sz w:val="23"/>
          <w:szCs w:val="23"/>
          <w:lang w:val="en-GB"/>
        </w:rPr>
        <w:t>.</w:t>
      </w:r>
      <w:r w:rsidR="00742F87" w:rsidRPr="003E3613">
        <w:rPr>
          <w:rFonts w:ascii="Book Antiqua" w:hAnsi="Book Antiqua"/>
          <w:sz w:val="23"/>
          <w:szCs w:val="23"/>
          <w:lang w:val="en-GB"/>
        </w:rPr>
        <w:t xml:space="preserve"> One of the aims of t</w:t>
      </w:r>
      <w:r w:rsidRPr="003E3613">
        <w:rPr>
          <w:rFonts w:ascii="Book Antiqua" w:hAnsi="Book Antiqua"/>
          <w:sz w:val="23"/>
          <w:szCs w:val="23"/>
          <w:lang w:val="en-GB"/>
        </w:rPr>
        <w:t xml:space="preserve">he amendment of the </w:t>
      </w:r>
      <w:r w:rsidR="00742F87" w:rsidRPr="003E3613">
        <w:rPr>
          <w:rFonts w:ascii="Book Antiqua" w:hAnsi="Book Antiqua"/>
          <w:sz w:val="23"/>
          <w:szCs w:val="23"/>
          <w:lang w:val="en-GB"/>
        </w:rPr>
        <w:t xml:space="preserve">National </w:t>
      </w:r>
      <w:r w:rsidRPr="003E3613">
        <w:rPr>
          <w:rFonts w:ascii="Book Antiqua" w:hAnsi="Book Antiqua"/>
          <w:sz w:val="23"/>
          <w:szCs w:val="23"/>
          <w:lang w:val="en-GB"/>
        </w:rPr>
        <w:t>Higher Education Act</w:t>
      </w:r>
      <w:r w:rsidR="00742F87" w:rsidRPr="003E3613">
        <w:rPr>
          <w:rFonts w:ascii="Book Antiqua" w:hAnsi="Book Antiqua"/>
          <w:sz w:val="23"/>
          <w:szCs w:val="23"/>
          <w:lang w:val="en-GB"/>
        </w:rPr>
        <w:t xml:space="preserve"> - regulating among</w:t>
      </w:r>
      <w:r w:rsidR="002227E1" w:rsidRPr="003E3613">
        <w:rPr>
          <w:rFonts w:ascii="Book Antiqua" w:hAnsi="Book Antiqua"/>
          <w:sz w:val="23"/>
          <w:szCs w:val="23"/>
          <w:lang w:val="en-GB"/>
        </w:rPr>
        <w:t>st</w:t>
      </w:r>
      <w:r w:rsidR="00742F87" w:rsidRPr="003E3613">
        <w:rPr>
          <w:rFonts w:ascii="Book Antiqua" w:hAnsi="Book Antiqua"/>
          <w:sz w:val="23"/>
          <w:szCs w:val="23"/>
          <w:lang w:val="en-GB"/>
        </w:rPr>
        <w:t xml:space="preserve"> others that higher education institutions should not bear the same name as other higher education institutions -</w:t>
      </w:r>
      <w:r w:rsidRPr="003E3613">
        <w:rPr>
          <w:rFonts w:ascii="Book Antiqua" w:hAnsi="Book Antiqua"/>
          <w:sz w:val="23"/>
          <w:szCs w:val="23"/>
          <w:lang w:val="en-GB"/>
        </w:rPr>
        <w:t xml:space="preserve"> </w:t>
      </w:r>
      <w:r w:rsidR="00742F87" w:rsidRPr="003E3613">
        <w:rPr>
          <w:rFonts w:ascii="Book Antiqua" w:hAnsi="Book Antiqua"/>
          <w:sz w:val="23"/>
          <w:szCs w:val="23"/>
          <w:lang w:val="en-GB"/>
        </w:rPr>
        <w:t>was</w:t>
      </w:r>
      <w:r w:rsidRPr="003E3613">
        <w:rPr>
          <w:rFonts w:ascii="Book Antiqua" w:hAnsi="Book Antiqua"/>
          <w:sz w:val="23"/>
          <w:szCs w:val="23"/>
          <w:lang w:val="en-GB"/>
        </w:rPr>
        <w:t xml:space="preserve"> meant to </w:t>
      </w:r>
      <w:r w:rsidR="00742F87" w:rsidRPr="003E3613">
        <w:rPr>
          <w:rFonts w:ascii="Book Antiqua" w:hAnsi="Book Antiqua"/>
          <w:sz w:val="23"/>
          <w:szCs w:val="23"/>
          <w:lang w:val="en-GB"/>
        </w:rPr>
        <w:t>remedy such shortcomings.</w:t>
      </w:r>
      <w:r w:rsidR="00F1733E" w:rsidRPr="003E3613">
        <w:rPr>
          <w:rFonts w:ascii="Book Antiqua" w:hAnsi="Book Antiqua"/>
          <w:sz w:val="23"/>
          <w:szCs w:val="23"/>
          <w:lang w:val="en-GB"/>
        </w:rPr>
        <w:t xml:space="preserve"> It should be highlighted that the Central European University d</w:t>
      </w:r>
      <w:r w:rsidR="005A2C09" w:rsidRPr="003E3613">
        <w:rPr>
          <w:rFonts w:ascii="Book Antiqua" w:hAnsi="Book Antiqua"/>
          <w:sz w:val="23"/>
          <w:szCs w:val="23"/>
          <w:lang w:val="en-GB"/>
        </w:rPr>
        <w:t xml:space="preserve">id </w:t>
      </w:r>
      <w:r w:rsidR="00F1733E" w:rsidRPr="003E3613">
        <w:rPr>
          <w:rFonts w:ascii="Book Antiqua" w:hAnsi="Book Antiqua"/>
          <w:sz w:val="23"/>
          <w:szCs w:val="23"/>
          <w:lang w:val="en-GB"/>
        </w:rPr>
        <w:t xml:space="preserve">not carry out </w:t>
      </w:r>
      <w:r w:rsidR="00A6286C" w:rsidRPr="003E3613">
        <w:rPr>
          <w:rFonts w:ascii="Book Antiqua" w:hAnsi="Book Antiqua"/>
          <w:sz w:val="23"/>
          <w:szCs w:val="23"/>
          <w:lang w:val="en-GB"/>
        </w:rPr>
        <w:t xml:space="preserve">education activity in the US, only in Budapest </w:t>
      </w:r>
      <w:r w:rsidR="00E367B5" w:rsidRPr="003E3613">
        <w:rPr>
          <w:rFonts w:ascii="Book Antiqua" w:hAnsi="Book Antiqua"/>
          <w:sz w:val="23"/>
          <w:szCs w:val="23"/>
          <w:lang w:val="en-GB"/>
        </w:rPr>
        <w:t xml:space="preserve">while issuing an American diploma. </w:t>
      </w:r>
    </w:p>
    <w:p w14:paraId="4AAE922A" w14:textId="77777777" w:rsidR="00F1733E" w:rsidRPr="003E3613" w:rsidRDefault="00F1733E" w:rsidP="00204696">
      <w:pPr>
        <w:spacing w:after="0"/>
        <w:jc w:val="both"/>
        <w:rPr>
          <w:rFonts w:ascii="Book Antiqua" w:hAnsi="Book Antiqua"/>
          <w:sz w:val="23"/>
          <w:szCs w:val="23"/>
          <w:lang w:val="en-GB"/>
        </w:rPr>
      </w:pPr>
    </w:p>
    <w:p w14:paraId="18C3884D" w14:textId="77777777" w:rsidR="00660031" w:rsidRDefault="006D2C36" w:rsidP="00204696">
      <w:pPr>
        <w:spacing w:after="0"/>
        <w:jc w:val="both"/>
        <w:rPr>
          <w:rFonts w:ascii="Book Antiqua" w:hAnsi="Book Antiqua"/>
          <w:sz w:val="23"/>
          <w:szCs w:val="23"/>
          <w:lang w:val="en-GB"/>
        </w:rPr>
      </w:pPr>
      <w:r w:rsidRPr="003E3613">
        <w:rPr>
          <w:rFonts w:ascii="Book Antiqua" w:hAnsi="Book Antiqua"/>
          <w:sz w:val="23"/>
          <w:szCs w:val="23"/>
          <w:lang w:val="en-GB"/>
        </w:rPr>
        <w:t>The</w:t>
      </w:r>
      <w:r w:rsidR="008E1C47" w:rsidRPr="003E3613">
        <w:rPr>
          <w:rFonts w:ascii="Book Antiqua" w:hAnsi="Book Antiqua"/>
          <w:sz w:val="23"/>
          <w:szCs w:val="23"/>
          <w:lang w:val="en-GB"/>
        </w:rPr>
        <w:t xml:space="preserve"> Central European Universit</w:t>
      </w:r>
      <w:r w:rsidRPr="003E3613">
        <w:rPr>
          <w:rFonts w:ascii="Book Antiqua" w:hAnsi="Book Antiqua"/>
          <w:sz w:val="23"/>
          <w:szCs w:val="23"/>
          <w:lang w:val="en-GB"/>
        </w:rPr>
        <w:t>y</w:t>
      </w:r>
      <w:r w:rsidR="008E1C47" w:rsidRPr="003E3613">
        <w:rPr>
          <w:rFonts w:ascii="Book Antiqua" w:hAnsi="Book Antiqua"/>
          <w:sz w:val="23"/>
          <w:szCs w:val="23"/>
          <w:lang w:val="en-GB"/>
        </w:rPr>
        <w:t xml:space="preserve"> has signed an agreement with the Bard College of New York on 8 September 2017, in order to fulfil the requirement of conducting actual education activities in the State of New York. According to the agreement, CEU will start a bachelor level higher education activity in New York, for which the Bard College will grant the necessary infrastructure (campus). However, it is important to emphasize that by concluding this agreement after the start of the academic year in September 2017, the CEU still did</w:t>
      </w:r>
      <w:r w:rsidR="00711EC7" w:rsidRPr="003E3613">
        <w:rPr>
          <w:rFonts w:ascii="Book Antiqua" w:hAnsi="Book Antiqua"/>
          <w:sz w:val="23"/>
          <w:szCs w:val="23"/>
          <w:lang w:val="en-GB"/>
        </w:rPr>
        <w:t xml:space="preserve"> no</w:t>
      </w:r>
      <w:r w:rsidR="008E1C47" w:rsidRPr="003E3613">
        <w:rPr>
          <w:rFonts w:ascii="Book Antiqua" w:hAnsi="Book Antiqua"/>
          <w:sz w:val="23"/>
          <w:szCs w:val="23"/>
          <w:lang w:val="en-GB"/>
        </w:rPr>
        <w:t xml:space="preserve">t immediately fulfil the requirement in question, since the actual </w:t>
      </w:r>
    </w:p>
    <w:p w14:paraId="523E0F0F" w14:textId="77777777" w:rsidR="00660031" w:rsidRDefault="00660031">
      <w:pPr>
        <w:rPr>
          <w:rFonts w:ascii="Book Antiqua" w:hAnsi="Book Antiqua"/>
          <w:sz w:val="23"/>
          <w:szCs w:val="23"/>
          <w:lang w:val="en-GB"/>
        </w:rPr>
      </w:pPr>
      <w:r>
        <w:rPr>
          <w:rFonts w:ascii="Book Antiqua" w:hAnsi="Book Antiqua"/>
          <w:sz w:val="23"/>
          <w:szCs w:val="23"/>
          <w:lang w:val="en-GB"/>
        </w:rPr>
        <w:br w:type="page"/>
      </w:r>
    </w:p>
    <w:p w14:paraId="262A36BE" w14:textId="2050AE5E" w:rsidR="006D2C36" w:rsidRPr="003E3613" w:rsidRDefault="008E1C47"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 xml:space="preserve">educational activities at the </w:t>
      </w:r>
      <w:r w:rsidR="002227E1" w:rsidRPr="003E3613">
        <w:rPr>
          <w:rFonts w:ascii="Book Antiqua" w:hAnsi="Book Antiqua"/>
          <w:sz w:val="23"/>
          <w:szCs w:val="23"/>
          <w:lang w:val="en-GB"/>
        </w:rPr>
        <w:t xml:space="preserve">Bard </w:t>
      </w:r>
      <w:r w:rsidRPr="003E3613">
        <w:rPr>
          <w:rFonts w:ascii="Book Antiqua" w:hAnsi="Book Antiqua"/>
          <w:sz w:val="23"/>
          <w:szCs w:val="23"/>
          <w:lang w:val="en-GB"/>
        </w:rPr>
        <w:t xml:space="preserve">College could </w:t>
      </w:r>
      <w:r w:rsidR="002227E1" w:rsidRPr="003E3613">
        <w:rPr>
          <w:rFonts w:ascii="Book Antiqua" w:hAnsi="Book Antiqua"/>
          <w:sz w:val="23"/>
          <w:szCs w:val="23"/>
          <w:lang w:val="en-GB"/>
        </w:rPr>
        <w:t xml:space="preserve">have </w:t>
      </w:r>
      <w:r w:rsidRPr="003E3613">
        <w:rPr>
          <w:rFonts w:ascii="Book Antiqua" w:hAnsi="Book Antiqua"/>
          <w:sz w:val="23"/>
          <w:szCs w:val="23"/>
          <w:lang w:val="en-GB"/>
        </w:rPr>
        <w:t>only start</w:t>
      </w:r>
      <w:r w:rsidR="002227E1" w:rsidRPr="003E3613">
        <w:rPr>
          <w:rFonts w:ascii="Book Antiqua" w:hAnsi="Book Antiqua"/>
          <w:sz w:val="23"/>
          <w:szCs w:val="23"/>
          <w:lang w:val="en-GB"/>
        </w:rPr>
        <w:t>ed</w:t>
      </w:r>
      <w:r w:rsidRPr="003E3613">
        <w:rPr>
          <w:rFonts w:ascii="Book Antiqua" w:hAnsi="Book Antiqua"/>
          <w:sz w:val="23"/>
          <w:szCs w:val="23"/>
          <w:lang w:val="en-GB"/>
        </w:rPr>
        <w:t xml:space="preserve"> in the </w:t>
      </w:r>
      <w:r w:rsidR="00522CE5" w:rsidRPr="003E3613">
        <w:rPr>
          <w:rFonts w:ascii="Book Antiqua" w:hAnsi="Book Antiqua"/>
          <w:sz w:val="23"/>
          <w:szCs w:val="23"/>
          <w:lang w:val="en-GB"/>
        </w:rPr>
        <w:t>spring</w:t>
      </w:r>
      <w:r w:rsidRPr="003E3613">
        <w:rPr>
          <w:rFonts w:ascii="Book Antiqua" w:hAnsi="Book Antiqua"/>
          <w:sz w:val="23"/>
          <w:szCs w:val="23"/>
          <w:lang w:val="en-GB"/>
        </w:rPr>
        <w:t xml:space="preserve"> semester of 2018. </w:t>
      </w:r>
    </w:p>
    <w:p w14:paraId="3C82D690" w14:textId="77777777" w:rsidR="002A734E" w:rsidRPr="003E3613" w:rsidRDefault="002A734E" w:rsidP="00204696">
      <w:pPr>
        <w:spacing w:after="0"/>
        <w:jc w:val="both"/>
        <w:rPr>
          <w:rFonts w:ascii="Book Antiqua" w:hAnsi="Book Antiqua"/>
          <w:sz w:val="23"/>
          <w:szCs w:val="23"/>
          <w:lang w:val="en-GB"/>
        </w:rPr>
      </w:pPr>
    </w:p>
    <w:p w14:paraId="026E2D5B" w14:textId="308B37C1" w:rsidR="002A734E" w:rsidRPr="003E3613" w:rsidRDefault="002A734E" w:rsidP="00204696">
      <w:pPr>
        <w:spacing w:after="0"/>
        <w:jc w:val="both"/>
        <w:rPr>
          <w:rFonts w:ascii="Book Antiqua" w:hAnsi="Book Antiqua"/>
          <w:sz w:val="23"/>
          <w:szCs w:val="23"/>
          <w:lang w:val="en-GB"/>
        </w:rPr>
      </w:pPr>
      <w:r w:rsidRPr="003E3613">
        <w:rPr>
          <w:rFonts w:ascii="Book Antiqua" w:hAnsi="Book Antiqua"/>
          <w:sz w:val="23"/>
          <w:szCs w:val="23"/>
          <w:lang w:val="en-GB"/>
        </w:rPr>
        <w:t>At their 23 June 2018 meeting the Board of Trustees of the institution authorized CEU to open recruitment for Budapest for the academic year 2019-2020, according to the University’s regular recruitment schedule. This move of the university obviously demonstrates that the CEU will remain in Hungary in the future, as well.</w:t>
      </w:r>
    </w:p>
    <w:p w14:paraId="57CEA3C5" w14:textId="77777777" w:rsidR="002A734E" w:rsidRPr="003E3613" w:rsidRDefault="002A734E" w:rsidP="00204696">
      <w:pPr>
        <w:spacing w:after="0"/>
        <w:jc w:val="both"/>
        <w:rPr>
          <w:rFonts w:ascii="Book Antiqua" w:hAnsi="Book Antiqua"/>
          <w:sz w:val="23"/>
          <w:szCs w:val="23"/>
          <w:lang w:val="en-GB"/>
        </w:rPr>
      </w:pPr>
    </w:p>
    <w:p w14:paraId="2D6DA0C0" w14:textId="77777777" w:rsidR="002A734E" w:rsidRPr="003E3613" w:rsidRDefault="002A734E" w:rsidP="00204696">
      <w:pPr>
        <w:spacing w:after="0"/>
        <w:jc w:val="both"/>
        <w:rPr>
          <w:rFonts w:ascii="Book Antiqua" w:hAnsi="Book Antiqua"/>
          <w:sz w:val="23"/>
          <w:szCs w:val="23"/>
          <w:lang w:val="en-GB"/>
        </w:rPr>
      </w:pPr>
      <w:r w:rsidRPr="003E3613">
        <w:rPr>
          <w:rFonts w:ascii="Book Antiqua" w:hAnsi="Book Antiqua"/>
          <w:sz w:val="23"/>
          <w:szCs w:val="23"/>
          <w:lang w:val="en-GB"/>
        </w:rPr>
        <w:t>In a letter, dated 19 March 2019 and addressed to the State Government of Bavaria, Prime Minister Viktor Orbán assured that the CEU would resume its education and research activity in Budapest, in close collaboration with the Munich Technical University and with the co-financing of the State of Bavaria. It is still to be seen under what conditions may the German rules allow a foreign university with no curriculum in its home country to operate in Bavaria.</w:t>
      </w:r>
    </w:p>
    <w:p w14:paraId="61BCAA9B" w14:textId="77777777" w:rsidR="002A734E" w:rsidRPr="003E3613" w:rsidRDefault="002A734E" w:rsidP="00204696">
      <w:pPr>
        <w:spacing w:after="0"/>
        <w:jc w:val="both"/>
        <w:rPr>
          <w:rFonts w:ascii="Book Antiqua" w:hAnsi="Book Antiqua"/>
          <w:sz w:val="23"/>
          <w:szCs w:val="23"/>
          <w:lang w:val="en-GB"/>
        </w:rPr>
      </w:pPr>
    </w:p>
    <w:p w14:paraId="1DE9F9BE" w14:textId="77777777" w:rsidR="002A734E" w:rsidRPr="003E3613" w:rsidRDefault="002A734E" w:rsidP="00204696">
      <w:pPr>
        <w:spacing w:after="0"/>
        <w:jc w:val="both"/>
        <w:rPr>
          <w:rFonts w:ascii="Book Antiqua" w:hAnsi="Book Antiqua"/>
          <w:sz w:val="23"/>
          <w:szCs w:val="23"/>
          <w:lang w:val="en-GB"/>
        </w:rPr>
      </w:pPr>
      <w:r w:rsidRPr="003E3613">
        <w:rPr>
          <w:rFonts w:ascii="Book Antiqua" w:hAnsi="Book Antiqua"/>
          <w:sz w:val="23"/>
          <w:szCs w:val="23"/>
          <w:lang w:val="en-GB"/>
        </w:rPr>
        <w:t>The Hungarian Government’s position on the CEU’s move to Austria is that the CEU has made a voluntary decision to leave Hungary. We have accepted their decision to move to Vienna. Any further question on the CEU belongs to the competence of the Austrian chancellor.</w:t>
      </w:r>
    </w:p>
    <w:p w14:paraId="341EA40C" w14:textId="77777777" w:rsidR="008E1C47" w:rsidRPr="003E3613" w:rsidRDefault="008E1C47" w:rsidP="00204696">
      <w:pPr>
        <w:spacing w:after="0"/>
        <w:jc w:val="both"/>
        <w:rPr>
          <w:rFonts w:ascii="Book Antiqua" w:hAnsi="Book Antiqua"/>
          <w:i/>
          <w:sz w:val="23"/>
          <w:szCs w:val="23"/>
          <w:lang w:val="en-GB"/>
        </w:rPr>
      </w:pPr>
    </w:p>
    <w:p w14:paraId="168838C7" w14:textId="77777777" w:rsidR="00A320F0" w:rsidRPr="003E3613" w:rsidRDefault="00A320F0" w:rsidP="00204696">
      <w:pPr>
        <w:pStyle w:val="Heading2"/>
        <w:keepNext w:val="0"/>
        <w:keepLines w:val="0"/>
        <w:spacing w:before="0"/>
        <w:rPr>
          <w:rFonts w:ascii="Book Antiqua" w:hAnsi="Book Antiqua"/>
          <w:color w:val="auto"/>
          <w:sz w:val="23"/>
          <w:szCs w:val="23"/>
          <w:lang w:val="en-GB"/>
        </w:rPr>
      </w:pPr>
      <w:bookmarkStart w:id="36" w:name="_Toc19120797"/>
      <w:r w:rsidRPr="003E3613">
        <w:rPr>
          <w:rFonts w:ascii="Book Antiqua" w:hAnsi="Book Antiqua"/>
          <w:color w:val="auto"/>
          <w:sz w:val="23"/>
          <w:szCs w:val="23"/>
          <w:lang w:val="en-GB"/>
        </w:rPr>
        <w:t>Disproportionate restrictions o</w:t>
      </w:r>
      <w:r w:rsidR="00487134" w:rsidRPr="003E3613">
        <w:rPr>
          <w:rFonts w:ascii="Book Antiqua" w:hAnsi="Book Antiqua"/>
          <w:color w:val="auto"/>
          <w:sz w:val="23"/>
          <w:szCs w:val="23"/>
          <w:lang w:val="en-GB"/>
        </w:rPr>
        <w:t>n</w:t>
      </w:r>
      <w:r w:rsidRPr="003E3613">
        <w:rPr>
          <w:rFonts w:ascii="Book Antiqua" w:hAnsi="Book Antiqua"/>
          <w:color w:val="auto"/>
          <w:sz w:val="23"/>
          <w:szCs w:val="23"/>
          <w:lang w:val="en-GB"/>
        </w:rPr>
        <w:t xml:space="preserve"> Union and non-Union universities</w:t>
      </w:r>
      <w:bookmarkEnd w:id="36"/>
    </w:p>
    <w:p w14:paraId="02F6EAA9" w14:textId="77777777" w:rsidR="00A320F0" w:rsidRPr="003E3613" w:rsidRDefault="00A320F0" w:rsidP="00204696">
      <w:pPr>
        <w:spacing w:after="0"/>
        <w:jc w:val="both"/>
        <w:rPr>
          <w:rFonts w:ascii="Book Antiqua" w:hAnsi="Book Antiqua"/>
          <w:i/>
          <w:sz w:val="23"/>
          <w:szCs w:val="23"/>
          <w:lang w:val="en-GB"/>
        </w:rPr>
      </w:pPr>
    </w:p>
    <w:p w14:paraId="559509FE" w14:textId="77777777" w:rsidR="00366F3E" w:rsidRPr="003E3613" w:rsidRDefault="00366F3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DF59CD" w:rsidRPr="003E3613">
        <w:rPr>
          <w:rFonts w:ascii="Book Antiqua" w:hAnsi="Book Antiqua"/>
          <w:i/>
          <w:sz w:val="23"/>
          <w:szCs w:val="23"/>
          <w:lang w:val="en-GB"/>
        </w:rPr>
        <w:t>35</w:t>
      </w:r>
      <w:r w:rsidRPr="003E3613">
        <w:rPr>
          <w:rFonts w:ascii="Book Antiqua" w:hAnsi="Book Antiqua"/>
          <w:i/>
          <w:sz w:val="23"/>
          <w:szCs w:val="23"/>
          <w:lang w:val="en-GB"/>
        </w:rPr>
        <w:t>) On 7 December 2017, the Commission decided to refer Hungary to the Court of Justice of the European Union on the grounds that the Amendment of Act CCIV of 2011 on National Tertiary Education disproportionally restricts Union and non-Union</w:t>
      </w:r>
      <w:r w:rsidRPr="003E3613">
        <w:rPr>
          <w:rFonts w:ascii="Book Antiqua" w:hAnsi="Book Antiqua"/>
          <w:sz w:val="23"/>
          <w:szCs w:val="23"/>
          <w:lang w:val="en-GB"/>
        </w:rPr>
        <w:t xml:space="preserve"> </w:t>
      </w:r>
      <w:r w:rsidRPr="003E3613">
        <w:rPr>
          <w:rFonts w:ascii="Book Antiqua" w:hAnsi="Book Antiqua"/>
          <w:i/>
          <w:sz w:val="23"/>
          <w:szCs w:val="23"/>
          <w:lang w:val="en-GB"/>
        </w:rPr>
        <w:t>universities in their operations and that the Act needs to be brought back in line with Union law. The Commission found that the new legislation runs counter to the right of academic freedom, the right to education and the freedom to conduct a business as provided by the Charter of Fundamental Rights of the European Union (the “Charter”) and the Union’s legal obligations under international trade law.</w:t>
      </w:r>
    </w:p>
    <w:p w14:paraId="51AD42BF" w14:textId="77777777" w:rsidR="008E1C47" w:rsidRPr="003E3613" w:rsidRDefault="008E1C47" w:rsidP="00204696">
      <w:pPr>
        <w:spacing w:after="0"/>
        <w:jc w:val="both"/>
        <w:rPr>
          <w:rFonts w:ascii="Book Antiqua" w:hAnsi="Book Antiqua"/>
          <w:i/>
          <w:sz w:val="23"/>
          <w:szCs w:val="23"/>
          <w:lang w:val="en-GB"/>
        </w:rPr>
      </w:pPr>
    </w:p>
    <w:p w14:paraId="7EE67253" w14:textId="77777777" w:rsidR="00B9677E" w:rsidRPr="003E3613" w:rsidRDefault="000A706E" w:rsidP="00204696">
      <w:pPr>
        <w:spacing w:after="0"/>
        <w:jc w:val="both"/>
        <w:rPr>
          <w:rFonts w:ascii="Book Antiqua" w:hAnsi="Book Antiqua"/>
          <w:sz w:val="23"/>
          <w:szCs w:val="23"/>
          <w:lang w:val="en-GB"/>
        </w:rPr>
      </w:pPr>
      <w:r w:rsidRPr="003E3613">
        <w:rPr>
          <w:rFonts w:ascii="Book Antiqua" w:hAnsi="Book Antiqua"/>
          <w:iCs/>
          <w:sz w:val="23"/>
          <w:szCs w:val="23"/>
          <w:lang w:val="en-GB"/>
        </w:rPr>
        <w:t xml:space="preserve">It is to be highlighted that the infringement procedure is still pending and ultimately the Court of Justice </w:t>
      </w:r>
      <w:r w:rsidR="006A2F47" w:rsidRPr="003E3613">
        <w:rPr>
          <w:rFonts w:ascii="Book Antiqua" w:hAnsi="Book Antiqua"/>
          <w:iCs/>
          <w:sz w:val="23"/>
          <w:szCs w:val="23"/>
          <w:lang w:val="en-GB"/>
        </w:rPr>
        <w:t>of the E</w:t>
      </w:r>
      <w:r w:rsidR="007F2FEE" w:rsidRPr="003E3613">
        <w:rPr>
          <w:rFonts w:ascii="Book Antiqua" w:hAnsi="Book Antiqua"/>
          <w:iCs/>
          <w:sz w:val="23"/>
          <w:szCs w:val="23"/>
          <w:lang w:val="en-GB"/>
        </w:rPr>
        <w:t xml:space="preserve">uropean </w:t>
      </w:r>
      <w:r w:rsidR="006A2F47" w:rsidRPr="003E3613">
        <w:rPr>
          <w:rFonts w:ascii="Book Antiqua" w:hAnsi="Book Antiqua"/>
          <w:iCs/>
          <w:sz w:val="23"/>
          <w:szCs w:val="23"/>
          <w:lang w:val="en-GB"/>
        </w:rPr>
        <w:t>U</w:t>
      </w:r>
      <w:r w:rsidR="007F2FEE" w:rsidRPr="003E3613">
        <w:rPr>
          <w:rFonts w:ascii="Book Antiqua" w:hAnsi="Book Antiqua"/>
          <w:iCs/>
          <w:sz w:val="23"/>
          <w:szCs w:val="23"/>
          <w:lang w:val="en-GB"/>
        </w:rPr>
        <w:t>nion</w:t>
      </w:r>
      <w:r w:rsidR="006A2F47" w:rsidRPr="003E3613">
        <w:rPr>
          <w:rFonts w:ascii="Book Antiqua" w:hAnsi="Book Antiqua"/>
          <w:iCs/>
          <w:sz w:val="23"/>
          <w:szCs w:val="23"/>
          <w:lang w:val="en-GB"/>
        </w:rPr>
        <w:t xml:space="preserve"> </w:t>
      </w:r>
      <w:r w:rsidRPr="003E3613">
        <w:rPr>
          <w:rFonts w:ascii="Book Antiqua" w:hAnsi="Book Antiqua"/>
          <w:iCs/>
          <w:sz w:val="23"/>
          <w:szCs w:val="23"/>
          <w:lang w:val="en-GB"/>
        </w:rPr>
        <w:t>is competent to establish whether or not Hungary</w:t>
      </w:r>
      <w:r w:rsidR="007F2FEE" w:rsidRPr="003E3613">
        <w:rPr>
          <w:rFonts w:ascii="Book Antiqua" w:hAnsi="Book Antiqua"/>
          <w:iCs/>
          <w:sz w:val="23"/>
          <w:szCs w:val="23"/>
          <w:lang w:val="en-GB"/>
        </w:rPr>
        <w:t xml:space="preserve"> has</w:t>
      </w:r>
      <w:r w:rsidRPr="003E3613">
        <w:rPr>
          <w:rFonts w:ascii="Book Antiqua" w:hAnsi="Book Antiqua"/>
          <w:iCs/>
          <w:sz w:val="23"/>
          <w:szCs w:val="23"/>
          <w:lang w:val="en-GB"/>
        </w:rPr>
        <w:t xml:space="preserve"> infringed EU law.</w:t>
      </w:r>
      <w:r w:rsidR="00554D9C" w:rsidRPr="003E3613">
        <w:rPr>
          <w:rFonts w:ascii="Book Antiqua" w:hAnsi="Book Antiqua"/>
          <w:iCs/>
          <w:sz w:val="23"/>
          <w:szCs w:val="23"/>
          <w:lang w:val="en-GB"/>
        </w:rPr>
        <w:t xml:space="preserve"> </w:t>
      </w:r>
      <w:r w:rsidR="007F2FEE" w:rsidRPr="003E3613">
        <w:rPr>
          <w:rFonts w:ascii="Book Antiqua" w:hAnsi="Book Antiqua"/>
          <w:iCs/>
          <w:sz w:val="23"/>
          <w:szCs w:val="23"/>
          <w:lang w:val="en-GB"/>
        </w:rPr>
        <w:t>The Advocate General’s opinion will be presented on</w:t>
      </w:r>
      <w:r w:rsidR="007F2FEE" w:rsidRPr="003E3613" w:rsidDel="008A5BFC">
        <w:rPr>
          <w:rFonts w:ascii="Book Antiqua" w:hAnsi="Book Antiqua"/>
          <w:iCs/>
          <w:sz w:val="23"/>
          <w:szCs w:val="23"/>
          <w:lang w:val="en-GB"/>
        </w:rPr>
        <w:t xml:space="preserve"> </w:t>
      </w:r>
      <w:r w:rsidR="007F2FEE" w:rsidRPr="003E3613">
        <w:rPr>
          <w:rFonts w:ascii="Book Antiqua" w:hAnsi="Book Antiqua"/>
          <w:iCs/>
          <w:sz w:val="23"/>
          <w:szCs w:val="23"/>
          <w:lang w:val="en-GB"/>
        </w:rPr>
        <w:t>19 November 2019, the judgment is expected to be delivered in the first half of 2020.</w:t>
      </w:r>
    </w:p>
    <w:p w14:paraId="69BCCB4B" w14:textId="77777777" w:rsidR="00786BFB" w:rsidRPr="003E3613" w:rsidRDefault="00786BFB" w:rsidP="00204696">
      <w:pPr>
        <w:spacing w:after="0"/>
        <w:jc w:val="both"/>
        <w:rPr>
          <w:rFonts w:ascii="Book Antiqua" w:hAnsi="Book Antiqua"/>
          <w:sz w:val="23"/>
          <w:szCs w:val="23"/>
          <w:lang w:val="en-GB"/>
        </w:rPr>
      </w:pPr>
    </w:p>
    <w:p w14:paraId="0ACFE0E1" w14:textId="77777777" w:rsidR="00786BFB" w:rsidRPr="003E3613" w:rsidRDefault="00786BFB" w:rsidP="00204696">
      <w:pPr>
        <w:spacing w:after="0"/>
        <w:jc w:val="both"/>
        <w:rPr>
          <w:rFonts w:ascii="Book Antiqua" w:hAnsi="Book Antiqua"/>
          <w:i/>
          <w:sz w:val="23"/>
          <w:szCs w:val="23"/>
          <w:lang w:val="en-GB"/>
        </w:rPr>
      </w:pPr>
      <w:r w:rsidRPr="003E3613">
        <w:rPr>
          <w:rFonts w:ascii="Book Antiqua" w:hAnsi="Book Antiqua"/>
          <w:i/>
          <w:sz w:val="23"/>
          <w:szCs w:val="23"/>
          <w:lang w:val="en-GB"/>
        </w:rPr>
        <w:t xml:space="preserve">(36) On 9 August 2018, it became public that the Hungarian government plans to withdraw the Masters programme of Gender Studies at the public Eötvös Loránd University (ELTE) and to refuse the recognition of the MA in Gender Studies from the private Central European University. The European Parliament points out that a misinterpretation of the concept of gender has dominated the public discourse in Hungary and deplores this wilful misinterpretation of the terms ‘gender’ and ‘gender equality’. The European Parliament condemns the attacks on free teaching and research, in particular on gender studies, the aim of which is to analyse power relationships, discrimination and gender relations in society and find solutions to forms of inequality and which has become the target of </w:t>
      </w:r>
      <w:r w:rsidRPr="003E3613">
        <w:rPr>
          <w:rFonts w:ascii="Book Antiqua" w:hAnsi="Book Antiqua"/>
          <w:i/>
          <w:sz w:val="23"/>
          <w:szCs w:val="23"/>
          <w:lang w:val="en-GB"/>
        </w:rPr>
        <w:lastRenderedPageBreak/>
        <w:t xml:space="preserve">defamation campaigns. The European Parliament calls for the fundamental democratic principle of educational freedom to be fully restored and safeguarded. </w:t>
      </w:r>
    </w:p>
    <w:p w14:paraId="63F2C90A" w14:textId="77777777" w:rsidR="00786BFB" w:rsidRPr="003E3613" w:rsidRDefault="00786BFB" w:rsidP="00204696">
      <w:pPr>
        <w:spacing w:after="0"/>
        <w:jc w:val="both"/>
        <w:rPr>
          <w:rFonts w:ascii="Book Antiqua" w:hAnsi="Book Antiqua"/>
          <w:sz w:val="23"/>
          <w:szCs w:val="23"/>
          <w:lang w:val="en-GB"/>
        </w:rPr>
      </w:pPr>
    </w:p>
    <w:p w14:paraId="74177266" w14:textId="77777777" w:rsidR="007B5681" w:rsidRPr="003E3613" w:rsidRDefault="007B5681" w:rsidP="00204696">
      <w:pPr>
        <w:spacing w:after="0"/>
        <w:jc w:val="both"/>
        <w:rPr>
          <w:rFonts w:ascii="Book Antiqua" w:hAnsi="Book Antiqua"/>
          <w:sz w:val="23"/>
          <w:szCs w:val="23"/>
          <w:lang w:val="en-GB"/>
        </w:rPr>
      </w:pPr>
      <w:r w:rsidRPr="003E3613">
        <w:rPr>
          <w:rFonts w:ascii="Book Antiqua" w:hAnsi="Book Antiqua"/>
          <w:sz w:val="23"/>
          <w:szCs w:val="23"/>
          <w:lang w:val="en-GB"/>
        </w:rPr>
        <w:t>In every Member State of the European Union the right of accreditation of academic programmes falls exclusively within the competence of the state. In the future, no state-funded and accredited social gender studies programme will be launched in Hungary. However, such ongoing higher education programmes may continue for their full duration. This decision in no way restricts the freedom of academic research as the topic can continue to be researched to scientific standards within other academic fields and can also continue to be taught at universities which are operated by foundations.</w:t>
      </w:r>
    </w:p>
    <w:p w14:paraId="428CB73A" w14:textId="77777777" w:rsidR="007B5681" w:rsidRPr="003E3613" w:rsidRDefault="007B5681" w:rsidP="00204696">
      <w:pPr>
        <w:spacing w:after="0"/>
        <w:jc w:val="both"/>
        <w:rPr>
          <w:rFonts w:ascii="Book Antiqua" w:hAnsi="Book Antiqua"/>
          <w:sz w:val="23"/>
          <w:szCs w:val="23"/>
          <w:lang w:val="en-GB"/>
        </w:rPr>
      </w:pPr>
    </w:p>
    <w:p w14:paraId="2B5E15CC" w14:textId="77777777" w:rsidR="002A734E" w:rsidRPr="003E3613" w:rsidRDefault="002A734E"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Currently, gender studies are taught in several Hungarian higher education institutions. </w:t>
      </w:r>
    </w:p>
    <w:p w14:paraId="5376F1E6" w14:textId="77777777" w:rsidR="002A734E" w:rsidRPr="003E3613" w:rsidRDefault="002A734E" w:rsidP="00204696">
      <w:pPr>
        <w:spacing w:after="0"/>
        <w:jc w:val="both"/>
        <w:rPr>
          <w:rFonts w:ascii="Book Antiqua" w:hAnsi="Book Antiqua"/>
          <w:sz w:val="23"/>
          <w:szCs w:val="23"/>
          <w:lang w:val="en-GB"/>
        </w:rPr>
      </w:pPr>
      <w:r w:rsidRPr="003E3613">
        <w:rPr>
          <w:rFonts w:ascii="Book Antiqua" w:hAnsi="Book Antiqua"/>
          <w:sz w:val="23"/>
          <w:szCs w:val="23"/>
          <w:lang w:val="en-GB"/>
        </w:rPr>
        <w:t>The legislative amendments to eliminate gender studies do not compromise the freedom of scientific research, as it can be researched for scientific needs under other academic faculties, such as history, sociology or philosophy. State-sponsored and accredited gender studies programme in higher education shall not be started in the future. Nevertheless</w:t>
      </w:r>
      <w:r w:rsidR="008B7A79" w:rsidRPr="003E3613">
        <w:rPr>
          <w:rFonts w:ascii="Book Antiqua" w:hAnsi="Book Antiqua"/>
          <w:sz w:val="23"/>
          <w:szCs w:val="23"/>
          <w:lang w:val="en-GB"/>
        </w:rPr>
        <w:t>,</w:t>
      </w:r>
      <w:r w:rsidRPr="003E3613">
        <w:rPr>
          <w:rFonts w:ascii="Book Antiqua" w:hAnsi="Book Antiqua"/>
          <w:sz w:val="23"/>
          <w:szCs w:val="23"/>
          <w:lang w:val="en-GB"/>
        </w:rPr>
        <w:t xml:space="preserve"> in those institutions where the programme still exists (Eötvös Loránd University and Central European University) the low amount of students can still finish their courses. </w:t>
      </w:r>
      <w:r w:rsidR="008B7A79" w:rsidRPr="003E3613">
        <w:rPr>
          <w:rFonts w:ascii="Book Antiqua" w:hAnsi="Book Antiqua"/>
          <w:sz w:val="23"/>
          <w:szCs w:val="23"/>
          <w:lang w:val="en-GB"/>
        </w:rPr>
        <w:t>I</w:t>
      </w:r>
      <w:r w:rsidRPr="003E3613">
        <w:rPr>
          <w:rFonts w:ascii="Book Antiqua" w:hAnsi="Book Antiqua"/>
          <w:sz w:val="23"/>
          <w:szCs w:val="23"/>
          <w:lang w:val="en-GB"/>
        </w:rPr>
        <w:t>t does not mean</w:t>
      </w:r>
      <w:r w:rsidR="008B7A79" w:rsidRPr="003E3613">
        <w:rPr>
          <w:rFonts w:ascii="Book Antiqua" w:hAnsi="Book Antiqua"/>
          <w:sz w:val="23"/>
          <w:szCs w:val="23"/>
          <w:lang w:val="en-GB"/>
        </w:rPr>
        <w:t>, however,</w:t>
      </w:r>
      <w:r w:rsidRPr="003E3613">
        <w:rPr>
          <w:rFonts w:ascii="Book Antiqua" w:hAnsi="Book Antiqua"/>
          <w:sz w:val="23"/>
          <w:szCs w:val="23"/>
          <w:lang w:val="en-GB"/>
        </w:rPr>
        <w:t xml:space="preserve"> that foreign higher education institutions in Hungary may not offer gender studies diploma. Those foreign institutions who offer a gender studies programme may also provide foreign diplomas for their students.</w:t>
      </w:r>
    </w:p>
    <w:p w14:paraId="152AE6A4" w14:textId="77777777" w:rsidR="002A734E" w:rsidRPr="003E3613" w:rsidRDefault="002A734E" w:rsidP="00204696">
      <w:pPr>
        <w:spacing w:after="0"/>
        <w:jc w:val="both"/>
        <w:rPr>
          <w:rFonts w:ascii="Book Antiqua" w:hAnsi="Book Antiqua"/>
          <w:sz w:val="23"/>
          <w:szCs w:val="23"/>
          <w:lang w:val="en-GB"/>
        </w:rPr>
      </w:pPr>
    </w:p>
    <w:p w14:paraId="29DECC24" w14:textId="77777777" w:rsidR="00D61BD4" w:rsidRDefault="000D0F81" w:rsidP="00204696">
      <w:pPr>
        <w:spacing w:after="0"/>
        <w:jc w:val="both"/>
        <w:rPr>
          <w:rFonts w:ascii="Book Antiqua" w:hAnsi="Book Antiqua"/>
          <w:b/>
          <w:sz w:val="23"/>
          <w:szCs w:val="23"/>
          <w:lang w:val="en-GB"/>
        </w:rPr>
      </w:pPr>
      <w:r w:rsidRPr="003E3613">
        <w:rPr>
          <w:rFonts w:ascii="Book Antiqua" w:hAnsi="Book Antiqua"/>
          <w:b/>
          <w:sz w:val="23"/>
          <w:szCs w:val="23"/>
          <w:lang w:val="en-GB"/>
        </w:rPr>
        <w:t>It cannot be overemphasized that the principle of legal certainty requires that the relevant Hungarian legislation be applicable to all institutions of higher education that seek to operate in the country. Therefore, it is not justified to mention the elements of recitals 33-36 in a reasoned proposal requesting the Council to determine, pursuant to Article 7(1) of the Treaty on European Union, the existence of a clear risk of a serious breach by Hungary of the values on which the Union is founded.</w:t>
      </w:r>
    </w:p>
    <w:p w14:paraId="06DD2374" w14:textId="77777777" w:rsidR="007A7E18" w:rsidRPr="003E3613" w:rsidRDefault="007A7E18" w:rsidP="00204696">
      <w:pPr>
        <w:spacing w:after="0"/>
        <w:jc w:val="both"/>
        <w:rPr>
          <w:rFonts w:ascii="Book Antiqua" w:hAnsi="Book Antiqua"/>
          <w:sz w:val="23"/>
          <w:szCs w:val="23"/>
          <w:lang w:val="en-GB"/>
        </w:rPr>
      </w:pPr>
    </w:p>
    <w:p w14:paraId="31CBF1E1" w14:textId="77777777" w:rsidR="00B9677E" w:rsidRPr="003E3613" w:rsidRDefault="00B9677E" w:rsidP="00204696">
      <w:pPr>
        <w:pStyle w:val="Heading1"/>
        <w:keepNext w:val="0"/>
        <w:keepLines w:val="0"/>
        <w:pBdr>
          <w:top w:val="single" w:sz="4" w:space="1" w:color="auto"/>
          <w:left w:val="single" w:sz="4" w:space="4" w:color="auto"/>
          <w:bottom w:val="single" w:sz="4" w:space="1" w:color="auto"/>
          <w:right w:val="single" w:sz="4" w:space="4" w:color="auto"/>
        </w:pBdr>
        <w:shd w:val="clear" w:color="auto" w:fill="C6D9F1" w:themeFill="text2" w:themeFillTint="33"/>
        <w:spacing w:before="0"/>
        <w:rPr>
          <w:rFonts w:ascii="Book Antiqua" w:hAnsi="Book Antiqua"/>
          <w:color w:val="auto"/>
          <w:sz w:val="23"/>
          <w:szCs w:val="23"/>
          <w:lang w:val="en-GB"/>
        </w:rPr>
      </w:pPr>
      <w:bookmarkStart w:id="37" w:name="_Toc19120798"/>
      <w:r w:rsidRPr="003E3613">
        <w:rPr>
          <w:rFonts w:ascii="Book Antiqua" w:hAnsi="Book Antiqua"/>
          <w:color w:val="auto"/>
          <w:sz w:val="23"/>
          <w:szCs w:val="23"/>
          <w:lang w:val="en-GB"/>
        </w:rPr>
        <w:t>Freedom of religion</w:t>
      </w:r>
      <w:bookmarkEnd w:id="37"/>
    </w:p>
    <w:p w14:paraId="780B0CBE" w14:textId="77777777" w:rsidR="00B9677E" w:rsidRPr="003E3613" w:rsidRDefault="00B9677E" w:rsidP="00204696">
      <w:pPr>
        <w:spacing w:after="0"/>
        <w:jc w:val="both"/>
        <w:rPr>
          <w:rFonts w:ascii="Book Antiqua" w:hAnsi="Book Antiqua"/>
          <w:i/>
          <w:sz w:val="23"/>
          <w:szCs w:val="23"/>
          <w:lang w:val="en-GB"/>
        </w:rPr>
      </w:pPr>
    </w:p>
    <w:p w14:paraId="5AF4C437" w14:textId="0F01409C" w:rsidR="00660031" w:rsidRDefault="007E2EF3"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aim of the Hungarian Legislator by adopting a new legislation on the Right to Freedom of Conscience and Religion and the Legal Status of Churches, Denominations and Religious Communities of Hungary was to make a clear distinction between the legal status of historic (traditional) churches and the status of other religious communities in order to effectively handle previous practices often leading to abuses. The difference of treatment is based on objective reasons. </w:t>
      </w:r>
      <w:r w:rsidR="00760915" w:rsidRPr="003E3613">
        <w:rPr>
          <w:rFonts w:ascii="Book Antiqua" w:hAnsi="Book Antiqua"/>
          <w:sz w:val="23"/>
          <w:szCs w:val="23"/>
          <w:lang w:val="en-GB"/>
        </w:rPr>
        <w:t>The latest amendment to the Church Act was adopted by the Hungarian National Assembly on 12 December 2018, which intend</w:t>
      </w:r>
      <w:r w:rsidR="00F10FB8" w:rsidRPr="003E3613">
        <w:rPr>
          <w:rFonts w:ascii="Book Antiqua" w:hAnsi="Book Antiqua"/>
          <w:sz w:val="23"/>
          <w:szCs w:val="23"/>
          <w:lang w:val="en-GB"/>
        </w:rPr>
        <w:t>ed</w:t>
      </w:r>
      <w:r w:rsidR="00760915" w:rsidRPr="003E3613">
        <w:rPr>
          <w:rFonts w:ascii="Book Antiqua" w:hAnsi="Book Antiqua"/>
          <w:sz w:val="23"/>
          <w:szCs w:val="23"/>
          <w:lang w:val="en-GB"/>
        </w:rPr>
        <w:t xml:space="preserve"> to close down the regulatory issues raised by the Constitutional Court and some international fora, like the European Court of Human Rights or the Venice Commission.</w:t>
      </w:r>
    </w:p>
    <w:p w14:paraId="3E186C93" w14:textId="77777777" w:rsidR="00660031" w:rsidRDefault="00660031">
      <w:pPr>
        <w:rPr>
          <w:rFonts w:ascii="Book Antiqua" w:hAnsi="Book Antiqua"/>
          <w:sz w:val="23"/>
          <w:szCs w:val="23"/>
          <w:lang w:val="en-GB"/>
        </w:rPr>
      </w:pPr>
      <w:r>
        <w:rPr>
          <w:rFonts w:ascii="Book Antiqua" w:hAnsi="Book Antiqua"/>
          <w:sz w:val="23"/>
          <w:szCs w:val="23"/>
          <w:lang w:val="en-GB"/>
        </w:rPr>
        <w:br w:type="page"/>
      </w:r>
    </w:p>
    <w:p w14:paraId="7151E43B" w14:textId="744D31A6" w:rsidR="009F4661" w:rsidRPr="003E3613" w:rsidRDefault="009F4661" w:rsidP="00204696">
      <w:pPr>
        <w:pStyle w:val="Heading2"/>
        <w:keepNext w:val="0"/>
        <w:keepLines w:val="0"/>
        <w:spacing w:before="0"/>
        <w:rPr>
          <w:rFonts w:ascii="Book Antiqua" w:hAnsi="Book Antiqua"/>
          <w:color w:val="auto"/>
          <w:sz w:val="23"/>
          <w:szCs w:val="23"/>
          <w:lang w:val="en-GB"/>
        </w:rPr>
      </w:pPr>
      <w:bookmarkStart w:id="38" w:name="_Toc19120799"/>
      <w:r w:rsidRPr="003E3613">
        <w:rPr>
          <w:rFonts w:ascii="Book Antiqua" w:hAnsi="Book Antiqua"/>
          <w:color w:val="auto"/>
          <w:sz w:val="23"/>
          <w:szCs w:val="23"/>
          <w:lang w:val="en-GB"/>
        </w:rPr>
        <w:lastRenderedPageBreak/>
        <w:t>Right to Freedom of Conscience and the Legal Status of Religious Communities</w:t>
      </w:r>
      <w:bookmarkEnd w:id="38"/>
      <w:r w:rsidRPr="003E3613">
        <w:rPr>
          <w:rFonts w:ascii="Book Antiqua" w:hAnsi="Book Antiqua"/>
          <w:color w:val="auto"/>
          <w:sz w:val="23"/>
          <w:szCs w:val="23"/>
          <w:lang w:val="en-GB"/>
        </w:rPr>
        <w:t xml:space="preserve"> </w:t>
      </w:r>
    </w:p>
    <w:p w14:paraId="6DAD97DA" w14:textId="77777777" w:rsidR="009F4661" w:rsidRPr="003E3613" w:rsidRDefault="009F4661" w:rsidP="00204696">
      <w:pPr>
        <w:spacing w:after="0"/>
        <w:jc w:val="both"/>
        <w:rPr>
          <w:rFonts w:ascii="Book Antiqua" w:hAnsi="Book Antiqua"/>
          <w:i/>
          <w:sz w:val="23"/>
          <w:szCs w:val="23"/>
          <w:lang w:val="en-GB"/>
        </w:rPr>
      </w:pPr>
    </w:p>
    <w:p w14:paraId="37A7801B"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A41E5F" w:rsidRPr="003E3613">
        <w:rPr>
          <w:rFonts w:ascii="Book Antiqua" w:hAnsi="Book Antiqua"/>
          <w:i/>
          <w:sz w:val="23"/>
          <w:szCs w:val="23"/>
          <w:lang w:val="en-GB"/>
        </w:rPr>
        <w:t>3</w:t>
      </w:r>
      <w:r w:rsidR="001574BA" w:rsidRPr="003E3613">
        <w:rPr>
          <w:rFonts w:ascii="Book Antiqua" w:hAnsi="Book Antiqua"/>
          <w:i/>
          <w:sz w:val="23"/>
          <w:szCs w:val="23"/>
          <w:lang w:val="en-GB"/>
        </w:rPr>
        <w:t>7</w:t>
      </w:r>
      <w:r w:rsidRPr="003E3613">
        <w:rPr>
          <w:rFonts w:ascii="Book Antiqua" w:hAnsi="Book Antiqua"/>
          <w:i/>
          <w:sz w:val="23"/>
          <w:szCs w:val="23"/>
          <w:lang w:val="en-GB"/>
        </w:rPr>
        <w:t xml:space="preserve">) </w:t>
      </w:r>
      <w:r w:rsidR="00A41E5F" w:rsidRPr="003E3613">
        <w:rPr>
          <w:rFonts w:ascii="Book Antiqua" w:hAnsi="Book Antiqua"/>
          <w:i/>
          <w:sz w:val="23"/>
          <w:szCs w:val="23"/>
          <w:lang w:val="en-GB"/>
        </w:rPr>
        <w:t xml:space="preserve">On 30 December </w:t>
      </w:r>
      <w:r w:rsidRPr="003E3613">
        <w:rPr>
          <w:rFonts w:ascii="Book Antiqua" w:hAnsi="Book Antiqua"/>
          <w:i/>
          <w:sz w:val="23"/>
          <w:szCs w:val="23"/>
          <w:lang w:val="en-GB"/>
        </w:rPr>
        <w:t>2011, the Hungarian Parliament adopted Act CCVI of 2011 on the Right to Freedom of Conscience and Religion and the Legal Status of Churches, Denominations and Religious Communities of Hungary</w:t>
      </w:r>
      <w:r w:rsidR="00A41E5F" w:rsidRPr="003E3613">
        <w:rPr>
          <w:rFonts w:ascii="Book Antiqua" w:hAnsi="Book Antiqua"/>
          <w:i/>
          <w:sz w:val="23"/>
          <w:szCs w:val="23"/>
          <w:lang w:val="en-GB"/>
        </w:rPr>
        <w:t>, which entered into force on 1 January 2012.</w:t>
      </w:r>
      <w:r w:rsidRPr="003E3613">
        <w:rPr>
          <w:rFonts w:ascii="Book Antiqua" w:hAnsi="Book Antiqua"/>
          <w:i/>
          <w:sz w:val="23"/>
          <w:szCs w:val="23"/>
          <w:lang w:val="en-GB"/>
        </w:rPr>
        <w:t xml:space="preserve"> The Act </w:t>
      </w:r>
      <w:r w:rsidR="00A41E5F" w:rsidRPr="003E3613">
        <w:rPr>
          <w:rFonts w:ascii="Book Antiqua" w:hAnsi="Book Antiqua"/>
          <w:i/>
          <w:sz w:val="23"/>
          <w:szCs w:val="23"/>
          <w:lang w:val="en-GB"/>
        </w:rPr>
        <w:t xml:space="preserve">reviewed the legal personality of </w:t>
      </w:r>
      <w:r w:rsidRPr="003E3613">
        <w:rPr>
          <w:rFonts w:ascii="Book Antiqua" w:hAnsi="Book Antiqua"/>
          <w:i/>
          <w:sz w:val="23"/>
          <w:szCs w:val="23"/>
          <w:lang w:val="en-GB"/>
        </w:rPr>
        <w:t>many religious organisations and reduced the number of legally recognised churches in Hungary to 14. On 16 December 2011 the Council of Europe Commissioner for Human Rights shared his concerns about this Act in a letter sent to the Hungarian authorities. In February 2012, responding to international pressure, the Hungarian Parliament expanded the number of recognised churches to 31. On 19 March 2012 the Venice Commission adopted its Opinion on Act CCVI of 2011 on the Right to Freedom of Conscience and Religion and the Legal Status of Churches, Denominations and Religious Communities of Hungary, where it indicated that the Act sets a range of requirements that are excessive and based on arbitrary criteria with regard to the recognition of a church</w:t>
      </w:r>
      <w:r w:rsidR="00A41E5F" w:rsidRPr="003E3613">
        <w:rPr>
          <w:rFonts w:ascii="Book Antiqua" w:hAnsi="Book Antiqua"/>
          <w:i/>
          <w:sz w:val="23"/>
          <w:szCs w:val="23"/>
          <w:lang w:val="en-GB"/>
        </w:rPr>
        <w:t>. Furthermore, it indicated</w:t>
      </w:r>
      <w:r w:rsidRPr="003E3613">
        <w:rPr>
          <w:rFonts w:ascii="Book Antiqua" w:hAnsi="Book Antiqua"/>
          <w:i/>
          <w:sz w:val="23"/>
          <w:szCs w:val="23"/>
          <w:lang w:val="en-GB"/>
        </w:rPr>
        <w:t xml:space="preserve"> that the Act has led to a deregistration process of hundreds of previously lawfully recognised churches and that the Act induces, to some extent, an unequal and even discriminatory treatment of religious beliefs and communities, depending on whether they are recognised or not.</w:t>
      </w:r>
    </w:p>
    <w:p w14:paraId="2FEA53AB" w14:textId="77777777" w:rsidR="009F4661" w:rsidRPr="003E3613" w:rsidRDefault="009F4661" w:rsidP="00204696">
      <w:pPr>
        <w:spacing w:after="0"/>
        <w:jc w:val="both"/>
        <w:rPr>
          <w:rFonts w:ascii="Book Antiqua" w:hAnsi="Book Antiqua"/>
          <w:i/>
          <w:sz w:val="23"/>
          <w:szCs w:val="23"/>
          <w:lang w:val="en-GB"/>
        </w:rPr>
      </w:pPr>
    </w:p>
    <w:p w14:paraId="4B988204" w14:textId="77777777" w:rsidR="00BB4C0B" w:rsidRPr="003E3613" w:rsidRDefault="00834D59"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Church Act of 1990 introduced church registration on a universal basis, despite the fact that the structured regulation of churches was general in Europe. As a consequence, the number of </w:t>
      </w:r>
      <w:r w:rsidR="00BD0A8B" w:rsidRPr="003E3613">
        <w:rPr>
          <w:rFonts w:ascii="Book Antiqua" w:hAnsi="Book Antiqua"/>
          <w:sz w:val="23"/>
          <w:szCs w:val="23"/>
          <w:lang w:val="en-GB"/>
        </w:rPr>
        <w:t>organisation</w:t>
      </w:r>
      <w:r w:rsidRPr="003E3613">
        <w:rPr>
          <w:rFonts w:ascii="Book Antiqua" w:hAnsi="Book Antiqua"/>
          <w:sz w:val="23"/>
          <w:szCs w:val="23"/>
          <w:lang w:val="en-GB"/>
        </w:rPr>
        <w:t>s registered as churches has increased to nearly 300, and a part of these organi</w:t>
      </w:r>
      <w:r w:rsidR="008B7A79" w:rsidRPr="003E3613">
        <w:rPr>
          <w:rFonts w:ascii="Book Antiqua" w:hAnsi="Book Antiqua"/>
          <w:sz w:val="23"/>
          <w:szCs w:val="23"/>
          <w:lang w:val="en-GB"/>
        </w:rPr>
        <w:t>s</w:t>
      </w:r>
      <w:r w:rsidRPr="003E3613">
        <w:rPr>
          <w:rFonts w:ascii="Book Antiqua" w:hAnsi="Book Antiqua"/>
          <w:sz w:val="23"/>
          <w:szCs w:val="23"/>
          <w:lang w:val="en-GB"/>
        </w:rPr>
        <w:t xml:space="preserve">ations have registered only for the state aid and autonomy connected to church status. </w:t>
      </w:r>
      <w:r w:rsidR="00D22462" w:rsidRPr="003E3613">
        <w:rPr>
          <w:rFonts w:ascii="Book Antiqua" w:hAnsi="Book Antiqua"/>
          <w:sz w:val="23"/>
          <w:szCs w:val="23"/>
          <w:lang w:val="en-GB"/>
        </w:rPr>
        <w:t xml:space="preserve">The </w:t>
      </w:r>
      <w:r w:rsidR="00BB4C0B" w:rsidRPr="003E3613">
        <w:rPr>
          <w:rFonts w:ascii="Book Antiqua" w:hAnsi="Book Antiqua"/>
          <w:sz w:val="23"/>
          <w:szCs w:val="23"/>
          <w:lang w:val="en-GB"/>
        </w:rPr>
        <w:t xml:space="preserve">Act CCVI of 2011 </w:t>
      </w:r>
      <w:r w:rsidR="009B4E29" w:rsidRPr="003E3613">
        <w:rPr>
          <w:rFonts w:ascii="Book Antiqua" w:hAnsi="Book Antiqua"/>
          <w:sz w:val="23"/>
          <w:szCs w:val="23"/>
          <w:lang w:val="en-GB"/>
        </w:rPr>
        <w:t>on the Right to Freedom of Conscience and Religion and the Legal Status of Churches, Denominations and Religious Communities of Hungary</w:t>
      </w:r>
      <w:r w:rsidR="00BB4C0B" w:rsidRPr="003E3613">
        <w:rPr>
          <w:rFonts w:ascii="Book Antiqua" w:hAnsi="Book Antiqua"/>
          <w:sz w:val="23"/>
          <w:szCs w:val="23"/>
          <w:lang w:val="en-GB"/>
        </w:rPr>
        <w:t>, which entered into force on 1</w:t>
      </w:r>
      <w:r w:rsidR="009B4E29" w:rsidRPr="003E3613">
        <w:rPr>
          <w:rFonts w:ascii="Book Antiqua" w:hAnsi="Book Antiqua"/>
          <w:sz w:val="23"/>
          <w:szCs w:val="23"/>
          <w:lang w:val="en-GB"/>
        </w:rPr>
        <w:t xml:space="preserve"> </w:t>
      </w:r>
      <w:r w:rsidR="00BB4C0B" w:rsidRPr="003E3613">
        <w:rPr>
          <w:rFonts w:ascii="Book Antiqua" w:hAnsi="Book Antiqua"/>
          <w:sz w:val="23"/>
          <w:szCs w:val="23"/>
          <w:lang w:val="en-GB"/>
        </w:rPr>
        <w:t xml:space="preserve">January 2012, created the obligation that those faith-based communities which did not qualify to </w:t>
      </w:r>
      <w:r w:rsidR="009B4E29" w:rsidRPr="003E3613">
        <w:rPr>
          <w:rFonts w:ascii="Book Antiqua" w:hAnsi="Book Antiqua"/>
          <w:sz w:val="23"/>
          <w:szCs w:val="23"/>
          <w:lang w:val="en-GB"/>
        </w:rPr>
        <w:t>gain the status</w:t>
      </w:r>
      <w:r w:rsidR="00BB4C0B" w:rsidRPr="003E3613">
        <w:rPr>
          <w:rFonts w:ascii="Book Antiqua" w:hAnsi="Book Antiqua"/>
          <w:sz w:val="23"/>
          <w:szCs w:val="23"/>
          <w:lang w:val="en-GB"/>
        </w:rPr>
        <w:t xml:space="preserve"> of church</w:t>
      </w:r>
      <w:r w:rsidR="009B4E29" w:rsidRPr="003E3613">
        <w:rPr>
          <w:rFonts w:ascii="Book Antiqua" w:hAnsi="Book Antiqua"/>
          <w:sz w:val="23"/>
          <w:szCs w:val="23"/>
          <w:lang w:val="en-GB"/>
        </w:rPr>
        <w:t>es</w:t>
      </w:r>
      <w:r w:rsidR="00BB4C0B" w:rsidRPr="003E3613">
        <w:rPr>
          <w:rFonts w:ascii="Book Antiqua" w:hAnsi="Book Antiqua"/>
          <w:sz w:val="23"/>
          <w:szCs w:val="23"/>
          <w:lang w:val="en-GB"/>
        </w:rPr>
        <w:t xml:space="preserve"> had to go through a procedure to be </w:t>
      </w:r>
      <w:r w:rsidR="009B4E29" w:rsidRPr="003E3613">
        <w:rPr>
          <w:rFonts w:ascii="Book Antiqua" w:hAnsi="Book Antiqua"/>
          <w:sz w:val="23"/>
          <w:szCs w:val="23"/>
          <w:lang w:val="en-GB"/>
        </w:rPr>
        <w:t>re-</w:t>
      </w:r>
      <w:r w:rsidR="00BB4C0B" w:rsidRPr="003E3613">
        <w:rPr>
          <w:rFonts w:ascii="Book Antiqua" w:hAnsi="Book Antiqua"/>
          <w:sz w:val="23"/>
          <w:szCs w:val="23"/>
          <w:lang w:val="en-GB"/>
        </w:rPr>
        <w:t xml:space="preserve">recognized as churches. Several of the communities </w:t>
      </w:r>
      <w:r w:rsidR="00334CA0" w:rsidRPr="003E3613">
        <w:rPr>
          <w:rFonts w:ascii="Book Antiqua" w:hAnsi="Book Antiqua"/>
          <w:sz w:val="23"/>
          <w:szCs w:val="23"/>
          <w:lang w:val="en-GB"/>
        </w:rPr>
        <w:t xml:space="preserve">concerned </w:t>
      </w:r>
      <w:r w:rsidR="00BB4C0B" w:rsidRPr="003E3613">
        <w:rPr>
          <w:rFonts w:ascii="Book Antiqua" w:hAnsi="Book Antiqua"/>
          <w:sz w:val="23"/>
          <w:szCs w:val="23"/>
          <w:lang w:val="en-GB"/>
        </w:rPr>
        <w:t xml:space="preserve">turned to the European Court of Human Rights for their status not being restored. The complainants </w:t>
      </w:r>
      <w:r w:rsidR="00D22462" w:rsidRPr="003E3613">
        <w:rPr>
          <w:rFonts w:ascii="Book Antiqua" w:hAnsi="Book Antiqua"/>
          <w:sz w:val="23"/>
          <w:szCs w:val="23"/>
          <w:lang w:val="en-GB"/>
        </w:rPr>
        <w:t xml:space="preserve">argued </w:t>
      </w:r>
      <w:r w:rsidR="00BB4C0B" w:rsidRPr="003E3613">
        <w:rPr>
          <w:rFonts w:ascii="Book Antiqua" w:hAnsi="Book Antiqua"/>
          <w:sz w:val="23"/>
          <w:szCs w:val="23"/>
          <w:lang w:val="en-GB"/>
        </w:rPr>
        <w:t xml:space="preserve">that the Act was discriminative and violated freedom of religion. Adopting Act CCVI of 2011 was necessary to end the </w:t>
      </w:r>
      <w:r w:rsidR="009B4E29" w:rsidRPr="003E3613">
        <w:rPr>
          <w:rFonts w:ascii="Book Antiqua" w:hAnsi="Book Antiqua"/>
          <w:sz w:val="23"/>
          <w:szCs w:val="23"/>
          <w:lang w:val="en-GB"/>
        </w:rPr>
        <w:t xml:space="preserve">previous </w:t>
      </w:r>
      <w:r w:rsidR="00BB4C0B" w:rsidRPr="003E3613">
        <w:rPr>
          <w:rFonts w:ascii="Book Antiqua" w:hAnsi="Book Antiqua"/>
          <w:sz w:val="23"/>
          <w:szCs w:val="23"/>
          <w:lang w:val="en-GB"/>
        </w:rPr>
        <w:t xml:space="preserve">unfortunate </w:t>
      </w:r>
      <w:r w:rsidR="009B4E29" w:rsidRPr="003E3613">
        <w:rPr>
          <w:rFonts w:ascii="Book Antiqua" w:hAnsi="Book Antiqua"/>
          <w:sz w:val="23"/>
          <w:szCs w:val="23"/>
          <w:lang w:val="en-GB"/>
        </w:rPr>
        <w:t>and opaque situation widely referred to as ‘church business’</w:t>
      </w:r>
      <w:r w:rsidR="00BB4C0B" w:rsidRPr="003E3613">
        <w:rPr>
          <w:rFonts w:ascii="Book Antiqua" w:hAnsi="Book Antiqua"/>
          <w:sz w:val="23"/>
          <w:szCs w:val="23"/>
          <w:lang w:val="en-GB"/>
        </w:rPr>
        <w:t>. The regulation recognize</w:t>
      </w:r>
      <w:r w:rsidR="00F10FB8" w:rsidRPr="003E3613">
        <w:rPr>
          <w:rFonts w:ascii="Book Antiqua" w:hAnsi="Book Antiqua"/>
          <w:sz w:val="23"/>
          <w:szCs w:val="23"/>
          <w:lang w:val="en-GB"/>
        </w:rPr>
        <w:t>d</w:t>
      </w:r>
      <w:r w:rsidR="00BB4C0B" w:rsidRPr="003E3613">
        <w:rPr>
          <w:rFonts w:ascii="Book Antiqua" w:hAnsi="Book Antiqua"/>
          <w:sz w:val="23"/>
          <w:szCs w:val="23"/>
          <w:lang w:val="en-GB"/>
        </w:rPr>
        <w:t xml:space="preserve"> </w:t>
      </w:r>
      <w:r w:rsidR="0022386E" w:rsidRPr="003E3613">
        <w:rPr>
          <w:rFonts w:ascii="Book Antiqua" w:hAnsi="Book Antiqua"/>
          <w:sz w:val="23"/>
          <w:szCs w:val="23"/>
          <w:lang w:val="en-GB"/>
        </w:rPr>
        <w:t>32</w:t>
      </w:r>
      <w:r w:rsidR="00BB4C0B" w:rsidRPr="003E3613">
        <w:rPr>
          <w:rFonts w:ascii="Book Antiqua" w:hAnsi="Book Antiqua"/>
          <w:sz w:val="23"/>
          <w:szCs w:val="23"/>
          <w:lang w:val="en-GB"/>
        </w:rPr>
        <w:t xml:space="preserve"> traditional churches, denominations and faith-based communities compared to the </w:t>
      </w:r>
      <w:r w:rsidR="00272696" w:rsidRPr="003E3613">
        <w:rPr>
          <w:rFonts w:ascii="Book Antiqua" w:hAnsi="Book Antiqua"/>
          <w:sz w:val="23"/>
          <w:szCs w:val="23"/>
          <w:lang w:val="en-GB"/>
        </w:rPr>
        <w:t xml:space="preserve">some </w:t>
      </w:r>
      <w:r w:rsidR="00BB4C0B" w:rsidRPr="003E3613">
        <w:rPr>
          <w:rFonts w:ascii="Book Antiqua" w:hAnsi="Book Antiqua"/>
          <w:sz w:val="23"/>
          <w:szCs w:val="23"/>
          <w:lang w:val="en-GB"/>
        </w:rPr>
        <w:t>2</w:t>
      </w:r>
      <w:r w:rsidR="00272696" w:rsidRPr="003E3613">
        <w:rPr>
          <w:rFonts w:ascii="Book Antiqua" w:hAnsi="Book Antiqua"/>
          <w:sz w:val="23"/>
          <w:szCs w:val="23"/>
          <w:lang w:val="en-GB"/>
        </w:rPr>
        <w:t>00</w:t>
      </w:r>
      <w:r w:rsidR="00BB4C0B" w:rsidRPr="003E3613">
        <w:rPr>
          <w:rFonts w:ascii="Book Antiqua" w:hAnsi="Book Antiqua"/>
          <w:sz w:val="23"/>
          <w:szCs w:val="23"/>
          <w:lang w:val="en-GB"/>
        </w:rPr>
        <w:t xml:space="preserve"> recognized </w:t>
      </w:r>
      <w:r w:rsidR="00272696" w:rsidRPr="003E3613">
        <w:rPr>
          <w:rFonts w:ascii="Book Antiqua" w:hAnsi="Book Antiqua"/>
          <w:sz w:val="23"/>
          <w:szCs w:val="23"/>
          <w:lang w:val="en-GB"/>
        </w:rPr>
        <w:t xml:space="preserve">ones </w:t>
      </w:r>
      <w:r w:rsidR="00BB4C0B" w:rsidRPr="003E3613">
        <w:rPr>
          <w:rFonts w:ascii="Book Antiqua" w:hAnsi="Book Antiqua"/>
          <w:sz w:val="23"/>
          <w:szCs w:val="23"/>
          <w:lang w:val="en-GB"/>
        </w:rPr>
        <w:t xml:space="preserve">before the adoption of the Act, among which the “Eye of Heart Contemplative Order” the “Message-societies” </w:t>
      </w:r>
      <w:r w:rsidR="00272696" w:rsidRPr="003E3613">
        <w:rPr>
          <w:rFonts w:ascii="Book Antiqua" w:hAnsi="Book Antiqua"/>
          <w:sz w:val="23"/>
          <w:szCs w:val="23"/>
          <w:lang w:val="en-GB"/>
        </w:rPr>
        <w:t xml:space="preserve">or the “Witch Alliance” </w:t>
      </w:r>
      <w:r w:rsidR="00BB4C0B" w:rsidRPr="003E3613">
        <w:rPr>
          <w:rFonts w:ascii="Book Antiqua" w:hAnsi="Book Antiqua"/>
          <w:sz w:val="23"/>
          <w:szCs w:val="23"/>
          <w:lang w:val="en-GB"/>
        </w:rPr>
        <w:t xml:space="preserve">were held in exactly the same status as </w:t>
      </w:r>
      <w:r w:rsidR="009B4E29" w:rsidRPr="003E3613">
        <w:rPr>
          <w:rFonts w:ascii="Book Antiqua" w:hAnsi="Book Antiqua"/>
          <w:sz w:val="23"/>
          <w:szCs w:val="23"/>
          <w:lang w:val="en-GB"/>
        </w:rPr>
        <w:t xml:space="preserve">for example </w:t>
      </w:r>
      <w:r w:rsidR="00BB4C0B" w:rsidRPr="003E3613">
        <w:rPr>
          <w:rFonts w:ascii="Book Antiqua" w:hAnsi="Book Antiqua"/>
          <w:sz w:val="23"/>
          <w:szCs w:val="23"/>
          <w:lang w:val="en-GB"/>
        </w:rPr>
        <w:t>the Hungarian Catholic Church</w:t>
      </w:r>
      <w:r w:rsidR="00185FE2" w:rsidRPr="003E3613">
        <w:rPr>
          <w:rFonts w:ascii="Book Antiqua" w:hAnsi="Book Antiqua"/>
          <w:sz w:val="23"/>
          <w:szCs w:val="23"/>
          <w:lang w:val="en-GB"/>
        </w:rPr>
        <w:t>.</w:t>
      </w:r>
      <w:r w:rsidR="008D1BAE" w:rsidRPr="003E3613">
        <w:rPr>
          <w:rFonts w:ascii="Book Antiqua" w:hAnsi="Book Antiqua"/>
          <w:sz w:val="23"/>
          <w:szCs w:val="23"/>
          <w:lang w:val="en-GB"/>
        </w:rPr>
        <w:t xml:space="preserve"> The current number of established churches (32) is above the European average. In addition, 10 people may set up a religious </w:t>
      </w:r>
      <w:r w:rsidR="00BD0A8B" w:rsidRPr="003E3613">
        <w:rPr>
          <w:rFonts w:ascii="Book Antiqua" w:hAnsi="Book Antiqua"/>
          <w:sz w:val="23"/>
          <w:szCs w:val="23"/>
          <w:lang w:val="en-GB"/>
        </w:rPr>
        <w:t>organisation</w:t>
      </w:r>
      <w:r w:rsidR="008D1BAE" w:rsidRPr="003E3613">
        <w:rPr>
          <w:rFonts w:ascii="Book Antiqua" w:hAnsi="Book Antiqua"/>
          <w:sz w:val="23"/>
          <w:szCs w:val="23"/>
          <w:lang w:val="en-GB"/>
        </w:rPr>
        <w:t xml:space="preserve"> in Hungary, which also ensures that freedom of religion is guaranteed</w:t>
      </w:r>
      <w:r w:rsidR="008B7A79" w:rsidRPr="003E3613">
        <w:rPr>
          <w:rFonts w:ascii="Book Antiqua" w:hAnsi="Book Antiqua"/>
          <w:sz w:val="23"/>
          <w:szCs w:val="23"/>
          <w:lang w:val="en-GB"/>
        </w:rPr>
        <w:t>.</w:t>
      </w:r>
    </w:p>
    <w:p w14:paraId="34C0A474" w14:textId="77777777" w:rsidR="00ED7A93" w:rsidRPr="003E3613" w:rsidRDefault="00ED7A93" w:rsidP="00204696">
      <w:pPr>
        <w:spacing w:after="0"/>
        <w:jc w:val="both"/>
        <w:rPr>
          <w:rFonts w:ascii="Book Antiqua" w:hAnsi="Book Antiqua"/>
          <w:sz w:val="23"/>
          <w:szCs w:val="23"/>
          <w:lang w:val="en-GB"/>
        </w:rPr>
      </w:pPr>
    </w:p>
    <w:p w14:paraId="5D71B72D" w14:textId="77777777" w:rsidR="00ED7A93" w:rsidRPr="003E3613" w:rsidRDefault="005D0A19" w:rsidP="00204696">
      <w:pPr>
        <w:spacing w:after="0"/>
        <w:jc w:val="both"/>
        <w:rPr>
          <w:rFonts w:ascii="Book Antiqua" w:hAnsi="Book Antiqua"/>
          <w:sz w:val="23"/>
          <w:szCs w:val="23"/>
          <w:lang w:val="en-GB"/>
        </w:rPr>
      </w:pPr>
      <w:r w:rsidRPr="003E3613">
        <w:rPr>
          <w:rFonts w:ascii="Book Antiqua" w:hAnsi="Book Antiqua"/>
          <w:sz w:val="23"/>
          <w:szCs w:val="23"/>
          <w:lang w:val="en-GB"/>
        </w:rPr>
        <w:t>The Act, which entered into force on 1</w:t>
      </w:r>
      <w:r w:rsidR="00AE346F" w:rsidRPr="003E3613">
        <w:rPr>
          <w:rFonts w:ascii="Book Antiqua" w:hAnsi="Book Antiqua"/>
          <w:sz w:val="23"/>
          <w:szCs w:val="23"/>
          <w:vertAlign w:val="superscript"/>
          <w:lang w:val="en-GB"/>
        </w:rPr>
        <w:t xml:space="preserve"> </w:t>
      </w:r>
      <w:r w:rsidRPr="003E3613">
        <w:rPr>
          <w:rFonts w:ascii="Book Antiqua" w:hAnsi="Book Antiqua"/>
          <w:sz w:val="23"/>
          <w:szCs w:val="23"/>
          <w:lang w:val="en-GB"/>
        </w:rPr>
        <w:t xml:space="preserve">January 2012, guaranteed the right to bodies earlier registered by the courts as churches to transform </w:t>
      </w:r>
      <w:r w:rsidR="0022386E" w:rsidRPr="003E3613">
        <w:rPr>
          <w:rFonts w:ascii="Book Antiqua" w:hAnsi="Book Antiqua"/>
          <w:sz w:val="23"/>
          <w:szCs w:val="23"/>
          <w:lang w:val="en-GB"/>
        </w:rPr>
        <w:t>in</w:t>
      </w:r>
      <w:r w:rsidRPr="003E3613">
        <w:rPr>
          <w:rFonts w:ascii="Book Antiqua" w:hAnsi="Book Antiqua"/>
          <w:sz w:val="23"/>
          <w:szCs w:val="23"/>
          <w:lang w:val="en-GB"/>
        </w:rPr>
        <w:t>to religious associations</w:t>
      </w:r>
      <w:r w:rsidR="008F1737" w:rsidRPr="003E3613">
        <w:rPr>
          <w:rFonts w:ascii="Book Antiqua" w:hAnsi="Book Antiqua"/>
          <w:sz w:val="23"/>
          <w:szCs w:val="23"/>
          <w:lang w:val="en-GB"/>
        </w:rPr>
        <w:t xml:space="preserve">, providing them legal continuity, whilst retaining their </w:t>
      </w:r>
      <w:r w:rsidRPr="003E3613">
        <w:rPr>
          <w:rFonts w:ascii="Book Antiqua" w:hAnsi="Book Antiqua"/>
          <w:sz w:val="23"/>
          <w:szCs w:val="23"/>
          <w:lang w:val="en-GB"/>
        </w:rPr>
        <w:t>legal personality and preserv</w:t>
      </w:r>
      <w:r w:rsidR="008F1737" w:rsidRPr="003E3613">
        <w:rPr>
          <w:rFonts w:ascii="Book Antiqua" w:hAnsi="Book Antiqua"/>
          <w:sz w:val="23"/>
          <w:szCs w:val="23"/>
          <w:lang w:val="en-GB"/>
        </w:rPr>
        <w:t xml:space="preserve">ing their property. According to the </w:t>
      </w:r>
      <w:r w:rsidRPr="003E3613">
        <w:rPr>
          <w:rFonts w:ascii="Book Antiqua" w:hAnsi="Book Antiqua"/>
          <w:sz w:val="23"/>
          <w:szCs w:val="23"/>
          <w:lang w:val="en-GB"/>
        </w:rPr>
        <w:t xml:space="preserve">2013 amendment, these communities automatically received the status of </w:t>
      </w:r>
      <w:r w:rsidR="00BD0A8B" w:rsidRPr="003E3613">
        <w:rPr>
          <w:rFonts w:ascii="Book Antiqua" w:hAnsi="Book Antiqua"/>
          <w:sz w:val="23"/>
          <w:szCs w:val="23"/>
          <w:lang w:val="en-GB"/>
        </w:rPr>
        <w:t>organisation</w:t>
      </w:r>
      <w:r w:rsidR="008F1737" w:rsidRPr="003E3613">
        <w:rPr>
          <w:rFonts w:ascii="Book Antiqua" w:hAnsi="Book Antiqua"/>
          <w:sz w:val="23"/>
          <w:szCs w:val="23"/>
          <w:lang w:val="en-GB"/>
        </w:rPr>
        <w:t>s performing religious activity</w:t>
      </w:r>
      <w:r w:rsidRPr="003E3613">
        <w:rPr>
          <w:rFonts w:ascii="Book Antiqua" w:hAnsi="Book Antiqua"/>
          <w:sz w:val="23"/>
          <w:szCs w:val="23"/>
          <w:lang w:val="en-GB"/>
        </w:rPr>
        <w:t xml:space="preserve"> and </w:t>
      </w:r>
      <w:r w:rsidR="008F1737" w:rsidRPr="003E3613">
        <w:rPr>
          <w:rFonts w:ascii="Book Antiqua" w:hAnsi="Book Antiqua"/>
          <w:sz w:val="23"/>
          <w:szCs w:val="23"/>
          <w:lang w:val="en-GB"/>
        </w:rPr>
        <w:t xml:space="preserve">they </w:t>
      </w:r>
      <w:r w:rsidR="00F10FB8" w:rsidRPr="003E3613">
        <w:rPr>
          <w:rFonts w:ascii="Book Antiqua" w:hAnsi="Book Antiqua"/>
          <w:sz w:val="23"/>
          <w:szCs w:val="23"/>
          <w:lang w:val="en-GB"/>
        </w:rPr>
        <w:t>we</w:t>
      </w:r>
      <w:r w:rsidR="008F1737" w:rsidRPr="003E3613">
        <w:rPr>
          <w:rFonts w:ascii="Book Antiqua" w:hAnsi="Book Antiqua"/>
          <w:sz w:val="23"/>
          <w:szCs w:val="23"/>
          <w:lang w:val="en-GB"/>
        </w:rPr>
        <w:t xml:space="preserve">re entitled to use the </w:t>
      </w:r>
      <w:r w:rsidR="0022386E" w:rsidRPr="003E3613">
        <w:rPr>
          <w:rFonts w:ascii="Book Antiqua" w:hAnsi="Book Antiqua"/>
          <w:sz w:val="23"/>
          <w:szCs w:val="23"/>
          <w:lang w:val="en-GB"/>
        </w:rPr>
        <w:t>term “</w:t>
      </w:r>
      <w:r w:rsidR="008F1737" w:rsidRPr="003E3613">
        <w:rPr>
          <w:rFonts w:ascii="Book Antiqua" w:hAnsi="Book Antiqua"/>
          <w:sz w:val="23"/>
          <w:szCs w:val="23"/>
          <w:lang w:val="en-GB"/>
        </w:rPr>
        <w:t>church</w:t>
      </w:r>
      <w:r w:rsidR="0022386E" w:rsidRPr="003E3613">
        <w:rPr>
          <w:rFonts w:ascii="Book Antiqua" w:hAnsi="Book Antiqua"/>
          <w:sz w:val="23"/>
          <w:szCs w:val="23"/>
          <w:lang w:val="en-GB"/>
        </w:rPr>
        <w:t>”</w:t>
      </w:r>
      <w:r w:rsidR="008F1737" w:rsidRPr="003E3613">
        <w:rPr>
          <w:rFonts w:ascii="Book Antiqua" w:hAnsi="Book Antiqua"/>
          <w:sz w:val="23"/>
          <w:szCs w:val="23"/>
          <w:lang w:val="en-GB"/>
        </w:rPr>
        <w:t xml:space="preserve"> in their names</w:t>
      </w:r>
      <w:r w:rsidRPr="003E3613">
        <w:rPr>
          <w:rFonts w:ascii="Book Antiqua" w:hAnsi="Book Antiqua"/>
          <w:sz w:val="23"/>
          <w:szCs w:val="23"/>
          <w:lang w:val="en-GB"/>
        </w:rPr>
        <w:t>.</w:t>
      </w:r>
    </w:p>
    <w:p w14:paraId="6E8D2CA9" w14:textId="77777777" w:rsidR="00F50C18" w:rsidRPr="003E3613" w:rsidRDefault="00F50C18" w:rsidP="00204696">
      <w:pPr>
        <w:spacing w:after="0"/>
        <w:jc w:val="both"/>
        <w:rPr>
          <w:rFonts w:ascii="Book Antiqua" w:hAnsi="Book Antiqua"/>
          <w:sz w:val="23"/>
          <w:szCs w:val="23"/>
          <w:lang w:val="en-GB"/>
        </w:rPr>
      </w:pPr>
    </w:p>
    <w:p w14:paraId="38F73E24" w14:textId="77777777" w:rsidR="00F50C18" w:rsidRPr="003E3613" w:rsidRDefault="00F50C18"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Fundamental Law provides both the individual and collective freedom of religion, confirming the institutionalised recognition and organisation of churches. As the Fundamental Law explicitly recognises the rights of ‘religious communities’ that do not operate as churches, the status of a collective religious community and the basic freedoms stemming from the right of thought, conscience and religion are ensured in their entirety for these communities as well. The Constitutional Court decides on a case-by-case basis on the applicability of the criticized rules as declared in the decision </w:t>
      </w:r>
      <w:r w:rsidR="008B4AEF" w:rsidRPr="003E3613">
        <w:rPr>
          <w:rFonts w:ascii="Book Antiqua" w:hAnsi="Book Antiqua"/>
          <w:sz w:val="23"/>
          <w:szCs w:val="23"/>
          <w:lang w:val="en-GB"/>
        </w:rPr>
        <w:t xml:space="preserve">No. </w:t>
      </w:r>
      <w:r w:rsidRPr="003E3613">
        <w:rPr>
          <w:rFonts w:ascii="Book Antiqua" w:hAnsi="Book Antiqua"/>
          <w:sz w:val="23"/>
          <w:szCs w:val="23"/>
          <w:lang w:val="en-GB"/>
        </w:rPr>
        <w:t xml:space="preserve">23/2015 </w:t>
      </w:r>
      <w:r w:rsidR="0044658E" w:rsidRPr="003E3613">
        <w:rPr>
          <w:rFonts w:ascii="Book Antiqua" w:hAnsi="Book Antiqua"/>
          <w:sz w:val="23"/>
          <w:szCs w:val="23"/>
          <w:lang w:val="en-GB"/>
        </w:rPr>
        <w:t xml:space="preserve">(VII. 7.) </w:t>
      </w:r>
      <w:r w:rsidRPr="003E3613">
        <w:rPr>
          <w:rFonts w:ascii="Book Antiqua" w:hAnsi="Book Antiqua"/>
          <w:sz w:val="23"/>
          <w:szCs w:val="23"/>
          <w:lang w:val="en-GB"/>
        </w:rPr>
        <w:t>of the Constitutional Court.</w:t>
      </w:r>
    </w:p>
    <w:p w14:paraId="0017B08A" w14:textId="77777777" w:rsidR="00ED7A93" w:rsidRPr="003E3613" w:rsidRDefault="00ED7A93" w:rsidP="00204696">
      <w:pPr>
        <w:spacing w:after="0"/>
        <w:jc w:val="both"/>
        <w:rPr>
          <w:rFonts w:ascii="Book Antiqua" w:hAnsi="Book Antiqua"/>
          <w:sz w:val="23"/>
          <w:szCs w:val="23"/>
          <w:lang w:val="en-GB"/>
        </w:rPr>
      </w:pPr>
    </w:p>
    <w:p w14:paraId="27DC6039" w14:textId="77777777" w:rsidR="008F1737" w:rsidRPr="003E3613" w:rsidRDefault="008F1737" w:rsidP="00204696">
      <w:pPr>
        <w:spacing w:after="0"/>
        <w:jc w:val="both"/>
        <w:rPr>
          <w:rFonts w:ascii="Book Antiqua" w:hAnsi="Book Antiqua"/>
          <w:sz w:val="23"/>
          <w:szCs w:val="23"/>
          <w:lang w:val="en-GB"/>
        </w:rPr>
      </w:pPr>
      <w:r w:rsidRPr="003E3613">
        <w:rPr>
          <w:rFonts w:ascii="Book Antiqua" w:hAnsi="Book Antiqua"/>
          <w:sz w:val="23"/>
          <w:szCs w:val="23"/>
          <w:lang w:val="en-GB"/>
        </w:rPr>
        <w:t>The 2013 Report of the State Department of the United States of America on the freedom of religion, published on the 28 July 2014, found that in Hungary the Fundamental Law and other legislation generally protect the freedom of religion, and according to the 2013 amendment, the differences between religious communities have decreased.</w:t>
      </w:r>
      <w:r w:rsidR="006D2D30" w:rsidRPr="003E3613">
        <w:rPr>
          <w:rFonts w:ascii="Book Antiqua" w:hAnsi="Book Antiqua"/>
          <w:sz w:val="23"/>
          <w:szCs w:val="23"/>
          <w:lang w:val="en-GB"/>
        </w:rPr>
        <w:t xml:space="preserve"> The 2017 Report, also issued by the US State Department reaffirme</w:t>
      </w:r>
      <w:r w:rsidR="00F10FB8" w:rsidRPr="003E3613">
        <w:rPr>
          <w:rFonts w:ascii="Book Antiqua" w:hAnsi="Book Antiqua"/>
          <w:sz w:val="23"/>
          <w:szCs w:val="23"/>
          <w:lang w:val="en-GB"/>
        </w:rPr>
        <w:t>d</w:t>
      </w:r>
      <w:r w:rsidR="006D2D30" w:rsidRPr="003E3613">
        <w:rPr>
          <w:rFonts w:ascii="Book Antiqua" w:hAnsi="Book Antiqua"/>
          <w:sz w:val="23"/>
          <w:szCs w:val="23"/>
          <w:lang w:val="en-GB"/>
        </w:rPr>
        <w:t xml:space="preserve"> that “unregistered religious communities” </w:t>
      </w:r>
      <w:r w:rsidR="00F10FB8" w:rsidRPr="003E3613">
        <w:rPr>
          <w:rFonts w:ascii="Book Antiqua" w:hAnsi="Book Antiqua"/>
          <w:sz w:val="23"/>
          <w:szCs w:val="23"/>
          <w:lang w:val="en-GB"/>
        </w:rPr>
        <w:t>we</w:t>
      </w:r>
      <w:r w:rsidR="006D2D30" w:rsidRPr="003E3613">
        <w:rPr>
          <w:rFonts w:ascii="Book Antiqua" w:hAnsi="Book Antiqua"/>
          <w:sz w:val="23"/>
          <w:szCs w:val="23"/>
          <w:lang w:val="en-GB"/>
        </w:rPr>
        <w:t xml:space="preserve">re protected and </w:t>
      </w:r>
      <w:r w:rsidR="00F10FB8" w:rsidRPr="003E3613">
        <w:rPr>
          <w:rFonts w:ascii="Book Antiqua" w:hAnsi="Book Antiqua"/>
          <w:sz w:val="23"/>
          <w:szCs w:val="23"/>
          <w:lang w:val="en-GB"/>
        </w:rPr>
        <w:t>we</w:t>
      </w:r>
      <w:r w:rsidR="006D2D30" w:rsidRPr="003E3613">
        <w:rPr>
          <w:rFonts w:ascii="Book Antiqua" w:hAnsi="Book Antiqua"/>
          <w:sz w:val="23"/>
          <w:szCs w:val="23"/>
          <w:lang w:val="en-GB"/>
        </w:rPr>
        <w:t>re free to exercise their religious practices. The 2018 Report concluded that the Fundamental Law provide</w:t>
      </w:r>
      <w:r w:rsidR="00AE346F" w:rsidRPr="003E3613">
        <w:rPr>
          <w:rFonts w:ascii="Book Antiqua" w:hAnsi="Book Antiqua"/>
          <w:sz w:val="23"/>
          <w:szCs w:val="23"/>
          <w:lang w:val="en-GB"/>
        </w:rPr>
        <w:t>d</w:t>
      </w:r>
      <w:r w:rsidR="006D2D30" w:rsidRPr="003E3613">
        <w:rPr>
          <w:rFonts w:ascii="Book Antiqua" w:hAnsi="Book Antiqua"/>
          <w:sz w:val="23"/>
          <w:szCs w:val="23"/>
          <w:lang w:val="en-GB"/>
        </w:rPr>
        <w:t xml:space="preserve"> for freedom of religion, including freedom to choose, change, or manifest religion or belief, cite</w:t>
      </w:r>
      <w:r w:rsidR="00AE346F" w:rsidRPr="003E3613">
        <w:rPr>
          <w:rFonts w:ascii="Book Antiqua" w:hAnsi="Book Antiqua"/>
          <w:sz w:val="23"/>
          <w:szCs w:val="23"/>
          <w:lang w:val="en-GB"/>
        </w:rPr>
        <w:t>d</w:t>
      </w:r>
      <w:r w:rsidR="006D2D30" w:rsidRPr="003E3613">
        <w:rPr>
          <w:rFonts w:ascii="Book Antiqua" w:hAnsi="Book Antiqua"/>
          <w:sz w:val="23"/>
          <w:szCs w:val="23"/>
          <w:lang w:val="en-GB"/>
        </w:rPr>
        <w:t xml:space="preserve"> “the role of Christianity” in “preserving nationhood,” and value</w:t>
      </w:r>
      <w:r w:rsidR="00AE346F" w:rsidRPr="003E3613">
        <w:rPr>
          <w:rFonts w:ascii="Book Antiqua" w:hAnsi="Book Antiqua"/>
          <w:sz w:val="23"/>
          <w:szCs w:val="23"/>
          <w:lang w:val="en-GB"/>
        </w:rPr>
        <w:t>d</w:t>
      </w:r>
      <w:r w:rsidR="006D2D30" w:rsidRPr="003E3613">
        <w:rPr>
          <w:rFonts w:ascii="Book Antiqua" w:hAnsi="Book Antiqua"/>
          <w:sz w:val="23"/>
          <w:szCs w:val="23"/>
          <w:lang w:val="en-GB"/>
        </w:rPr>
        <w:t xml:space="preserve"> “various religious traditions.” It prohibit</w:t>
      </w:r>
      <w:r w:rsidR="00AE346F" w:rsidRPr="003E3613">
        <w:rPr>
          <w:rFonts w:ascii="Book Antiqua" w:hAnsi="Book Antiqua"/>
          <w:sz w:val="23"/>
          <w:szCs w:val="23"/>
          <w:lang w:val="en-GB"/>
        </w:rPr>
        <w:t>ed</w:t>
      </w:r>
      <w:r w:rsidR="006D2D30" w:rsidRPr="003E3613">
        <w:rPr>
          <w:rFonts w:ascii="Book Antiqua" w:hAnsi="Book Antiqua"/>
          <w:sz w:val="23"/>
          <w:szCs w:val="23"/>
          <w:lang w:val="en-GB"/>
        </w:rPr>
        <w:t xml:space="preserve"> religious discrimination and speech, violating the dignity of any religious community and stipulate</w:t>
      </w:r>
      <w:r w:rsidR="00AE346F" w:rsidRPr="003E3613">
        <w:rPr>
          <w:rFonts w:ascii="Book Antiqua" w:hAnsi="Book Antiqua"/>
          <w:sz w:val="23"/>
          <w:szCs w:val="23"/>
          <w:lang w:val="en-GB"/>
        </w:rPr>
        <w:t>d</w:t>
      </w:r>
      <w:r w:rsidR="006D2D30" w:rsidRPr="003E3613">
        <w:rPr>
          <w:rFonts w:ascii="Book Antiqua" w:hAnsi="Book Antiqua"/>
          <w:sz w:val="23"/>
          <w:szCs w:val="23"/>
          <w:lang w:val="en-GB"/>
        </w:rPr>
        <w:t xml:space="preserve"> the autonomy of religious communities.</w:t>
      </w:r>
    </w:p>
    <w:p w14:paraId="4C642620" w14:textId="77777777" w:rsidR="00185FE2" w:rsidRPr="003E3613" w:rsidRDefault="00185FE2" w:rsidP="00204696">
      <w:pPr>
        <w:spacing w:after="0"/>
        <w:jc w:val="both"/>
        <w:rPr>
          <w:rFonts w:ascii="Book Antiqua" w:hAnsi="Book Antiqua"/>
          <w:sz w:val="23"/>
          <w:szCs w:val="23"/>
          <w:lang w:val="en-GB"/>
        </w:rPr>
      </w:pPr>
    </w:p>
    <w:p w14:paraId="391782AD" w14:textId="77777777" w:rsidR="00046CB7" w:rsidRPr="003E3613" w:rsidRDefault="00185FE2"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In </w:t>
      </w:r>
      <w:r w:rsidR="00524AD3" w:rsidRPr="003E3613">
        <w:rPr>
          <w:rFonts w:ascii="Book Antiqua" w:hAnsi="Book Antiqua"/>
          <w:sz w:val="23"/>
          <w:szCs w:val="23"/>
          <w:lang w:val="en-GB"/>
        </w:rPr>
        <w:t>five</w:t>
      </w:r>
      <w:r w:rsidR="000262F6" w:rsidRPr="003E3613">
        <w:rPr>
          <w:rFonts w:ascii="Book Antiqua" w:hAnsi="Book Antiqua"/>
          <w:sz w:val="23"/>
          <w:szCs w:val="23"/>
          <w:lang w:val="en-GB"/>
        </w:rPr>
        <w:t xml:space="preserve"> EU Member States </w:t>
      </w:r>
      <w:r w:rsidRPr="003E3613">
        <w:rPr>
          <w:rFonts w:ascii="Book Antiqua" w:hAnsi="Book Antiqua"/>
          <w:sz w:val="23"/>
          <w:szCs w:val="23"/>
          <w:lang w:val="en-GB"/>
        </w:rPr>
        <w:t xml:space="preserve">there are ‘national churches’ (state religions) and in </w:t>
      </w:r>
      <w:r w:rsidR="00E473A7" w:rsidRPr="003E3613">
        <w:rPr>
          <w:rFonts w:ascii="Book Antiqua" w:hAnsi="Book Antiqua"/>
          <w:sz w:val="23"/>
          <w:szCs w:val="23"/>
          <w:lang w:val="en-GB"/>
        </w:rPr>
        <w:t xml:space="preserve">at least </w:t>
      </w:r>
      <w:r w:rsidR="00524AD3" w:rsidRPr="003E3613">
        <w:rPr>
          <w:rFonts w:ascii="Book Antiqua" w:hAnsi="Book Antiqua"/>
          <w:sz w:val="23"/>
          <w:szCs w:val="23"/>
          <w:lang w:val="en-GB"/>
        </w:rPr>
        <w:t xml:space="preserve">two </w:t>
      </w:r>
      <w:r w:rsidRPr="003E3613">
        <w:rPr>
          <w:rFonts w:ascii="Book Antiqua" w:hAnsi="Book Antiqua"/>
          <w:sz w:val="23"/>
          <w:szCs w:val="23"/>
          <w:lang w:val="en-GB"/>
        </w:rPr>
        <w:t xml:space="preserve">Member States there is no separate legal category for other religious groups at all. This means that such communities may choose only other private law statuses, such as association or foundation. </w:t>
      </w:r>
      <w:r w:rsidR="006254BE" w:rsidRPr="003E3613">
        <w:rPr>
          <w:rFonts w:ascii="Book Antiqua" w:hAnsi="Book Antiqua"/>
          <w:sz w:val="23"/>
          <w:szCs w:val="23"/>
          <w:lang w:val="en-GB"/>
        </w:rPr>
        <w:t xml:space="preserve">There are examples in the EU for </w:t>
      </w:r>
      <w:r w:rsidRPr="003E3613">
        <w:rPr>
          <w:rFonts w:ascii="Book Antiqua" w:hAnsi="Book Antiqua"/>
          <w:sz w:val="23"/>
          <w:szCs w:val="23"/>
          <w:lang w:val="en-GB"/>
        </w:rPr>
        <w:t xml:space="preserve">a strict separation of church and state, as a result of which there is no distinct category in place for churches. The majority of Member States </w:t>
      </w:r>
      <w:r w:rsidR="0044658E" w:rsidRPr="003E3613">
        <w:rPr>
          <w:rFonts w:ascii="Book Antiqua" w:hAnsi="Book Antiqua"/>
          <w:sz w:val="23"/>
          <w:szCs w:val="23"/>
          <w:lang w:val="en-GB"/>
        </w:rPr>
        <w:t xml:space="preserve">clearly distinguishes </w:t>
      </w:r>
      <w:r w:rsidRPr="003E3613">
        <w:rPr>
          <w:rFonts w:ascii="Book Antiqua" w:hAnsi="Book Antiqua"/>
          <w:sz w:val="23"/>
          <w:szCs w:val="23"/>
          <w:lang w:val="en-GB"/>
        </w:rPr>
        <w:t xml:space="preserve">between the legal status of historic </w:t>
      </w:r>
      <w:r w:rsidR="0044658E" w:rsidRPr="003E3613">
        <w:rPr>
          <w:rFonts w:ascii="Book Antiqua" w:hAnsi="Book Antiqua"/>
          <w:sz w:val="23"/>
          <w:szCs w:val="23"/>
          <w:lang w:val="en-GB"/>
        </w:rPr>
        <w:t xml:space="preserve">(traditional) </w:t>
      </w:r>
      <w:r w:rsidRPr="003E3613">
        <w:rPr>
          <w:rFonts w:ascii="Book Antiqua" w:hAnsi="Book Antiqua"/>
          <w:sz w:val="23"/>
          <w:szCs w:val="23"/>
          <w:lang w:val="en-GB"/>
        </w:rPr>
        <w:t>churches and the status of other denominations and there are various legal forms for this distinction. In several Member States some churches are listed in the constitution, while others are subject to separate regulations or different ‘</w:t>
      </w:r>
      <w:r w:rsidRPr="003E3613">
        <w:rPr>
          <w:rFonts w:ascii="Book Antiqua" w:hAnsi="Book Antiqua"/>
          <w:i/>
          <w:sz w:val="23"/>
          <w:szCs w:val="23"/>
          <w:lang w:val="en-GB"/>
        </w:rPr>
        <w:t>sui generis</w:t>
      </w:r>
      <w:r w:rsidRPr="003E3613">
        <w:rPr>
          <w:rFonts w:ascii="Book Antiqua" w:hAnsi="Book Antiqua"/>
          <w:sz w:val="23"/>
          <w:szCs w:val="23"/>
          <w:lang w:val="en-GB"/>
        </w:rPr>
        <w:t xml:space="preserve">’ statuses provided for them. </w:t>
      </w:r>
      <w:r w:rsidR="006254BE" w:rsidRPr="003E3613">
        <w:rPr>
          <w:rFonts w:ascii="Book Antiqua" w:hAnsi="Book Antiqua"/>
          <w:sz w:val="23"/>
          <w:szCs w:val="23"/>
          <w:lang w:val="en-GB"/>
        </w:rPr>
        <w:t>The system of at least one EU Member State</w:t>
      </w:r>
      <w:r w:rsidR="00AC6807" w:rsidRPr="003E3613">
        <w:rPr>
          <w:rFonts w:ascii="Book Antiqua" w:hAnsi="Book Antiqua"/>
          <w:sz w:val="23"/>
          <w:szCs w:val="23"/>
          <w:lang w:val="en-GB"/>
        </w:rPr>
        <w:t xml:space="preserve"> </w:t>
      </w:r>
      <w:r w:rsidRPr="003E3613">
        <w:rPr>
          <w:rFonts w:ascii="Book Antiqua" w:hAnsi="Book Antiqua"/>
          <w:sz w:val="23"/>
          <w:szCs w:val="23"/>
          <w:lang w:val="en-GB"/>
        </w:rPr>
        <w:t>is almost identical with the Hungarian</w:t>
      </w:r>
      <w:r w:rsidR="00090632" w:rsidRPr="003E3613">
        <w:rPr>
          <w:rFonts w:ascii="Book Antiqua" w:hAnsi="Book Antiqua"/>
          <w:sz w:val="23"/>
          <w:szCs w:val="23"/>
          <w:lang w:val="en-GB"/>
        </w:rPr>
        <w:t xml:space="preserve"> one</w:t>
      </w:r>
      <w:r w:rsidRPr="003E3613">
        <w:rPr>
          <w:rFonts w:ascii="Book Antiqua" w:hAnsi="Book Antiqua"/>
          <w:sz w:val="23"/>
          <w:szCs w:val="23"/>
          <w:lang w:val="en-GB"/>
        </w:rPr>
        <w:t>: official recognition is provided by the Parliament. The case-law of the ECtHR recognizes the right of states to create various legal categories for religious communities, the basic prerequisite of which is that some kind of a legal form shall be available without obstacles.</w:t>
      </w:r>
      <w:r w:rsidR="009B562C" w:rsidRPr="003E3613">
        <w:rPr>
          <w:rFonts w:ascii="Book Antiqua" w:hAnsi="Book Antiqua"/>
          <w:sz w:val="23"/>
          <w:szCs w:val="23"/>
          <w:lang w:val="en-GB"/>
        </w:rPr>
        <w:t xml:space="preserve"> </w:t>
      </w:r>
      <w:r w:rsidR="00524AD3" w:rsidRPr="003E3613">
        <w:rPr>
          <w:rFonts w:ascii="Book Antiqua" w:hAnsi="Book Antiqua"/>
          <w:sz w:val="23"/>
          <w:szCs w:val="23"/>
          <w:lang w:val="en-GB"/>
        </w:rPr>
        <w:t xml:space="preserve">It is also worth mentioning that in 1568, the Hungarian </w:t>
      </w:r>
      <w:r w:rsidR="002D6620" w:rsidRPr="003E3613">
        <w:rPr>
          <w:rFonts w:ascii="Book Antiqua" w:hAnsi="Book Antiqua"/>
          <w:sz w:val="23"/>
          <w:szCs w:val="23"/>
          <w:lang w:val="en-GB"/>
        </w:rPr>
        <w:t>N</w:t>
      </w:r>
      <w:r w:rsidR="00524AD3" w:rsidRPr="003E3613">
        <w:rPr>
          <w:rFonts w:ascii="Book Antiqua" w:hAnsi="Book Antiqua"/>
          <w:sz w:val="23"/>
          <w:szCs w:val="23"/>
          <w:lang w:val="en-GB"/>
        </w:rPr>
        <w:t xml:space="preserve">ational </w:t>
      </w:r>
      <w:r w:rsidR="002D6620" w:rsidRPr="003E3613">
        <w:rPr>
          <w:rFonts w:ascii="Book Antiqua" w:hAnsi="Book Antiqua"/>
          <w:sz w:val="23"/>
          <w:szCs w:val="23"/>
          <w:lang w:val="en-GB"/>
        </w:rPr>
        <w:t>A</w:t>
      </w:r>
      <w:r w:rsidR="00524AD3" w:rsidRPr="003E3613">
        <w:rPr>
          <w:rFonts w:ascii="Book Antiqua" w:hAnsi="Book Antiqua"/>
          <w:sz w:val="23"/>
          <w:szCs w:val="23"/>
          <w:lang w:val="en-GB"/>
        </w:rPr>
        <w:t>ssembly of Torda (Transylvania) was one of the first in Europe to declare free practice of any Christian religion (Catholicism, Calvinism, Lutheranism, Unitarianism</w:t>
      </w:r>
      <w:r w:rsidR="007E2EF3" w:rsidRPr="003E3613">
        <w:rPr>
          <w:rFonts w:ascii="Book Antiqua" w:hAnsi="Book Antiqua"/>
          <w:sz w:val="23"/>
          <w:szCs w:val="23"/>
          <w:lang w:val="en-GB"/>
        </w:rPr>
        <w:t>)</w:t>
      </w:r>
      <w:r w:rsidR="00524AD3" w:rsidRPr="003E3613">
        <w:rPr>
          <w:rFonts w:ascii="Book Antiqua" w:hAnsi="Book Antiqua"/>
          <w:sz w:val="23"/>
          <w:szCs w:val="23"/>
          <w:lang w:val="en-GB"/>
        </w:rPr>
        <w:t>.</w:t>
      </w:r>
    </w:p>
    <w:p w14:paraId="55FCF3A6" w14:textId="77777777" w:rsidR="00CE7DB3" w:rsidRPr="003E3613" w:rsidRDefault="00CE7DB3" w:rsidP="00204696">
      <w:pPr>
        <w:spacing w:after="0"/>
        <w:jc w:val="both"/>
        <w:rPr>
          <w:rFonts w:ascii="Book Antiqua" w:hAnsi="Book Antiqua"/>
          <w:i/>
          <w:sz w:val="23"/>
          <w:szCs w:val="23"/>
          <w:lang w:val="en-GB"/>
        </w:rPr>
      </w:pPr>
    </w:p>
    <w:p w14:paraId="641C081C" w14:textId="77777777" w:rsidR="00CE5082" w:rsidRPr="003E3613" w:rsidRDefault="00CE5082" w:rsidP="00204696">
      <w:pPr>
        <w:pStyle w:val="Heading2"/>
        <w:keepNext w:val="0"/>
        <w:keepLines w:val="0"/>
        <w:spacing w:before="0"/>
        <w:rPr>
          <w:rFonts w:ascii="Book Antiqua" w:hAnsi="Book Antiqua"/>
          <w:color w:val="auto"/>
          <w:sz w:val="23"/>
          <w:szCs w:val="23"/>
          <w:lang w:val="en-GB"/>
        </w:rPr>
      </w:pPr>
      <w:bookmarkStart w:id="39" w:name="_Toc19120800"/>
      <w:r w:rsidRPr="003E3613">
        <w:rPr>
          <w:rFonts w:ascii="Book Antiqua" w:hAnsi="Book Antiqua"/>
          <w:color w:val="auto"/>
          <w:sz w:val="23"/>
          <w:szCs w:val="23"/>
          <w:lang w:val="en-GB"/>
        </w:rPr>
        <w:t>Unconstitutional deregistration of recognised churches</w:t>
      </w:r>
      <w:bookmarkEnd w:id="39"/>
    </w:p>
    <w:p w14:paraId="22700E17" w14:textId="77777777" w:rsidR="008E1C47" w:rsidRPr="003E3613" w:rsidRDefault="008E1C47" w:rsidP="00204696">
      <w:pPr>
        <w:spacing w:after="0"/>
        <w:jc w:val="both"/>
        <w:rPr>
          <w:rFonts w:ascii="Book Antiqua" w:hAnsi="Book Antiqua"/>
          <w:b/>
          <w:sz w:val="23"/>
          <w:szCs w:val="23"/>
          <w:lang w:val="en-GB"/>
        </w:rPr>
      </w:pPr>
    </w:p>
    <w:p w14:paraId="3FD93BC2"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A41E5F" w:rsidRPr="003E3613">
        <w:rPr>
          <w:rFonts w:ascii="Book Antiqua" w:hAnsi="Book Antiqua"/>
          <w:i/>
          <w:sz w:val="23"/>
          <w:szCs w:val="23"/>
          <w:lang w:val="en-GB"/>
        </w:rPr>
        <w:t>3</w:t>
      </w:r>
      <w:r w:rsidR="00006F80" w:rsidRPr="003E3613">
        <w:rPr>
          <w:rFonts w:ascii="Book Antiqua" w:hAnsi="Book Antiqua"/>
          <w:i/>
          <w:sz w:val="23"/>
          <w:szCs w:val="23"/>
          <w:lang w:val="en-GB"/>
        </w:rPr>
        <w:t>8</w:t>
      </w:r>
      <w:r w:rsidRPr="003E3613">
        <w:rPr>
          <w:rFonts w:ascii="Book Antiqua" w:hAnsi="Book Antiqua"/>
          <w:i/>
          <w:sz w:val="23"/>
          <w:szCs w:val="23"/>
          <w:lang w:val="en-GB"/>
        </w:rPr>
        <w:t xml:space="preserve">) In February 2013, Hungary's Constitutional Court ruled that the deregistration of recognised churches had been unconstitutional. Responding to the Constitutional Court's decision, the Hungarian Parliament amended the Fundamental Law in March 2013. In June and September 2013, the </w:t>
      </w:r>
      <w:r w:rsidRPr="003E3613">
        <w:rPr>
          <w:rFonts w:ascii="Book Antiqua" w:hAnsi="Book Antiqua"/>
          <w:i/>
          <w:sz w:val="23"/>
          <w:szCs w:val="23"/>
          <w:lang w:val="en-GB"/>
        </w:rPr>
        <w:lastRenderedPageBreak/>
        <w:t>Hungarian Parliament amended Act CCVI of 2011 to create a two-tiered classification consisting of “religious communities” and “incorporated churches”. In September 2013, the Hungarian Parliament also amended the Fundamental Law explicitly to grant itself the authority to select religious communities for “cooperation” with the state in the service of “public interest activities”</w:t>
      </w:r>
      <w:r w:rsidR="00A41E5F" w:rsidRPr="003E3613">
        <w:rPr>
          <w:rFonts w:ascii="Book Antiqua" w:hAnsi="Book Antiqua"/>
          <w:i/>
          <w:sz w:val="23"/>
          <w:szCs w:val="23"/>
          <w:lang w:val="en-GB"/>
        </w:rPr>
        <w:t>, giving itself a discretionary power to recognise a religious organisation with a two-thirds majority.</w:t>
      </w:r>
    </w:p>
    <w:p w14:paraId="0BD64C2F" w14:textId="77777777" w:rsidR="00146D77" w:rsidRPr="003E3613" w:rsidRDefault="00146D77" w:rsidP="00204696">
      <w:pPr>
        <w:spacing w:after="0"/>
        <w:jc w:val="both"/>
        <w:rPr>
          <w:rFonts w:ascii="Book Antiqua" w:hAnsi="Book Antiqua"/>
          <w:i/>
          <w:sz w:val="23"/>
          <w:szCs w:val="23"/>
          <w:lang w:val="en-GB"/>
        </w:rPr>
      </w:pPr>
    </w:p>
    <w:p w14:paraId="37355E39" w14:textId="77777777" w:rsidR="00146D77" w:rsidRPr="003E3613" w:rsidRDefault="00146D77" w:rsidP="00204696">
      <w:pPr>
        <w:autoSpaceDE w:val="0"/>
        <w:autoSpaceDN w:val="0"/>
        <w:spacing w:after="0"/>
        <w:jc w:val="both"/>
        <w:rPr>
          <w:rFonts w:ascii="Book Antiqua" w:hAnsi="Book Antiqua"/>
          <w:sz w:val="23"/>
          <w:szCs w:val="23"/>
          <w:lang w:val="en-GB"/>
        </w:rPr>
      </w:pPr>
      <w:r w:rsidRPr="003E3613">
        <w:rPr>
          <w:rFonts w:ascii="Book Antiqua" w:hAnsi="Book Antiqua"/>
          <w:sz w:val="23"/>
          <w:szCs w:val="23"/>
          <w:lang w:val="en-GB"/>
        </w:rPr>
        <w:t xml:space="preserve">The provision objected </w:t>
      </w:r>
      <w:r w:rsidR="00A470E6" w:rsidRPr="003E3613">
        <w:rPr>
          <w:rFonts w:ascii="Book Antiqua" w:hAnsi="Book Antiqua"/>
          <w:sz w:val="23"/>
          <w:szCs w:val="23"/>
          <w:lang w:val="en-GB"/>
        </w:rPr>
        <w:t xml:space="preserve">to </w:t>
      </w:r>
      <w:r w:rsidRPr="003E3613">
        <w:rPr>
          <w:rFonts w:ascii="Book Antiqua" w:hAnsi="Book Antiqua"/>
          <w:sz w:val="23"/>
          <w:szCs w:val="23"/>
          <w:lang w:val="en-GB"/>
        </w:rPr>
        <w:t xml:space="preserve">by the </w:t>
      </w:r>
      <w:r w:rsidR="00C8176F" w:rsidRPr="003E3613">
        <w:rPr>
          <w:rFonts w:ascii="Book Antiqua" w:hAnsi="Book Antiqua"/>
          <w:sz w:val="23"/>
          <w:szCs w:val="23"/>
          <w:lang w:val="en-GB"/>
        </w:rPr>
        <w:t xml:space="preserve">reasoned proposal </w:t>
      </w:r>
      <w:r w:rsidRPr="003E3613">
        <w:rPr>
          <w:rFonts w:ascii="Book Antiqua" w:hAnsi="Book Antiqua"/>
          <w:sz w:val="23"/>
          <w:szCs w:val="23"/>
          <w:lang w:val="en-GB"/>
        </w:rPr>
        <w:t xml:space="preserve">assures the state the possibility to grant to </w:t>
      </w:r>
      <w:r w:rsidR="00BD0A8B" w:rsidRPr="003E3613">
        <w:rPr>
          <w:rFonts w:ascii="Book Antiqua" w:hAnsi="Book Antiqua"/>
          <w:sz w:val="23"/>
          <w:szCs w:val="23"/>
          <w:lang w:val="en-GB"/>
        </w:rPr>
        <w:t>organisation</w:t>
      </w:r>
      <w:r w:rsidRPr="003E3613">
        <w:rPr>
          <w:rFonts w:ascii="Book Antiqua" w:hAnsi="Book Antiqua"/>
          <w:sz w:val="23"/>
          <w:szCs w:val="23"/>
          <w:lang w:val="en-GB"/>
        </w:rPr>
        <w:t>s conducting religious activities special status as ‘</w:t>
      </w:r>
      <w:r w:rsidR="004C1F66" w:rsidRPr="003E3613">
        <w:rPr>
          <w:rFonts w:ascii="Book Antiqua" w:hAnsi="Book Antiqua"/>
          <w:sz w:val="23"/>
          <w:szCs w:val="23"/>
          <w:lang w:val="en-GB"/>
        </w:rPr>
        <w:t xml:space="preserve">established </w:t>
      </w:r>
      <w:r w:rsidRPr="003E3613">
        <w:rPr>
          <w:rFonts w:ascii="Book Antiqua" w:hAnsi="Book Antiqua"/>
          <w:sz w:val="23"/>
          <w:szCs w:val="23"/>
          <w:lang w:val="en-GB"/>
        </w:rPr>
        <w:t>church</w:t>
      </w:r>
      <w:r w:rsidR="00A470E6" w:rsidRPr="003E3613">
        <w:rPr>
          <w:rFonts w:ascii="Book Antiqua" w:hAnsi="Book Antiqua"/>
          <w:sz w:val="23"/>
          <w:szCs w:val="23"/>
          <w:lang w:val="en-GB"/>
        </w:rPr>
        <w:t>es</w:t>
      </w:r>
      <w:r w:rsidRPr="003E3613">
        <w:rPr>
          <w:rFonts w:ascii="Book Antiqua" w:hAnsi="Book Antiqua"/>
          <w:sz w:val="23"/>
          <w:szCs w:val="23"/>
          <w:lang w:val="en-GB"/>
        </w:rPr>
        <w:t xml:space="preserve">’. The Parliament may recognize religious communities that fulfil the requirements established in the relevant cardinal law, such as previous long-term </w:t>
      </w:r>
      <w:r w:rsidR="00A470E6" w:rsidRPr="003E3613">
        <w:rPr>
          <w:rFonts w:ascii="Book Antiqua" w:hAnsi="Book Antiqua"/>
          <w:sz w:val="23"/>
          <w:szCs w:val="23"/>
          <w:lang w:val="en-GB"/>
        </w:rPr>
        <w:t xml:space="preserve">religious </w:t>
      </w:r>
      <w:r w:rsidRPr="003E3613">
        <w:rPr>
          <w:rFonts w:ascii="Book Antiqua" w:hAnsi="Book Antiqua"/>
          <w:sz w:val="23"/>
          <w:szCs w:val="23"/>
          <w:lang w:val="en-GB"/>
        </w:rPr>
        <w:t xml:space="preserve">activity, the extent of social support and the ability of the applicant </w:t>
      </w:r>
      <w:r w:rsidR="00BD0A8B" w:rsidRPr="003E3613">
        <w:rPr>
          <w:rFonts w:ascii="Book Antiqua" w:hAnsi="Book Antiqua"/>
          <w:sz w:val="23"/>
          <w:szCs w:val="23"/>
          <w:lang w:val="en-GB"/>
        </w:rPr>
        <w:t>organisation</w:t>
      </w:r>
      <w:r w:rsidRPr="003E3613">
        <w:rPr>
          <w:rFonts w:ascii="Book Antiqua" w:hAnsi="Book Antiqua"/>
          <w:sz w:val="23"/>
          <w:szCs w:val="23"/>
          <w:lang w:val="en-GB"/>
        </w:rPr>
        <w:t xml:space="preserve"> to serve the community. The ability of the entity to cooperate with the state authorities is also among the conditions of eligibility, for the very reason that the aim of legally recognizing a religious community as a ‘church’ is to ensure the efficiency of working for the benefit of the community.</w:t>
      </w:r>
      <w:r w:rsidR="00554D9C" w:rsidRPr="003E3613">
        <w:rPr>
          <w:rFonts w:ascii="Book Antiqua" w:hAnsi="Book Antiqua"/>
          <w:sz w:val="23"/>
          <w:szCs w:val="23"/>
          <w:lang w:val="en-GB"/>
        </w:rPr>
        <w:t xml:space="preserve"> </w:t>
      </w:r>
    </w:p>
    <w:p w14:paraId="156C7E8F" w14:textId="77777777" w:rsidR="00146D77" w:rsidRPr="003E3613" w:rsidRDefault="00146D77" w:rsidP="00204696">
      <w:pPr>
        <w:autoSpaceDE w:val="0"/>
        <w:autoSpaceDN w:val="0"/>
        <w:spacing w:after="0"/>
        <w:jc w:val="both"/>
        <w:rPr>
          <w:rFonts w:ascii="Book Antiqua" w:hAnsi="Book Antiqua"/>
          <w:sz w:val="23"/>
          <w:szCs w:val="23"/>
          <w:lang w:val="en-GB"/>
        </w:rPr>
      </w:pPr>
    </w:p>
    <w:p w14:paraId="7E400338" w14:textId="77777777" w:rsidR="00146D77" w:rsidRPr="003E3613" w:rsidRDefault="00146D77" w:rsidP="00204696">
      <w:pPr>
        <w:autoSpaceDE w:val="0"/>
        <w:autoSpaceDN w:val="0"/>
        <w:spacing w:after="0"/>
        <w:jc w:val="both"/>
        <w:rPr>
          <w:rFonts w:ascii="Book Antiqua" w:hAnsi="Book Antiqua"/>
          <w:sz w:val="23"/>
          <w:szCs w:val="23"/>
          <w:lang w:val="en-GB"/>
        </w:rPr>
      </w:pPr>
      <w:r w:rsidRPr="003E3613">
        <w:rPr>
          <w:rFonts w:ascii="Book Antiqua" w:hAnsi="Book Antiqua"/>
          <w:sz w:val="23"/>
          <w:szCs w:val="23"/>
          <w:lang w:val="en-GB"/>
        </w:rPr>
        <w:t xml:space="preserve">According to </w:t>
      </w:r>
      <w:r w:rsidRPr="003E3613">
        <w:rPr>
          <w:rFonts w:ascii="Book Antiqua" w:hAnsi="Book Antiqua"/>
          <w:iCs/>
          <w:sz w:val="23"/>
          <w:szCs w:val="23"/>
          <w:lang w:val="en-GB"/>
        </w:rPr>
        <w:t>Act CCVI of 2011 on the freedom of conscience and freedom of religion and on the acknowledgement of religions and religious communities as churches</w:t>
      </w:r>
      <w:r w:rsidRPr="003E3613">
        <w:rPr>
          <w:rFonts w:ascii="Book Antiqua" w:hAnsi="Book Antiqua"/>
          <w:sz w:val="23"/>
          <w:szCs w:val="23"/>
          <w:lang w:val="en-GB"/>
        </w:rPr>
        <w:t>, a religious community serve</w:t>
      </w:r>
      <w:r w:rsidR="00446AE6" w:rsidRPr="003E3613">
        <w:rPr>
          <w:rFonts w:ascii="Book Antiqua" w:hAnsi="Book Antiqua"/>
          <w:sz w:val="23"/>
          <w:szCs w:val="23"/>
          <w:lang w:val="en-GB"/>
        </w:rPr>
        <w:t>d</w:t>
      </w:r>
      <w:r w:rsidRPr="003E3613">
        <w:rPr>
          <w:rFonts w:ascii="Book Antiqua" w:hAnsi="Book Antiqua"/>
          <w:sz w:val="23"/>
          <w:szCs w:val="23"/>
          <w:lang w:val="en-GB"/>
        </w:rPr>
        <w:t xml:space="preserve"> as an institutional framework for religious activities, which ha</w:t>
      </w:r>
      <w:r w:rsidR="00446AE6" w:rsidRPr="003E3613">
        <w:rPr>
          <w:rFonts w:ascii="Book Antiqua" w:hAnsi="Book Antiqua"/>
          <w:sz w:val="23"/>
          <w:szCs w:val="23"/>
          <w:lang w:val="en-GB"/>
        </w:rPr>
        <w:t>d</w:t>
      </w:r>
      <w:r w:rsidRPr="003E3613">
        <w:rPr>
          <w:rFonts w:ascii="Book Antiqua" w:hAnsi="Book Antiqua"/>
          <w:sz w:val="23"/>
          <w:szCs w:val="23"/>
          <w:lang w:val="en-GB"/>
        </w:rPr>
        <w:t xml:space="preserve"> two legal forms acknowledged by the Parliament, the ‘</w:t>
      </w:r>
      <w:r w:rsidR="004C1F66" w:rsidRPr="003E3613">
        <w:rPr>
          <w:rFonts w:ascii="Book Antiqua" w:hAnsi="Book Antiqua"/>
          <w:sz w:val="23"/>
          <w:szCs w:val="23"/>
          <w:lang w:val="en-GB"/>
        </w:rPr>
        <w:t xml:space="preserve">established </w:t>
      </w:r>
      <w:r w:rsidRPr="003E3613">
        <w:rPr>
          <w:rFonts w:ascii="Book Antiqua" w:hAnsi="Book Antiqua"/>
          <w:sz w:val="23"/>
          <w:szCs w:val="23"/>
          <w:lang w:val="en-GB"/>
        </w:rPr>
        <w:t>church’ and the ‘organi</w:t>
      </w:r>
      <w:r w:rsidR="00446AE6" w:rsidRPr="003E3613">
        <w:rPr>
          <w:rFonts w:ascii="Book Antiqua" w:hAnsi="Book Antiqua"/>
          <w:sz w:val="23"/>
          <w:szCs w:val="23"/>
          <w:lang w:val="en-GB"/>
        </w:rPr>
        <w:t>s</w:t>
      </w:r>
      <w:r w:rsidRPr="003E3613">
        <w:rPr>
          <w:rFonts w:ascii="Book Antiqua" w:hAnsi="Book Antiqua"/>
          <w:sz w:val="23"/>
          <w:szCs w:val="23"/>
          <w:lang w:val="en-GB"/>
        </w:rPr>
        <w:t xml:space="preserve">ation </w:t>
      </w:r>
      <w:r w:rsidR="00F10FB8" w:rsidRPr="003E3613">
        <w:rPr>
          <w:rFonts w:ascii="Book Antiqua" w:hAnsi="Book Antiqua"/>
          <w:sz w:val="23"/>
          <w:szCs w:val="23"/>
          <w:lang w:val="en-GB"/>
        </w:rPr>
        <w:t xml:space="preserve">performing </w:t>
      </w:r>
      <w:r w:rsidRPr="003E3613">
        <w:rPr>
          <w:rFonts w:ascii="Book Antiqua" w:hAnsi="Book Antiqua"/>
          <w:sz w:val="23"/>
          <w:szCs w:val="23"/>
          <w:lang w:val="en-GB"/>
        </w:rPr>
        <w:t>religious activity’. The religious community recognized by the Parliament as ‘</w:t>
      </w:r>
      <w:r w:rsidR="004C1F66" w:rsidRPr="003E3613">
        <w:rPr>
          <w:rFonts w:ascii="Book Antiqua" w:hAnsi="Book Antiqua"/>
          <w:sz w:val="23"/>
          <w:szCs w:val="23"/>
          <w:lang w:val="en-GB"/>
        </w:rPr>
        <w:t xml:space="preserve">established </w:t>
      </w:r>
      <w:r w:rsidRPr="003E3613">
        <w:rPr>
          <w:rFonts w:ascii="Book Antiqua" w:hAnsi="Book Antiqua"/>
          <w:sz w:val="23"/>
          <w:szCs w:val="23"/>
          <w:lang w:val="en-GB"/>
        </w:rPr>
        <w:t>church’ function</w:t>
      </w:r>
      <w:r w:rsidR="00446AE6" w:rsidRPr="003E3613">
        <w:rPr>
          <w:rFonts w:ascii="Book Antiqua" w:hAnsi="Book Antiqua"/>
          <w:sz w:val="23"/>
          <w:szCs w:val="23"/>
          <w:lang w:val="en-GB"/>
        </w:rPr>
        <w:t>ed</w:t>
      </w:r>
      <w:r w:rsidRPr="003E3613">
        <w:rPr>
          <w:rFonts w:ascii="Book Antiqua" w:hAnsi="Book Antiqua"/>
          <w:sz w:val="23"/>
          <w:szCs w:val="23"/>
          <w:lang w:val="en-GB"/>
        </w:rPr>
        <w:t xml:space="preserve"> as a public law entity, whereas the ‘organi</w:t>
      </w:r>
      <w:r w:rsidR="00446AE6" w:rsidRPr="003E3613">
        <w:rPr>
          <w:rFonts w:ascii="Book Antiqua" w:hAnsi="Book Antiqua"/>
          <w:sz w:val="23"/>
          <w:szCs w:val="23"/>
          <w:lang w:val="en-GB"/>
        </w:rPr>
        <w:t>s</w:t>
      </w:r>
      <w:r w:rsidRPr="003E3613">
        <w:rPr>
          <w:rFonts w:ascii="Book Antiqua" w:hAnsi="Book Antiqua"/>
          <w:sz w:val="23"/>
          <w:szCs w:val="23"/>
          <w:lang w:val="en-GB"/>
        </w:rPr>
        <w:t xml:space="preserve">ation </w:t>
      </w:r>
      <w:r w:rsidR="00F10FB8" w:rsidRPr="003E3613">
        <w:rPr>
          <w:rFonts w:ascii="Book Antiqua" w:hAnsi="Book Antiqua"/>
          <w:sz w:val="23"/>
          <w:szCs w:val="23"/>
          <w:lang w:val="en-GB"/>
        </w:rPr>
        <w:t>perform</w:t>
      </w:r>
      <w:r w:rsidRPr="003E3613">
        <w:rPr>
          <w:rFonts w:ascii="Book Antiqua" w:hAnsi="Book Antiqua"/>
          <w:sz w:val="23"/>
          <w:szCs w:val="23"/>
          <w:lang w:val="en-GB"/>
        </w:rPr>
        <w:t xml:space="preserve">ing religious activity’ </w:t>
      </w:r>
      <w:r w:rsidR="00446AE6" w:rsidRPr="003E3613">
        <w:rPr>
          <w:rFonts w:ascii="Book Antiqua" w:hAnsi="Book Antiqua"/>
          <w:sz w:val="23"/>
          <w:szCs w:val="23"/>
          <w:lang w:val="en-GB"/>
        </w:rPr>
        <w:t>wa</w:t>
      </w:r>
      <w:r w:rsidRPr="003E3613">
        <w:rPr>
          <w:rFonts w:ascii="Book Antiqua" w:hAnsi="Book Antiqua"/>
          <w:sz w:val="23"/>
          <w:szCs w:val="23"/>
          <w:lang w:val="en-GB"/>
        </w:rPr>
        <w:t>s a private law association.</w:t>
      </w:r>
      <w:r w:rsidR="00554D9C" w:rsidRPr="003E3613">
        <w:rPr>
          <w:rFonts w:ascii="Book Antiqua" w:hAnsi="Book Antiqua"/>
          <w:sz w:val="23"/>
          <w:szCs w:val="23"/>
          <w:lang w:val="en-GB"/>
        </w:rPr>
        <w:t xml:space="preserve"> </w:t>
      </w:r>
      <w:r w:rsidRPr="003E3613">
        <w:rPr>
          <w:rFonts w:ascii="Book Antiqua" w:hAnsi="Book Antiqua"/>
          <w:sz w:val="23"/>
          <w:szCs w:val="23"/>
          <w:lang w:val="en-GB"/>
        </w:rPr>
        <w:t xml:space="preserve">It </w:t>
      </w:r>
      <w:r w:rsidR="00446AE6" w:rsidRPr="003E3613">
        <w:rPr>
          <w:rFonts w:ascii="Book Antiqua" w:hAnsi="Book Antiqua"/>
          <w:sz w:val="23"/>
          <w:szCs w:val="23"/>
          <w:lang w:val="en-GB"/>
        </w:rPr>
        <w:t>wa</w:t>
      </w:r>
      <w:r w:rsidRPr="003E3613">
        <w:rPr>
          <w:rFonts w:ascii="Book Antiqua" w:hAnsi="Book Antiqua"/>
          <w:sz w:val="23"/>
          <w:szCs w:val="23"/>
          <w:lang w:val="en-GB"/>
        </w:rPr>
        <w:t>s open to all religious communities to make use of the legal possibility of being recognized as any of these two categories, if they compl</w:t>
      </w:r>
      <w:r w:rsidR="00446AE6" w:rsidRPr="003E3613">
        <w:rPr>
          <w:rFonts w:ascii="Book Antiqua" w:hAnsi="Book Antiqua"/>
          <w:sz w:val="23"/>
          <w:szCs w:val="23"/>
          <w:lang w:val="en-GB"/>
        </w:rPr>
        <w:t>ied</w:t>
      </w:r>
      <w:r w:rsidRPr="003E3613">
        <w:rPr>
          <w:rFonts w:ascii="Book Antiqua" w:hAnsi="Book Antiqua"/>
          <w:sz w:val="23"/>
          <w:szCs w:val="23"/>
          <w:lang w:val="en-GB"/>
        </w:rPr>
        <w:t xml:space="preserve"> with</w:t>
      </w:r>
      <w:r w:rsidR="00BB1FDF" w:rsidRPr="003E3613">
        <w:rPr>
          <w:rFonts w:ascii="Book Antiqua" w:hAnsi="Book Antiqua"/>
          <w:sz w:val="23"/>
          <w:szCs w:val="23"/>
          <w:lang w:val="en-GB"/>
        </w:rPr>
        <w:t xml:space="preserve"> the conditions set by</w:t>
      </w:r>
      <w:r w:rsidRPr="003E3613">
        <w:rPr>
          <w:rFonts w:ascii="Book Antiqua" w:hAnsi="Book Antiqua"/>
          <w:sz w:val="23"/>
          <w:szCs w:val="23"/>
          <w:lang w:val="en-GB"/>
        </w:rPr>
        <w:t xml:space="preserve"> the law. </w:t>
      </w:r>
    </w:p>
    <w:p w14:paraId="78C88249" w14:textId="77777777" w:rsidR="00146D77" w:rsidRPr="003E3613" w:rsidRDefault="00146D77" w:rsidP="00204696">
      <w:pPr>
        <w:autoSpaceDE w:val="0"/>
        <w:autoSpaceDN w:val="0"/>
        <w:spacing w:after="0"/>
        <w:jc w:val="both"/>
        <w:rPr>
          <w:rFonts w:ascii="Book Antiqua" w:hAnsi="Book Antiqua"/>
          <w:sz w:val="23"/>
          <w:szCs w:val="23"/>
          <w:lang w:val="en-GB"/>
        </w:rPr>
      </w:pPr>
    </w:p>
    <w:p w14:paraId="5714BBCE" w14:textId="77777777" w:rsidR="00660031" w:rsidRDefault="00146D77" w:rsidP="00204696">
      <w:pPr>
        <w:autoSpaceDE w:val="0"/>
        <w:autoSpaceDN w:val="0"/>
        <w:spacing w:after="0"/>
        <w:jc w:val="both"/>
        <w:rPr>
          <w:rFonts w:ascii="Book Antiqua" w:hAnsi="Book Antiqua"/>
          <w:sz w:val="23"/>
          <w:szCs w:val="23"/>
          <w:lang w:val="en-GB"/>
        </w:rPr>
      </w:pPr>
      <w:r w:rsidRPr="003E3613">
        <w:rPr>
          <w:rFonts w:ascii="Book Antiqua" w:hAnsi="Book Antiqua"/>
          <w:sz w:val="23"/>
          <w:szCs w:val="23"/>
          <w:lang w:val="en-GB"/>
        </w:rPr>
        <w:t xml:space="preserve">The rules of granting the status of a public law entity </w:t>
      </w:r>
      <w:r w:rsidR="00446AE6" w:rsidRPr="003E3613">
        <w:rPr>
          <w:rFonts w:ascii="Book Antiqua" w:hAnsi="Book Antiqua"/>
          <w:sz w:val="23"/>
          <w:szCs w:val="23"/>
          <w:lang w:val="en-GB"/>
        </w:rPr>
        <w:t>we</w:t>
      </w:r>
      <w:r w:rsidRPr="003E3613">
        <w:rPr>
          <w:rFonts w:ascii="Book Antiqua" w:hAnsi="Book Antiqua"/>
          <w:sz w:val="23"/>
          <w:szCs w:val="23"/>
          <w:lang w:val="en-GB"/>
        </w:rPr>
        <w:t>re more stringent than those on private law entities.</w:t>
      </w:r>
      <w:r w:rsidR="00554D9C" w:rsidRPr="003E3613">
        <w:rPr>
          <w:rFonts w:ascii="Book Antiqua" w:hAnsi="Book Antiqua"/>
          <w:sz w:val="23"/>
          <w:szCs w:val="23"/>
          <w:lang w:val="en-GB"/>
        </w:rPr>
        <w:t xml:space="preserve"> </w:t>
      </w:r>
      <w:r w:rsidRPr="003E3613">
        <w:rPr>
          <w:rFonts w:ascii="Book Antiqua" w:hAnsi="Book Antiqua"/>
          <w:sz w:val="23"/>
          <w:szCs w:val="23"/>
          <w:lang w:val="en-GB"/>
        </w:rPr>
        <w:t xml:space="preserve">The difference between the two categories </w:t>
      </w:r>
      <w:r w:rsidR="00446AE6" w:rsidRPr="003E3613">
        <w:rPr>
          <w:rFonts w:ascii="Book Antiqua" w:hAnsi="Book Antiqua"/>
          <w:sz w:val="23"/>
          <w:szCs w:val="23"/>
          <w:lang w:val="en-GB"/>
        </w:rPr>
        <w:t>wa</w:t>
      </w:r>
      <w:r w:rsidRPr="003E3613">
        <w:rPr>
          <w:rFonts w:ascii="Book Antiqua" w:hAnsi="Book Antiqua"/>
          <w:sz w:val="23"/>
          <w:szCs w:val="23"/>
          <w:lang w:val="en-GB"/>
        </w:rPr>
        <w:t>s that private law organi</w:t>
      </w:r>
      <w:r w:rsidR="00446AE6" w:rsidRPr="003E3613">
        <w:rPr>
          <w:rFonts w:ascii="Book Antiqua" w:hAnsi="Book Antiqua"/>
          <w:sz w:val="23"/>
          <w:szCs w:val="23"/>
          <w:lang w:val="en-GB"/>
        </w:rPr>
        <w:t>s</w:t>
      </w:r>
      <w:r w:rsidRPr="003E3613">
        <w:rPr>
          <w:rFonts w:ascii="Book Antiqua" w:hAnsi="Book Antiqua"/>
          <w:sz w:val="23"/>
          <w:szCs w:val="23"/>
          <w:lang w:val="en-GB"/>
        </w:rPr>
        <w:t xml:space="preserve">ations </w:t>
      </w:r>
      <w:r w:rsidR="00446AE6" w:rsidRPr="003E3613">
        <w:rPr>
          <w:rFonts w:ascii="Book Antiqua" w:hAnsi="Book Antiqua"/>
          <w:sz w:val="23"/>
          <w:szCs w:val="23"/>
          <w:lang w:val="en-GB"/>
        </w:rPr>
        <w:t xml:space="preserve">had to </w:t>
      </w:r>
      <w:r w:rsidRPr="003E3613">
        <w:rPr>
          <w:rFonts w:ascii="Book Antiqua" w:hAnsi="Book Antiqua"/>
          <w:sz w:val="23"/>
          <w:szCs w:val="23"/>
          <w:lang w:val="en-GB"/>
        </w:rPr>
        <w:t>fulfil less criteria, whereas ‘</w:t>
      </w:r>
      <w:r w:rsidR="004C1F66" w:rsidRPr="003E3613">
        <w:rPr>
          <w:rFonts w:ascii="Book Antiqua" w:hAnsi="Book Antiqua"/>
          <w:sz w:val="23"/>
          <w:szCs w:val="23"/>
          <w:lang w:val="en-GB"/>
        </w:rPr>
        <w:t xml:space="preserve">established </w:t>
      </w:r>
      <w:r w:rsidRPr="003E3613">
        <w:rPr>
          <w:rFonts w:ascii="Book Antiqua" w:hAnsi="Book Antiqua"/>
          <w:sz w:val="23"/>
          <w:szCs w:val="23"/>
          <w:lang w:val="en-GB"/>
        </w:rPr>
        <w:t>churches’</w:t>
      </w:r>
      <w:r w:rsidR="00554D9C" w:rsidRPr="003E3613">
        <w:rPr>
          <w:rFonts w:ascii="Book Antiqua" w:hAnsi="Book Antiqua"/>
          <w:sz w:val="23"/>
          <w:szCs w:val="23"/>
          <w:lang w:val="en-GB"/>
        </w:rPr>
        <w:t xml:space="preserve"> </w:t>
      </w:r>
      <w:r w:rsidR="00446AE6" w:rsidRPr="003E3613">
        <w:rPr>
          <w:rFonts w:ascii="Book Antiqua" w:hAnsi="Book Antiqua"/>
          <w:sz w:val="23"/>
          <w:szCs w:val="23"/>
          <w:lang w:val="en-GB"/>
        </w:rPr>
        <w:t xml:space="preserve">had to </w:t>
      </w:r>
      <w:r w:rsidRPr="003E3613">
        <w:rPr>
          <w:rFonts w:ascii="Book Antiqua" w:hAnsi="Book Antiqua"/>
          <w:sz w:val="23"/>
          <w:szCs w:val="23"/>
          <w:lang w:val="en-GB"/>
        </w:rPr>
        <w:t>comply with additional requirements besides</w:t>
      </w:r>
      <w:r w:rsidR="00BB1FDF" w:rsidRPr="003E3613">
        <w:rPr>
          <w:rFonts w:ascii="Book Antiqua" w:hAnsi="Book Antiqua"/>
          <w:sz w:val="23"/>
          <w:szCs w:val="23"/>
          <w:lang w:val="en-GB"/>
        </w:rPr>
        <w:t xml:space="preserve"> </w:t>
      </w:r>
      <w:r w:rsidRPr="003E3613">
        <w:rPr>
          <w:rFonts w:ascii="Book Antiqua" w:hAnsi="Book Antiqua"/>
          <w:sz w:val="23"/>
          <w:szCs w:val="23"/>
          <w:lang w:val="en-GB"/>
        </w:rPr>
        <w:t>the criteria set for the private entity organi</w:t>
      </w:r>
      <w:r w:rsidR="00446AE6" w:rsidRPr="003E3613">
        <w:rPr>
          <w:rFonts w:ascii="Book Antiqua" w:hAnsi="Book Antiqua"/>
          <w:sz w:val="23"/>
          <w:szCs w:val="23"/>
          <w:lang w:val="en-GB"/>
        </w:rPr>
        <w:t>s</w:t>
      </w:r>
      <w:r w:rsidRPr="003E3613">
        <w:rPr>
          <w:rFonts w:ascii="Book Antiqua" w:hAnsi="Book Antiqua"/>
          <w:sz w:val="23"/>
          <w:szCs w:val="23"/>
          <w:lang w:val="en-GB"/>
        </w:rPr>
        <w:t>ations.</w:t>
      </w:r>
      <w:r w:rsidR="00554D9C" w:rsidRPr="003E3613">
        <w:rPr>
          <w:rFonts w:ascii="Book Antiqua" w:hAnsi="Book Antiqua"/>
          <w:sz w:val="23"/>
          <w:szCs w:val="23"/>
          <w:lang w:val="en-GB"/>
        </w:rPr>
        <w:t xml:space="preserve"> </w:t>
      </w:r>
      <w:r w:rsidRPr="003E3613">
        <w:rPr>
          <w:rFonts w:ascii="Book Antiqua" w:hAnsi="Book Antiqua"/>
          <w:sz w:val="23"/>
          <w:szCs w:val="23"/>
          <w:lang w:val="en-GB"/>
        </w:rPr>
        <w:t>Nevertheless, those organi</w:t>
      </w:r>
      <w:r w:rsidR="00446AE6" w:rsidRPr="003E3613">
        <w:rPr>
          <w:rFonts w:ascii="Book Antiqua" w:hAnsi="Book Antiqua"/>
          <w:sz w:val="23"/>
          <w:szCs w:val="23"/>
          <w:lang w:val="en-GB"/>
        </w:rPr>
        <w:t>s</w:t>
      </w:r>
      <w:r w:rsidRPr="003E3613">
        <w:rPr>
          <w:rFonts w:ascii="Book Antiqua" w:hAnsi="Book Antiqua"/>
          <w:sz w:val="23"/>
          <w:szCs w:val="23"/>
          <w:lang w:val="en-GB"/>
        </w:rPr>
        <w:t xml:space="preserve">ations, which </w:t>
      </w:r>
      <w:r w:rsidR="00446AE6" w:rsidRPr="003E3613">
        <w:rPr>
          <w:rFonts w:ascii="Book Antiqua" w:hAnsi="Book Antiqua"/>
          <w:sz w:val="23"/>
          <w:szCs w:val="23"/>
          <w:lang w:val="en-GB"/>
        </w:rPr>
        <w:t>we</w:t>
      </w:r>
      <w:r w:rsidRPr="003E3613">
        <w:rPr>
          <w:rFonts w:ascii="Book Antiqua" w:hAnsi="Book Antiqua"/>
          <w:sz w:val="23"/>
          <w:szCs w:val="23"/>
          <w:lang w:val="en-GB"/>
        </w:rPr>
        <w:t>re not acknowledged as ‘</w:t>
      </w:r>
      <w:r w:rsidR="004C1F66" w:rsidRPr="003E3613">
        <w:rPr>
          <w:rFonts w:ascii="Book Antiqua" w:hAnsi="Book Antiqua"/>
          <w:sz w:val="23"/>
          <w:szCs w:val="23"/>
          <w:lang w:val="en-GB"/>
        </w:rPr>
        <w:t xml:space="preserve">established </w:t>
      </w:r>
      <w:r w:rsidRPr="003E3613">
        <w:rPr>
          <w:rFonts w:ascii="Book Antiqua" w:hAnsi="Book Antiqua"/>
          <w:sz w:val="23"/>
          <w:szCs w:val="23"/>
          <w:lang w:val="en-GB"/>
        </w:rPr>
        <w:t xml:space="preserve">churches’ by the Parliament, </w:t>
      </w:r>
      <w:r w:rsidR="00F10FB8" w:rsidRPr="003E3613">
        <w:rPr>
          <w:rFonts w:ascii="Book Antiqua" w:hAnsi="Book Antiqua"/>
          <w:sz w:val="23"/>
          <w:szCs w:val="23"/>
          <w:lang w:val="en-GB"/>
        </w:rPr>
        <w:t xml:space="preserve">could </w:t>
      </w:r>
      <w:r w:rsidRPr="003E3613">
        <w:rPr>
          <w:rFonts w:ascii="Book Antiqua" w:hAnsi="Book Antiqua"/>
          <w:sz w:val="23"/>
          <w:szCs w:val="23"/>
          <w:lang w:val="en-GB"/>
        </w:rPr>
        <w:t xml:space="preserve">still function as churches in the theological sense, whereas from a legal point of view these entities </w:t>
      </w:r>
      <w:r w:rsidR="00446AE6" w:rsidRPr="003E3613">
        <w:rPr>
          <w:rFonts w:ascii="Book Antiqua" w:hAnsi="Book Antiqua"/>
          <w:sz w:val="23"/>
          <w:szCs w:val="23"/>
          <w:lang w:val="en-GB"/>
        </w:rPr>
        <w:t xml:space="preserve">would </w:t>
      </w:r>
      <w:r w:rsidRPr="003E3613">
        <w:rPr>
          <w:rFonts w:ascii="Book Antiqua" w:hAnsi="Book Antiqua"/>
          <w:sz w:val="23"/>
          <w:szCs w:val="23"/>
          <w:lang w:val="en-GB"/>
        </w:rPr>
        <w:t xml:space="preserve">be conducting their religious activities according to their own regulations and rules as special legal persons. It is important to stress that the difference in </w:t>
      </w:r>
      <w:r w:rsidR="00D53F46" w:rsidRPr="003E3613">
        <w:rPr>
          <w:rFonts w:ascii="Book Antiqua" w:hAnsi="Book Antiqua"/>
          <w:sz w:val="23"/>
          <w:szCs w:val="23"/>
          <w:lang w:val="en-GB"/>
        </w:rPr>
        <w:t>the</w:t>
      </w:r>
      <w:r w:rsidRPr="003E3613">
        <w:rPr>
          <w:rFonts w:ascii="Book Antiqua" w:hAnsi="Book Antiqua"/>
          <w:sz w:val="23"/>
          <w:szCs w:val="23"/>
          <w:lang w:val="en-GB"/>
        </w:rPr>
        <w:t xml:space="preserve"> legal status of the two forms on conducting religious activities </w:t>
      </w:r>
      <w:r w:rsidR="00446AE6" w:rsidRPr="003E3613">
        <w:rPr>
          <w:rFonts w:ascii="Book Antiqua" w:hAnsi="Book Antiqua"/>
          <w:sz w:val="23"/>
          <w:szCs w:val="23"/>
          <w:lang w:val="en-GB"/>
        </w:rPr>
        <w:t xml:space="preserve">did </w:t>
      </w:r>
      <w:r w:rsidRPr="003E3613">
        <w:rPr>
          <w:rFonts w:ascii="Book Antiqua" w:hAnsi="Book Antiqua"/>
          <w:sz w:val="23"/>
          <w:szCs w:val="23"/>
          <w:lang w:val="en-GB"/>
        </w:rPr>
        <w:t xml:space="preserve">not infringe the right to freedom of religion under Article 9 and the prohibition on discrimination under Article 14 of the European Convention on </w:t>
      </w:r>
    </w:p>
    <w:p w14:paraId="2ACB13B9" w14:textId="77777777" w:rsidR="00660031" w:rsidRDefault="00660031">
      <w:pPr>
        <w:rPr>
          <w:rFonts w:ascii="Book Antiqua" w:hAnsi="Book Antiqua"/>
          <w:sz w:val="23"/>
          <w:szCs w:val="23"/>
          <w:lang w:val="en-GB"/>
        </w:rPr>
      </w:pPr>
      <w:r>
        <w:rPr>
          <w:rFonts w:ascii="Book Antiqua" w:hAnsi="Book Antiqua"/>
          <w:sz w:val="23"/>
          <w:szCs w:val="23"/>
          <w:lang w:val="en-GB"/>
        </w:rPr>
        <w:br w:type="page"/>
      </w:r>
    </w:p>
    <w:p w14:paraId="3F3B2FF8" w14:textId="5175AF18" w:rsidR="00146D77" w:rsidRPr="003E3613" w:rsidRDefault="00146D77" w:rsidP="00204696">
      <w:pPr>
        <w:autoSpaceDE w:val="0"/>
        <w:autoSpaceDN w:val="0"/>
        <w:spacing w:after="0"/>
        <w:jc w:val="both"/>
        <w:rPr>
          <w:rFonts w:ascii="Book Antiqua" w:hAnsi="Book Antiqua"/>
          <w:sz w:val="23"/>
          <w:szCs w:val="23"/>
          <w:lang w:val="en-GB"/>
        </w:rPr>
      </w:pPr>
      <w:r w:rsidRPr="003E3613">
        <w:rPr>
          <w:rFonts w:ascii="Book Antiqua" w:hAnsi="Book Antiqua"/>
          <w:sz w:val="23"/>
          <w:szCs w:val="23"/>
          <w:lang w:val="en-GB"/>
        </w:rPr>
        <w:lastRenderedPageBreak/>
        <w:t>Human Rights.</w:t>
      </w:r>
      <w:r w:rsidR="00554D9C" w:rsidRPr="003E3613">
        <w:rPr>
          <w:rFonts w:ascii="Book Antiqua" w:hAnsi="Book Antiqua"/>
          <w:sz w:val="23"/>
          <w:szCs w:val="23"/>
          <w:lang w:val="en-GB"/>
        </w:rPr>
        <w:t xml:space="preserve"> </w:t>
      </w:r>
      <w:r w:rsidRPr="003E3613">
        <w:rPr>
          <w:rFonts w:ascii="Book Antiqua" w:hAnsi="Book Antiqua"/>
          <w:sz w:val="23"/>
          <w:szCs w:val="23"/>
          <w:lang w:val="en-GB"/>
        </w:rPr>
        <w:t xml:space="preserve">These rights </w:t>
      </w:r>
      <w:r w:rsidR="00446AE6" w:rsidRPr="003E3613">
        <w:rPr>
          <w:rFonts w:ascii="Book Antiqua" w:hAnsi="Book Antiqua"/>
          <w:sz w:val="23"/>
          <w:szCs w:val="23"/>
          <w:lang w:val="en-GB"/>
        </w:rPr>
        <w:t>we</w:t>
      </w:r>
      <w:r w:rsidRPr="003E3613">
        <w:rPr>
          <w:rFonts w:ascii="Book Antiqua" w:hAnsi="Book Antiqua"/>
          <w:sz w:val="23"/>
          <w:szCs w:val="23"/>
          <w:lang w:val="en-GB"/>
        </w:rPr>
        <w:t>re granted by the Fundamental Law for both categories. Religious organi</w:t>
      </w:r>
      <w:r w:rsidR="00446AE6" w:rsidRPr="003E3613">
        <w:rPr>
          <w:rFonts w:ascii="Book Antiqua" w:hAnsi="Book Antiqua"/>
          <w:sz w:val="23"/>
          <w:szCs w:val="23"/>
          <w:lang w:val="en-GB"/>
        </w:rPr>
        <w:t>s</w:t>
      </w:r>
      <w:r w:rsidRPr="003E3613">
        <w:rPr>
          <w:rFonts w:ascii="Book Antiqua" w:hAnsi="Book Antiqua"/>
          <w:sz w:val="23"/>
          <w:szCs w:val="23"/>
          <w:lang w:val="en-GB"/>
        </w:rPr>
        <w:t xml:space="preserve">ations that </w:t>
      </w:r>
      <w:r w:rsidR="00446AE6" w:rsidRPr="003E3613">
        <w:rPr>
          <w:rFonts w:ascii="Book Antiqua" w:hAnsi="Book Antiqua"/>
          <w:sz w:val="23"/>
          <w:szCs w:val="23"/>
          <w:lang w:val="en-GB"/>
        </w:rPr>
        <w:t>we</w:t>
      </w:r>
      <w:r w:rsidRPr="003E3613">
        <w:rPr>
          <w:rFonts w:ascii="Book Antiqua" w:hAnsi="Book Antiqua"/>
          <w:sz w:val="23"/>
          <w:szCs w:val="23"/>
          <w:lang w:val="en-GB"/>
        </w:rPr>
        <w:t>re not granted the status of ‘</w:t>
      </w:r>
      <w:r w:rsidR="004C1F66" w:rsidRPr="003E3613">
        <w:rPr>
          <w:rFonts w:ascii="Book Antiqua" w:hAnsi="Book Antiqua"/>
          <w:sz w:val="23"/>
          <w:szCs w:val="23"/>
          <w:lang w:val="en-GB"/>
        </w:rPr>
        <w:t xml:space="preserve">established </w:t>
      </w:r>
      <w:r w:rsidRPr="003E3613">
        <w:rPr>
          <w:rFonts w:ascii="Book Antiqua" w:hAnsi="Book Antiqua"/>
          <w:sz w:val="23"/>
          <w:szCs w:val="23"/>
          <w:lang w:val="en-GB"/>
        </w:rPr>
        <w:t xml:space="preserve">churches’ </w:t>
      </w:r>
      <w:r w:rsidR="00446AE6" w:rsidRPr="003E3613">
        <w:rPr>
          <w:rFonts w:ascii="Book Antiqua" w:hAnsi="Book Antiqua"/>
          <w:sz w:val="23"/>
          <w:szCs w:val="23"/>
          <w:lang w:val="en-GB"/>
        </w:rPr>
        <w:t>we</w:t>
      </w:r>
      <w:r w:rsidRPr="003E3613">
        <w:rPr>
          <w:rFonts w:ascii="Book Antiqua" w:hAnsi="Book Antiqua"/>
          <w:sz w:val="23"/>
          <w:szCs w:val="23"/>
          <w:lang w:val="en-GB"/>
        </w:rPr>
        <w:t>re independent organi</w:t>
      </w:r>
      <w:r w:rsidR="00446AE6" w:rsidRPr="003E3613">
        <w:rPr>
          <w:rFonts w:ascii="Book Antiqua" w:hAnsi="Book Antiqua"/>
          <w:sz w:val="23"/>
          <w:szCs w:val="23"/>
          <w:lang w:val="en-GB"/>
        </w:rPr>
        <w:t>s</w:t>
      </w:r>
      <w:r w:rsidRPr="003E3613">
        <w:rPr>
          <w:rFonts w:ascii="Book Antiqua" w:hAnsi="Book Antiqua"/>
          <w:sz w:val="23"/>
          <w:szCs w:val="23"/>
          <w:lang w:val="en-GB"/>
        </w:rPr>
        <w:t>ations, meaning that they c</w:t>
      </w:r>
      <w:r w:rsidR="00446AE6" w:rsidRPr="003E3613">
        <w:rPr>
          <w:rFonts w:ascii="Book Antiqua" w:hAnsi="Book Antiqua"/>
          <w:sz w:val="23"/>
          <w:szCs w:val="23"/>
          <w:lang w:val="en-GB"/>
        </w:rPr>
        <w:t xml:space="preserve">ould </w:t>
      </w:r>
      <w:r w:rsidRPr="003E3613">
        <w:rPr>
          <w:rFonts w:ascii="Book Antiqua" w:hAnsi="Book Antiqua"/>
          <w:sz w:val="23"/>
          <w:szCs w:val="23"/>
          <w:lang w:val="en-GB"/>
        </w:rPr>
        <w:t xml:space="preserve">not be monitored or controlled by the state. The Fundamental Law makes it clear that </w:t>
      </w:r>
      <w:r w:rsidRPr="003E3613">
        <w:rPr>
          <w:rFonts w:ascii="Book Antiqua" w:hAnsi="Book Antiqua"/>
          <w:i/>
          <w:iCs/>
          <w:sz w:val="23"/>
          <w:szCs w:val="23"/>
          <w:lang w:val="en-GB"/>
        </w:rPr>
        <w:t>the principle of separation of state and church</w:t>
      </w:r>
      <w:r w:rsidRPr="003E3613">
        <w:rPr>
          <w:rFonts w:ascii="Book Antiqua" w:hAnsi="Book Antiqua"/>
          <w:sz w:val="23"/>
          <w:szCs w:val="23"/>
          <w:lang w:val="en-GB"/>
        </w:rPr>
        <w:t xml:space="preserve"> equally applies to both categories of entities, regardless of the religion they represent. The difference between the legal statuses of the two categories was recognized by </w:t>
      </w:r>
      <w:r w:rsidR="00A470E6" w:rsidRPr="003E3613">
        <w:rPr>
          <w:rFonts w:ascii="Book Antiqua" w:hAnsi="Book Antiqua"/>
          <w:sz w:val="23"/>
          <w:szCs w:val="23"/>
          <w:lang w:val="en-GB"/>
        </w:rPr>
        <w:t xml:space="preserve">Decision No. 17/2017. (VII.18.) of </w:t>
      </w:r>
      <w:r w:rsidRPr="003E3613">
        <w:rPr>
          <w:rFonts w:ascii="Book Antiqua" w:hAnsi="Book Antiqua"/>
          <w:sz w:val="23"/>
          <w:szCs w:val="23"/>
          <w:lang w:val="en-GB"/>
        </w:rPr>
        <w:t xml:space="preserve">the Hungarian Constitutional Court as well, which established that there </w:t>
      </w:r>
      <w:r w:rsidR="00446AE6" w:rsidRPr="003E3613">
        <w:rPr>
          <w:rFonts w:ascii="Book Antiqua" w:hAnsi="Book Antiqua"/>
          <w:sz w:val="23"/>
          <w:szCs w:val="23"/>
          <w:lang w:val="en-GB"/>
        </w:rPr>
        <w:t>wa</w:t>
      </w:r>
      <w:r w:rsidRPr="003E3613">
        <w:rPr>
          <w:rFonts w:ascii="Book Antiqua" w:hAnsi="Book Antiqua"/>
          <w:sz w:val="23"/>
          <w:szCs w:val="23"/>
          <w:lang w:val="en-GB"/>
        </w:rPr>
        <w:t xml:space="preserve">s no constitutional requirement to grant to all churches the same legal status and the state </w:t>
      </w:r>
      <w:r w:rsidR="00446AE6" w:rsidRPr="003E3613">
        <w:rPr>
          <w:rFonts w:ascii="Book Antiqua" w:hAnsi="Book Antiqua"/>
          <w:sz w:val="23"/>
          <w:szCs w:val="23"/>
          <w:lang w:val="en-GB"/>
        </w:rPr>
        <w:t>wa</w:t>
      </w:r>
      <w:r w:rsidRPr="003E3613">
        <w:rPr>
          <w:rFonts w:ascii="Book Antiqua" w:hAnsi="Book Antiqua"/>
          <w:sz w:val="23"/>
          <w:szCs w:val="23"/>
          <w:lang w:val="en-GB"/>
        </w:rPr>
        <w:t xml:space="preserve">s not obliged to cooperate in the same way with all churches, </w:t>
      </w:r>
      <w:r w:rsidR="00E473A7" w:rsidRPr="003E3613">
        <w:rPr>
          <w:rFonts w:ascii="Book Antiqua" w:hAnsi="Book Antiqua"/>
          <w:sz w:val="23"/>
          <w:szCs w:val="23"/>
          <w:lang w:val="en-GB"/>
        </w:rPr>
        <w:t xml:space="preserve">on the condition </w:t>
      </w:r>
      <w:r w:rsidRPr="003E3613">
        <w:rPr>
          <w:rFonts w:ascii="Book Antiqua" w:hAnsi="Book Antiqua"/>
          <w:sz w:val="23"/>
          <w:szCs w:val="23"/>
          <w:lang w:val="en-GB"/>
        </w:rPr>
        <w:t xml:space="preserve">that the difference in treatment </w:t>
      </w:r>
      <w:r w:rsidR="00446AE6" w:rsidRPr="003E3613">
        <w:rPr>
          <w:rFonts w:ascii="Book Antiqua" w:hAnsi="Book Antiqua"/>
          <w:sz w:val="23"/>
          <w:szCs w:val="23"/>
          <w:lang w:val="en-GB"/>
        </w:rPr>
        <w:t>wa</w:t>
      </w:r>
      <w:r w:rsidRPr="003E3613">
        <w:rPr>
          <w:rFonts w:ascii="Book Antiqua" w:hAnsi="Book Antiqua"/>
          <w:sz w:val="23"/>
          <w:szCs w:val="23"/>
          <w:lang w:val="en-GB"/>
        </w:rPr>
        <w:t xml:space="preserve">s based on objective reasons. </w:t>
      </w:r>
    </w:p>
    <w:p w14:paraId="5CAC03E6" w14:textId="77777777" w:rsidR="008C36AC" w:rsidRPr="003E3613" w:rsidRDefault="008C36AC" w:rsidP="00204696">
      <w:pPr>
        <w:autoSpaceDE w:val="0"/>
        <w:autoSpaceDN w:val="0"/>
        <w:spacing w:after="0"/>
        <w:jc w:val="both"/>
        <w:rPr>
          <w:rFonts w:ascii="Book Antiqua" w:hAnsi="Book Antiqua"/>
          <w:sz w:val="23"/>
          <w:szCs w:val="23"/>
          <w:lang w:val="en-GB"/>
        </w:rPr>
      </w:pPr>
    </w:p>
    <w:p w14:paraId="4E1E8158" w14:textId="77777777" w:rsidR="00782F28" w:rsidRPr="003E3613" w:rsidRDefault="00782F28" w:rsidP="00204696">
      <w:pPr>
        <w:autoSpaceDE w:val="0"/>
        <w:autoSpaceDN w:val="0"/>
        <w:spacing w:after="0"/>
        <w:jc w:val="both"/>
        <w:rPr>
          <w:rFonts w:ascii="Book Antiqua" w:hAnsi="Book Antiqua"/>
          <w:sz w:val="23"/>
          <w:szCs w:val="23"/>
          <w:lang w:val="en-GB"/>
        </w:rPr>
      </w:pPr>
      <w:r w:rsidRPr="003E3613">
        <w:rPr>
          <w:rFonts w:ascii="Book Antiqua" w:hAnsi="Book Antiqua"/>
          <w:sz w:val="23"/>
          <w:szCs w:val="23"/>
          <w:lang w:val="en-GB"/>
        </w:rPr>
        <w:t xml:space="preserve">The Fourth Amendment of the Fundamental Law was not related to </w:t>
      </w:r>
      <w:r w:rsidR="0022386E" w:rsidRPr="003E3613">
        <w:rPr>
          <w:rFonts w:ascii="Book Antiqua" w:hAnsi="Book Antiqua"/>
          <w:sz w:val="23"/>
          <w:szCs w:val="23"/>
          <w:lang w:val="en-GB"/>
        </w:rPr>
        <w:t xml:space="preserve">the decision </w:t>
      </w:r>
      <w:r w:rsidRPr="003E3613">
        <w:rPr>
          <w:rFonts w:ascii="Book Antiqua" w:hAnsi="Book Antiqua"/>
          <w:sz w:val="23"/>
          <w:szCs w:val="23"/>
          <w:lang w:val="en-GB"/>
        </w:rPr>
        <w:t xml:space="preserve">of the Constitutional Court on </w:t>
      </w:r>
      <w:r w:rsidR="00F10FB8" w:rsidRPr="003E3613">
        <w:rPr>
          <w:rFonts w:ascii="Book Antiqua" w:hAnsi="Book Antiqua"/>
          <w:sz w:val="23"/>
          <w:szCs w:val="23"/>
          <w:lang w:val="en-GB"/>
        </w:rPr>
        <w:t xml:space="preserve">the </w:t>
      </w:r>
      <w:r w:rsidR="0078451A" w:rsidRPr="003E3613">
        <w:rPr>
          <w:rFonts w:ascii="Book Antiqua" w:hAnsi="Book Antiqua"/>
          <w:sz w:val="23"/>
          <w:szCs w:val="23"/>
          <w:lang w:val="en-GB"/>
        </w:rPr>
        <w:t>C</w:t>
      </w:r>
      <w:r w:rsidRPr="003E3613">
        <w:rPr>
          <w:rFonts w:ascii="Book Antiqua" w:hAnsi="Book Antiqua"/>
          <w:sz w:val="23"/>
          <w:szCs w:val="23"/>
          <w:lang w:val="en-GB"/>
        </w:rPr>
        <w:t xml:space="preserve">hurch </w:t>
      </w:r>
      <w:r w:rsidR="00F10FB8" w:rsidRPr="003E3613">
        <w:rPr>
          <w:rFonts w:ascii="Book Antiqua" w:hAnsi="Book Antiqua"/>
          <w:sz w:val="23"/>
          <w:szCs w:val="23"/>
          <w:lang w:val="en-GB"/>
        </w:rPr>
        <w:t>Act</w:t>
      </w:r>
      <w:r w:rsidRPr="003E3613">
        <w:rPr>
          <w:rFonts w:ascii="Book Antiqua" w:hAnsi="Book Antiqua"/>
          <w:sz w:val="23"/>
          <w:szCs w:val="23"/>
          <w:lang w:val="en-GB"/>
        </w:rPr>
        <w:t xml:space="preserve">, </w:t>
      </w:r>
      <w:r w:rsidR="0022386E" w:rsidRPr="003E3613">
        <w:rPr>
          <w:rFonts w:ascii="Book Antiqua" w:hAnsi="Book Antiqua"/>
          <w:sz w:val="23"/>
          <w:szCs w:val="23"/>
          <w:lang w:val="en-GB"/>
        </w:rPr>
        <w:t xml:space="preserve">rather </w:t>
      </w:r>
      <w:r w:rsidRPr="003E3613">
        <w:rPr>
          <w:rFonts w:ascii="Book Antiqua" w:hAnsi="Book Antiqua"/>
          <w:sz w:val="23"/>
          <w:szCs w:val="23"/>
          <w:lang w:val="en-GB"/>
        </w:rPr>
        <w:t xml:space="preserve">it </w:t>
      </w:r>
      <w:r w:rsidR="00030DEA" w:rsidRPr="003E3613">
        <w:rPr>
          <w:rFonts w:ascii="Book Antiqua" w:hAnsi="Book Antiqua"/>
          <w:sz w:val="23"/>
          <w:szCs w:val="23"/>
          <w:lang w:val="en-GB"/>
        </w:rPr>
        <w:t>was</w:t>
      </w:r>
      <w:r w:rsidRPr="003E3613">
        <w:rPr>
          <w:rFonts w:ascii="Book Antiqua" w:hAnsi="Book Antiqua"/>
          <w:sz w:val="23"/>
          <w:szCs w:val="23"/>
          <w:lang w:val="en-GB"/>
        </w:rPr>
        <w:t xml:space="preserve"> a comprehensive amendment to the Fundamental Law consisting of 22 Articles, one of which, Article 4, applied to churches.</w:t>
      </w:r>
    </w:p>
    <w:p w14:paraId="0354F14D" w14:textId="77777777" w:rsidR="00334CA0" w:rsidRPr="003E3613" w:rsidRDefault="00334CA0" w:rsidP="00204696">
      <w:pPr>
        <w:autoSpaceDE w:val="0"/>
        <w:autoSpaceDN w:val="0"/>
        <w:spacing w:after="0"/>
        <w:jc w:val="both"/>
        <w:rPr>
          <w:rFonts w:ascii="Book Antiqua" w:hAnsi="Book Antiqua"/>
          <w:sz w:val="23"/>
          <w:szCs w:val="23"/>
          <w:lang w:val="en-GB"/>
        </w:rPr>
      </w:pPr>
    </w:p>
    <w:p w14:paraId="6CB9D2C3" w14:textId="77777777" w:rsidR="00CF0913" w:rsidRPr="003E3613" w:rsidRDefault="008135AE" w:rsidP="00204696">
      <w:pPr>
        <w:autoSpaceDE w:val="0"/>
        <w:autoSpaceDN w:val="0"/>
        <w:spacing w:after="0"/>
        <w:jc w:val="both"/>
        <w:rPr>
          <w:rFonts w:ascii="Book Antiqua" w:hAnsi="Book Antiqua"/>
          <w:sz w:val="23"/>
          <w:szCs w:val="23"/>
          <w:lang w:val="en-GB"/>
        </w:rPr>
      </w:pPr>
      <w:r w:rsidRPr="003E3613">
        <w:rPr>
          <w:rFonts w:ascii="Book Antiqua" w:hAnsi="Book Antiqua"/>
          <w:sz w:val="23"/>
          <w:szCs w:val="23"/>
          <w:lang w:val="en-GB"/>
        </w:rPr>
        <w:t xml:space="preserve">The national rules on the recognition of religious communities as ‘churches’ varies to a significant extent </w:t>
      </w:r>
      <w:r w:rsidR="00712F3A" w:rsidRPr="003E3613">
        <w:rPr>
          <w:rFonts w:ascii="Book Antiqua" w:hAnsi="Book Antiqua"/>
          <w:sz w:val="23"/>
          <w:szCs w:val="23"/>
          <w:lang w:val="en-GB"/>
        </w:rPr>
        <w:t>across the</w:t>
      </w:r>
      <w:r w:rsidRPr="003E3613">
        <w:rPr>
          <w:rFonts w:ascii="Book Antiqua" w:hAnsi="Book Antiqua"/>
          <w:sz w:val="23"/>
          <w:szCs w:val="23"/>
          <w:lang w:val="en-GB"/>
        </w:rPr>
        <w:t xml:space="preserve"> EU</w:t>
      </w:r>
      <w:r w:rsidR="00712F3A" w:rsidRPr="003E3613">
        <w:rPr>
          <w:rFonts w:ascii="Book Antiqua" w:hAnsi="Book Antiqua"/>
          <w:sz w:val="23"/>
          <w:szCs w:val="23"/>
          <w:lang w:val="en-GB"/>
        </w:rPr>
        <w:t xml:space="preserve"> Member States</w:t>
      </w:r>
      <w:r w:rsidRPr="003E3613">
        <w:rPr>
          <w:rFonts w:ascii="Book Antiqua" w:hAnsi="Book Antiqua"/>
          <w:sz w:val="23"/>
          <w:szCs w:val="23"/>
          <w:lang w:val="en-GB"/>
        </w:rPr>
        <w:t xml:space="preserve">. </w:t>
      </w:r>
      <w:r w:rsidR="00CF0913" w:rsidRPr="003E3613">
        <w:rPr>
          <w:rFonts w:ascii="Book Antiqua" w:hAnsi="Book Antiqua"/>
          <w:sz w:val="23"/>
          <w:szCs w:val="23"/>
          <w:lang w:val="en-GB"/>
        </w:rPr>
        <w:t xml:space="preserve">In </w:t>
      </w:r>
      <w:r w:rsidR="00090632" w:rsidRPr="003E3613">
        <w:rPr>
          <w:rFonts w:ascii="Book Antiqua" w:hAnsi="Book Antiqua"/>
          <w:sz w:val="23"/>
          <w:szCs w:val="23"/>
          <w:lang w:val="en-GB"/>
        </w:rPr>
        <w:t>o</w:t>
      </w:r>
      <w:r w:rsidR="00167B65" w:rsidRPr="003E3613">
        <w:rPr>
          <w:rFonts w:ascii="Book Antiqua" w:hAnsi="Book Antiqua"/>
          <w:sz w:val="23"/>
          <w:szCs w:val="23"/>
          <w:lang w:val="en-GB"/>
        </w:rPr>
        <w:t>ne Member State</w:t>
      </w:r>
      <w:r w:rsidR="00CF0913" w:rsidRPr="003E3613">
        <w:rPr>
          <w:rFonts w:ascii="Book Antiqua" w:hAnsi="Book Antiqua"/>
          <w:sz w:val="23"/>
          <w:szCs w:val="23"/>
          <w:lang w:val="en-GB"/>
        </w:rPr>
        <w:t xml:space="preserve"> the recognition of religious communities as ‘churches’ is decided at the ministerial level, but the Parliament may also decide by law in such matters. In </w:t>
      </w:r>
      <w:r w:rsidR="00167B65" w:rsidRPr="003E3613">
        <w:rPr>
          <w:rFonts w:ascii="Book Antiqua" w:hAnsi="Book Antiqua"/>
          <w:sz w:val="23"/>
          <w:szCs w:val="23"/>
          <w:lang w:val="en-GB"/>
        </w:rPr>
        <w:t>another Member State</w:t>
      </w:r>
      <w:r w:rsidR="00CF0913" w:rsidRPr="003E3613">
        <w:rPr>
          <w:rFonts w:ascii="Book Antiqua" w:hAnsi="Book Antiqua"/>
          <w:sz w:val="23"/>
          <w:szCs w:val="23"/>
          <w:lang w:val="en-GB"/>
        </w:rPr>
        <w:t xml:space="preserve">, the competence to recognize religious communities as churches belongs to the Minister of Justice, who decides upon the proposal of the Parliament, which testifies the recognition of the community as church by a </w:t>
      </w:r>
      <w:r w:rsidR="0022386E" w:rsidRPr="003E3613">
        <w:rPr>
          <w:rFonts w:ascii="Book Antiqua" w:hAnsi="Book Antiqua"/>
          <w:sz w:val="23"/>
          <w:szCs w:val="23"/>
          <w:lang w:val="en-GB"/>
        </w:rPr>
        <w:t xml:space="preserve">federal </w:t>
      </w:r>
      <w:r w:rsidR="00CF0913" w:rsidRPr="003E3613">
        <w:rPr>
          <w:rFonts w:ascii="Book Antiqua" w:hAnsi="Book Antiqua"/>
          <w:sz w:val="23"/>
          <w:szCs w:val="23"/>
          <w:lang w:val="en-GB"/>
        </w:rPr>
        <w:t xml:space="preserve">law, which cannot be legally challenged. </w:t>
      </w:r>
      <w:r w:rsidR="00E473A7" w:rsidRPr="003E3613">
        <w:rPr>
          <w:rFonts w:ascii="Book Antiqua" w:hAnsi="Book Antiqua"/>
          <w:sz w:val="23"/>
          <w:szCs w:val="23"/>
          <w:lang w:val="en-GB"/>
        </w:rPr>
        <w:t xml:space="preserve">In </w:t>
      </w:r>
      <w:r w:rsidR="00437951" w:rsidRPr="003E3613">
        <w:rPr>
          <w:rFonts w:ascii="Book Antiqua" w:hAnsi="Book Antiqua"/>
          <w:sz w:val="23"/>
          <w:szCs w:val="23"/>
          <w:lang w:val="en-GB"/>
        </w:rPr>
        <w:t>another EU Member State</w:t>
      </w:r>
      <w:r w:rsidR="00CF0913" w:rsidRPr="003E3613">
        <w:rPr>
          <w:rFonts w:ascii="Book Antiqua" w:hAnsi="Book Antiqua"/>
          <w:sz w:val="23"/>
          <w:szCs w:val="23"/>
          <w:lang w:val="en-GB"/>
        </w:rPr>
        <w:t>, traditional churches concluded an agreement with the State, whereas the recognition of other religious communities belongs to ministerial competence.</w:t>
      </w:r>
      <w:r w:rsidR="00554D9C" w:rsidRPr="003E3613">
        <w:rPr>
          <w:rFonts w:ascii="Book Antiqua" w:hAnsi="Book Antiqua"/>
          <w:sz w:val="23"/>
          <w:szCs w:val="23"/>
          <w:lang w:val="en-GB"/>
        </w:rPr>
        <w:t xml:space="preserve"> </w:t>
      </w:r>
      <w:r w:rsidR="00CF0913" w:rsidRPr="003E3613">
        <w:rPr>
          <w:rFonts w:ascii="Book Antiqua" w:hAnsi="Book Antiqua"/>
          <w:sz w:val="23"/>
          <w:szCs w:val="23"/>
          <w:lang w:val="en-GB"/>
        </w:rPr>
        <w:t>Moreover, in some Member States the constitution proclaims which religion is the main religion of the country; such prioritized religion</w:t>
      </w:r>
      <w:r w:rsidR="00437951" w:rsidRPr="003E3613">
        <w:rPr>
          <w:rFonts w:ascii="Book Antiqua" w:hAnsi="Book Antiqua"/>
          <w:sz w:val="23"/>
          <w:szCs w:val="23"/>
          <w:lang w:val="en-GB"/>
        </w:rPr>
        <w:t xml:space="preserve"> in some </w:t>
      </w:r>
      <w:r w:rsidR="00E473A7" w:rsidRPr="003E3613">
        <w:rPr>
          <w:rFonts w:ascii="Book Antiqua" w:hAnsi="Book Antiqua"/>
          <w:sz w:val="23"/>
          <w:szCs w:val="23"/>
          <w:lang w:val="en-GB"/>
        </w:rPr>
        <w:t xml:space="preserve">Member States </w:t>
      </w:r>
      <w:r w:rsidR="00437951" w:rsidRPr="003E3613">
        <w:rPr>
          <w:rFonts w:ascii="Book Antiqua" w:hAnsi="Book Antiqua"/>
          <w:sz w:val="23"/>
          <w:szCs w:val="23"/>
          <w:lang w:val="en-GB"/>
        </w:rPr>
        <w:t>is for example</w:t>
      </w:r>
      <w:r w:rsidR="00006F80" w:rsidRPr="003E3613">
        <w:rPr>
          <w:rFonts w:ascii="Book Antiqua" w:hAnsi="Book Antiqua"/>
          <w:sz w:val="23"/>
          <w:szCs w:val="23"/>
          <w:lang w:val="en-GB"/>
        </w:rPr>
        <w:t xml:space="preserve"> </w:t>
      </w:r>
      <w:r w:rsidR="00CF0913" w:rsidRPr="003E3613">
        <w:rPr>
          <w:rFonts w:ascii="Book Antiqua" w:hAnsi="Book Antiqua"/>
          <w:sz w:val="23"/>
          <w:szCs w:val="23"/>
          <w:lang w:val="en-GB"/>
        </w:rPr>
        <w:t xml:space="preserve">the </w:t>
      </w:r>
      <w:r w:rsidR="00CF0913" w:rsidRPr="003E3613">
        <w:rPr>
          <w:rStyle w:val="shorttext"/>
          <w:rFonts w:ascii="Book Antiqua" w:hAnsi="Book Antiqua"/>
          <w:sz w:val="23"/>
          <w:szCs w:val="23"/>
          <w:lang w:val="en-GB"/>
        </w:rPr>
        <w:t>Evangelical Lutheran Church</w:t>
      </w:r>
      <w:r w:rsidR="00CF0913" w:rsidRPr="003E3613">
        <w:rPr>
          <w:rFonts w:ascii="Book Antiqua" w:hAnsi="Book Antiqua"/>
          <w:sz w:val="23"/>
          <w:szCs w:val="23"/>
          <w:lang w:val="en-GB"/>
        </w:rPr>
        <w:t xml:space="preserve">, the </w:t>
      </w:r>
      <w:r w:rsidR="00CF0913" w:rsidRPr="003E3613">
        <w:rPr>
          <w:rStyle w:val="shorttext"/>
          <w:rFonts w:ascii="Book Antiqua" w:hAnsi="Book Antiqua"/>
          <w:sz w:val="23"/>
          <w:szCs w:val="23"/>
          <w:lang w:val="en-GB"/>
        </w:rPr>
        <w:t>Eastern Orthodox Church</w:t>
      </w:r>
      <w:r w:rsidR="00CF0913" w:rsidRPr="003E3613">
        <w:rPr>
          <w:rFonts w:ascii="Book Antiqua" w:hAnsi="Book Antiqua"/>
          <w:sz w:val="23"/>
          <w:szCs w:val="23"/>
          <w:lang w:val="en-GB"/>
        </w:rPr>
        <w:t xml:space="preserve"> and the Roman Catholic Church.</w:t>
      </w:r>
    </w:p>
    <w:p w14:paraId="2FD78119" w14:textId="77777777" w:rsidR="002744E0" w:rsidRPr="003E3613" w:rsidRDefault="002744E0" w:rsidP="00204696">
      <w:pPr>
        <w:spacing w:after="0"/>
        <w:jc w:val="both"/>
        <w:rPr>
          <w:rFonts w:ascii="Book Antiqua" w:hAnsi="Book Antiqua"/>
          <w:i/>
          <w:sz w:val="23"/>
          <w:szCs w:val="23"/>
          <w:lang w:val="en-GB"/>
        </w:rPr>
      </w:pPr>
    </w:p>
    <w:p w14:paraId="79806908" w14:textId="77777777" w:rsidR="000605E1" w:rsidRPr="003E3613" w:rsidRDefault="000605E1" w:rsidP="00204696">
      <w:pPr>
        <w:pStyle w:val="Heading2"/>
        <w:keepNext w:val="0"/>
        <w:keepLines w:val="0"/>
        <w:spacing w:before="0"/>
        <w:jc w:val="both"/>
        <w:rPr>
          <w:rFonts w:ascii="Book Antiqua" w:hAnsi="Book Antiqua"/>
          <w:color w:val="auto"/>
          <w:sz w:val="23"/>
          <w:szCs w:val="23"/>
          <w:lang w:val="en-GB"/>
        </w:rPr>
      </w:pPr>
      <w:bookmarkStart w:id="40" w:name="_Toc19120801"/>
      <w:r w:rsidRPr="003E3613">
        <w:rPr>
          <w:rFonts w:ascii="Book Antiqua" w:hAnsi="Book Antiqua"/>
          <w:color w:val="auto"/>
          <w:sz w:val="23"/>
          <w:szCs w:val="23"/>
          <w:lang w:val="en-GB"/>
        </w:rPr>
        <w:t>Violation of the freedom of conscience and religion</w:t>
      </w:r>
      <w:bookmarkEnd w:id="40"/>
      <w:r w:rsidRPr="003E3613">
        <w:rPr>
          <w:rFonts w:ascii="Book Antiqua" w:hAnsi="Book Antiqua"/>
          <w:color w:val="auto"/>
          <w:sz w:val="23"/>
          <w:szCs w:val="23"/>
          <w:lang w:val="en-GB"/>
        </w:rPr>
        <w:t xml:space="preserve"> </w:t>
      </w:r>
    </w:p>
    <w:p w14:paraId="4E4A46A6" w14:textId="77777777" w:rsidR="000605E1" w:rsidRPr="003E3613" w:rsidRDefault="000605E1" w:rsidP="00204696">
      <w:pPr>
        <w:spacing w:after="0"/>
        <w:jc w:val="both"/>
        <w:rPr>
          <w:rFonts w:ascii="Book Antiqua" w:hAnsi="Book Antiqua"/>
          <w:i/>
          <w:sz w:val="23"/>
          <w:szCs w:val="23"/>
          <w:lang w:val="en-GB"/>
        </w:rPr>
      </w:pPr>
    </w:p>
    <w:p w14:paraId="12853A21" w14:textId="77777777" w:rsidR="009F4661"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A41E5F" w:rsidRPr="003E3613">
        <w:rPr>
          <w:rFonts w:ascii="Book Antiqua" w:hAnsi="Book Antiqua"/>
          <w:i/>
          <w:sz w:val="23"/>
          <w:szCs w:val="23"/>
          <w:lang w:val="en-GB"/>
        </w:rPr>
        <w:t>3</w:t>
      </w:r>
      <w:r w:rsidR="00006F80" w:rsidRPr="003E3613">
        <w:rPr>
          <w:rFonts w:ascii="Book Antiqua" w:hAnsi="Book Antiqua"/>
          <w:i/>
          <w:sz w:val="23"/>
          <w:szCs w:val="23"/>
          <w:lang w:val="en-GB"/>
        </w:rPr>
        <w:t>9</w:t>
      </w:r>
      <w:r w:rsidRPr="003E3613">
        <w:rPr>
          <w:rFonts w:ascii="Book Antiqua" w:hAnsi="Book Antiqua"/>
          <w:i/>
          <w:sz w:val="23"/>
          <w:szCs w:val="23"/>
          <w:lang w:val="en-GB"/>
        </w:rPr>
        <w:t xml:space="preserve">) In its judgment of 8 April 2014, Magyar Keresztény Mennonita Egyház and Others v. Hungary, the ECtHR ruled that Hungary had violated freedom of association, read in the light of freedom of conscience and religion. </w:t>
      </w:r>
      <w:r w:rsidR="00A41E5F" w:rsidRPr="003E3613">
        <w:rPr>
          <w:rFonts w:ascii="Book Antiqua" w:hAnsi="Book Antiqua"/>
          <w:i/>
          <w:sz w:val="23"/>
          <w:szCs w:val="23"/>
          <w:lang w:val="en-GB"/>
        </w:rPr>
        <w:t>The Constitutional Court of Hungary found that certain rules governing the conditions of recognition as a church were unconstitutional and ordered the legislature to bring the relevant rules in line with the requirements of the European Convention on Human Rights. The relevant Act was accordingly submitted to the Hungarian Parliament in December 2015, but it did not obtain the necessary majority. The execution of that judgment is still pending.</w:t>
      </w:r>
    </w:p>
    <w:p w14:paraId="1C13C614" w14:textId="77777777" w:rsidR="003C0E12" w:rsidRPr="003E3613" w:rsidRDefault="003C0E12" w:rsidP="00204696">
      <w:pPr>
        <w:spacing w:after="0"/>
        <w:jc w:val="both"/>
        <w:rPr>
          <w:rFonts w:ascii="Book Antiqua" w:hAnsi="Book Antiqua"/>
          <w:sz w:val="23"/>
          <w:szCs w:val="23"/>
          <w:lang w:val="en-GB"/>
        </w:rPr>
      </w:pPr>
    </w:p>
    <w:p w14:paraId="3DA2A8AF" w14:textId="77777777" w:rsidR="000605E1" w:rsidRPr="003E3613" w:rsidRDefault="000605E1" w:rsidP="00204696">
      <w:pPr>
        <w:spacing w:after="0"/>
        <w:jc w:val="both"/>
        <w:rPr>
          <w:rFonts w:ascii="Book Antiqua" w:hAnsi="Book Antiqua"/>
          <w:sz w:val="23"/>
          <w:szCs w:val="23"/>
          <w:lang w:val="en-GB"/>
        </w:rPr>
      </w:pPr>
      <w:r w:rsidRPr="003E3613">
        <w:rPr>
          <w:rFonts w:ascii="Book Antiqua" w:hAnsi="Book Antiqua"/>
          <w:sz w:val="23"/>
          <w:szCs w:val="23"/>
          <w:lang w:val="en-GB"/>
        </w:rPr>
        <w:t>The ECtHR found violation of the right to freedom of association read in light of the right to freedom of religion of the applicant religious communities, wh</w:t>
      </w:r>
      <w:r w:rsidR="00D22462" w:rsidRPr="003E3613">
        <w:rPr>
          <w:rFonts w:ascii="Book Antiqua" w:hAnsi="Book Antiqua"/>
          <w:sz w:val="23"/>
          <w:szCs w:val="23"/>
          <w:lang w:val="en-GB"/>
        </w:rPr>
        <w:t>ich</w:t>
      </w:r>
      <w:r w:rsidRPr="003E3613">
        <w:rPr>
          <w:rFonts w:ascii="Book Antiqua" w:hAnsi="Book Antiqua"/>
          <w:sz w:val="23"/>
          <w:szCs w:val="23"/>
          <w:lang w:val="en-GB"/>
        </w:rPr>
        <w:t xml:space="preserve"> lost their status as churches following the entry into force in 2012 of the new Hungarian Church Act</w:t>
      </w:r>
      <w:r w:rsidR="004D64FB" w:rsidRPr="003E3613">
        <w:rPr>
          <w:rFonts w:ascii="Book Antiqua" w:hAnsi="Book Antiqua"/>
          <w:sz w:val="23"/>
          <w:szCs w:val="23"/>
          <w:lang w:val="en-GB"/>
        </w:rPr>
        <w:t>. The Court found that ‘</w:t>
      </w:r>
      <w:r w:rsidRPr="003E3613">
        <w:rPr>
          <w:rFonts w:ascii="Book Antiqua" w:hAnsi="Book Antiqua"/>
          <w:sz w:val="23"/>
          <w:szCs w:val="23"/>
          <w:lang w:val="en-GB"/>
        </w:rPr>
        <w:t xml:space="preserve">in removing the applicants’ church status altogether rather than applying less stringent measures, in establishing a politically tainted re-registration procedure whose justification as </w:t>
      </w:r>
      <w:r w:rsidRPr="003E3613">
        <w:rPr>
          <w:rFonts w:ascii="Book Antiqua" w:hAnsi="Book Antiqua"/>
          <w:sz w:val="23"/>
          <w:szCs w:val="23"/>
          <w:lang w:val="en-GB"/>
        </w:rPr>
        <w:lastRenderedPageBreak/>
        <w:t xml:space="preserve">such is open to doubt, and finally, in treating the applicants differently from the </w:t>
      </w:r>
      <w:r w:rsidR="00F10FB8" w:rsidRPr="003E3613">
        <w:rPr>
          <w:rFonts w:ascii="Book Antiqua" w:hAnsi="Book Antiqua"/>
          <w:sz w:val="23"/>
          <w:szCs w:val="23"/>
          <w:lang w:val="en-GB"/>
        </w:rPr>
        <w:t xml:space="preserve">established </w:t>
      </w:r>
      <w:r w:rsidRPr="003E3613">
        <w:rPr>
          <w:rFonts w:ascii="Book Antiqua" w:hAnsi="Book Antiqua"/>
          <w:sz w:val="23"/>
          <w:szCs w:val="23"/>
          <w:lang w:val="en-GB"/>
        </w:rPr>
        <w:t>churches not only with regard to the possibilities for cooperation but also with regard to entitlement to benefits for the purposes of faith-related activities, the authorities disregarded their duty of neutrality vis-</w:t>
      </w:r>
      <w:r w:rsidR="004D64FB" w:rsidRPr="003E3613">
        <w:rPr>
          <w:rFonts w:ascii="Book Antiqua" w:hAnsi="Book Antiqua"/>
          <w:sz w:val="23"/>
          <w:szCs w:val="23"/>
          <w:lang w:val="en-GB"/>
        </w:rPr>
        <w:t>à-vis the applicant communities’</w:t>
      </w:r>
      <w:r w:rsidRPr="003E3613">
        <w:rPr>
          <w:rFonts w:ascii="Book Antiqua" w:hAnsi="Book Antiqua"/>
          <w:sz w:val="23"/>
          <w:szCs w:val="23"/>
          <w:lang w:val="en-GB"/>
        </w:rPr>
        <w:t>.</w:t>
      </w:r>
    </w:p>
    <w:p w14:paraId="242E1CFD" w14:textId="77777777" w:rsidR="0031243A" w:rsidRPr="003E3613" w:rsidRDefault="0031243A" w:rsidP="00204696">
      <w:pPr>
        <w:spacing w:after="0"/>
        <w:jc w:val="both"/>
        <w:rPr>
          <w:rFonts w:ascii="Book Antiqua" w:hAnsi="Book Antiqua"/>
          <w:sz w:val="23"/>
          <w:szCs w:val="23"/>
          <w:lang w:val="en-GB"/>
        </w:rPr>
      </w:pPr>
    </w:p>
    <w:p w14:paraId="181AE077" w14:textId="77777777" w:rsidR="00782F28" w:rsidRPr="003E3613" w:rsidRDefault="00782F28" w:rsidP="00204696">
      <w:pPr>
        <w:spacing w:after="0"/>
        <w:jc w:val="both"/>
        <w:rPr>
          <w:rFonts w:ascii="Book Antiqua" w:hAnsi="Book Antiqua"/>
          <w:sz w:val="23"/>
          <w:szCs w:val="23"/>
          <w:lang w:val="en-GB"/>
        </w:rPr>
      </w:pPr>
      <w:r w:rsidRPr="003E3613">
        <w:rPr>
          <w:rFonts w:ascii="Book Antiqua" w:hAnsi="Book Antiqua"/>
          <w:sz w:val="23"/>
          <w:szCs w:val="23"/>
          <w:lang w:val="en-GB"/>
        </w:rPr>
        <w:t>The judgment of the EC</w:t>
      </w:r>
      <w:r w:rsidR="0022386E" w:rsidRPr="003E3613">
        <w:rPr>
          <w:rFonts w:ascii="Book Antiqua" w:hAnsi="Book Antiqua"/>
          <w:sz w:val="23"/>
          <w:szCs w:val="23"/>
          <w:lang w:val="en-GB"/>
        </w:rPr>
        <w:t>t</w:t>
      </w:r>
      <w:r w:rsidRPr="003E3613">
        <w:rPr>
          <w:rFonts w:ascii="Book Antiqua" w:hAnsi="Book Antiqua"/>
          <w:sz w:val="23"/>
          <w:szCs w:val="23"/>
          <w:lang w:val="en-GB"/>
        </w:rPr>
        <w:t xml:space="preserve">HR found violations </w:t>
      </w:r>
      <w:r w:rsidR="0097569B" w:rsidRPr="003E3613">
        <w:rPr>
          <w:rFonts w:ascii="Book Antiqua" w:hAnsi="Book Antiqua"/>
          <w:sz w:val="23"/>
          <w:szCs w:val="23"/>
          <w:lang w:val="en-GB"/>
        </w:rPr>
        <w:t xml:space="preserve">in respect of 16 religious communities. The Court </w:t>
      </w:r>
      <w:r w:rsidR="0031243A" w:rsidRPr="003E3613">
        <w:rPr>
          <w:rFonts w:ascii="Book Antiqua" w:hAnsi="Book Antiqua"/>
          <w:sz w:val="23"/>
          <w:szCs w:val="23"/>
          <w:lang w:val="en-GB"/>
        </w:rPr>
        <w:t>obliged t</w:t>
      </w:r>
      <w:r w:rsidR="0097569B" w:rsidRPr="003E3613">
        <w:rPr>
          <w:rFonts w:ascii="Book Antiqua" w:hAnsi="Book Antiqua"/>
          <w:sz w:val="23"/>
          <w:szCs w:val="23"/>
          <w:lang w:val="en-GB"/>
        </w:rPr>
        <w:t xml:space="preserve">he parties, including </w:t>
      </w:r>
      <w:r w:rsidRPr="003E3613">
        <w:rPr>
          <w:rFonts w:ascii="Book Antiqua" w:hAnsi="Book Antiqua"/>
          <w:sz w:val="23"/>
          <w:szCs w:val="23"/>
          <w:lang w:val="en-GB"/>
        </w:rPr>
        <w:t>Hungary</w:t>
      </w:r>
      <w:r w:rsidR="0097569B" w:rsidRPr="003E3613">
        <w:rPr>
          <w:rFonts w:ascii="Book Antiqua" w:hAnsi="Book Antiqua"/>
          <w:sz w:val="23"/>
          <w:szCs w:val="23"/>
          <w:lang w:val="en-GB"/>
        </w:rPr>
        <w:t xml:space="preserve">, </w:t>
      </w:r>
      <w:r w:rsidRPr="003E3613">
        <w:rPr>
          <w:rFonts w:ascii="Book Antiqua" w:hAnsi="Book Antiqua"/>
          <w:sz w:val="23"/>
          <w:szCs w:val="23"/>
          <w:lang w:val="en-GB"/>
        </w:rPr>
        <w:t>to carry out consultations</w:t>
      </w:r>
      <w:r w:rsidR="0097569B" w:rsidRPr="003E3613">
        <w:rPr>
          <w:rFonts w:ascii="Book Antiqua" w:hAnsi="Book Antiqua"/>
          <w:sz w:val="23"/>
          <w:szCs w:val="23"/>
          <w:lang w:val="en-GB"/>
        </w:rPr>
        <w:t xml:space="preserve"> on the </w:t>
      </w:r>
      <w:r w:rsidR="0031243A" w:rsidRPr="003E3613">
        <w:rPr>
          <w:rFonts w:ascii="Book Antiqua" w:hAnsi="Book Antiqua"/>
          <w:sz w:val="23"/>
          <w:szCs w:val="23"/>
          <w:lang w:val="en-GB"/>
        </w:rPr>
        <w:t xml:space="preserve">amount of the </w:t>
      </w:r>
      <w:r w:rsidR="0097569B" w:rsidRPr="003E3613">
        <w:rPr>
          <w:rFonts w:ascii="Book Antiqua" w:hAnsi="Book Antiqua"/>
          <w:sz w:val="23"/>
          <w:szCs w:val="23"/>
          <w:lang w:val="en-GB"/>
        </w:rPr>
        <w:t>compensation.</w:t>
      </w:r>
      <w:r w:rsidR="00554D9C" w:rsidRPr="003E3613">
        <w:rPr>
          <w:rFonts w:ascii="Book Antiqua" w:hAnsi="Book Antiqua"/>
          <w:sz w:val="23"/>
          <w:szCs w:val="23"/>
          <w:lang w:val="en-GB"/>
        </w:rPr>
        <w:t xml:space="preserve"> </w:t>
      </w:r>
      <w:r w:rsidR="0022386E" w:rsidRPr="003E3613">
        <w:rPr>
          <w:rFonts w:ascii="Book Antiqua" w:hAnsi="Book Antiqua"/>
          <w:sz w:val="23"/>
          <w:szCs w:val="23"/>
          <w:lang w:val="en-GB"/>
        </w:rPr>
        <w:t>A</w:t>
      </w:r>
      <w:r w:rsidR="0097569B" w:rsidRPr="003E3613">
        <w:rPr>
          <w:rFonts w:ascii="Book Antiqua" w:hAnsi="Book Antiqua"/>
          <w:sz w:val="23"/>
          <w:szCs w:val="23"/>
          <w:lang w:val="en-GB"/>
        </w:rPr>
        <w:t>greement</w:t>
      </w:r>
      <w:r w:rsidR="0022386E" w:rsidRPr="003E3613">
        <w:rPr>
          <w:rFonts w:ascii="Book Antiqua" w:hAnsi="Book Antiqua"/>
          <w:sz w:val="23"/>
          <w:szCs w:val="23"/>
          <w:lang w:val="en-GB"/>
        </w:rPr>
        <w:t>s</w:t>
      </w:r>
      <w:r w:rsidR="0097569B" w:rsidRPr="003E3613">
        <w:rPr>
          <w:rFonts w:ascii="Book Antiqua" w:hAnsi="Book Antiqua"/>
          <w:sz w:val="23"/>
          <w:szCs w:val="23"/>
          <w:lang w:val="en-GB"/>
        </w:rPr>
        <w:t xml:space="preserve"> w</w:t>
      </w:r>
      <w:r w:rsidR="0022386E" w:rsidRPr="003E3613">
        <w:rPr>
          <w:rFonts w:ascii="Book Antiqua" w:hAnsi="Book Antiqua"/>
          <w:sz w:val="23"/>
          <w:szCs w:val="23"/>
          <w:lang w:val="en-GB"/>
        </w:rPr>
        <w:t>ere</w:t>
      </w:r>
      <w:r w:rsidR="0097569B" w:rsidRPr="003E3613">
        <w:rPr>
          <w:rFonts w:ascii="Book Antiqua" w:hAnsi="Book Antiqua"/>
          <w:sz w:val="23"/>
          <w:szCs w:val="23"/>
          <w:lang w:val="en-GB"/>
        </w:rPr>
        <w:t xml:space="preserve"> reached</w:t>
      </w:r>
      <w:r w:rsidR="0022386E" w:rsidRPr="003E3613">
        <w:rPr>
          <w:rFonts w:ascii="Book Antiqua" w:hAnsi="Book Antiqua"/>
          <w:sz w:val="23"/>
          <w:szCs w:val="23"/>
          <w:lang w:val="en-GB"/>
        </w:rPr>
        <w:t xml:space="preserve"> with nine </w:t>
      </w:r>
      <w:r w:rsidR="0084566D" w:rsidRPr="003E3613">
        <w:rPr>
          <w:rFonts w:ascii="Book Antiqua" w:hAnsi="Book Antiqua"/>
          <w:sz w:val="23"/>
          <w:szCs w:val="23"/>
          <w:lang w:val="en-GB"/>
        </w:rPr>
        <w:t>communities</w:t>
      </w:r>
      <w:r w:rsidR="0097569B" w:rsidRPr="003E3613">
        <w:rPr>
          <w:rFonts w:ascii="Book Antiqua" w:hAnsi="Book Antiqua"/>
          <w:sz w:val="23"/>
          <w:szCs w:val="23"/>
          <w:lang w:val="en-GB"/>
        </w:rPr>
        <w:t xml:space="preserve">, while in respect of seven </w:t>
      </w:r>
      <w:r w:rsidR="0084566D" w:rsidRPr="003E3613">
        <w:rPr>
          <w:rFonts w:ascii="Book Antiqua" w:hAnsi="Book Antiqua"/>
          <w:sz w:val="23"/>
          <w:szCs w:val="23"/>
          <w:lang w:val="en-GB"/>
        </w:rPr>
        <w:t xml:space="preserve">further </w:t>
      </w:r>
      <w:r w:rsidR="0097569B" w:rsidRPr="003E3613">
        <w:rPr>
          <w:rFonts w:ascii="Book Antiqua" w:hAnsi="Book Antiqua"/>
          <w:sz w:val="23"/>
          <w:szCs w:val="23"/>
          <w:lang w:val="en-GB"/>
        </w:rPr>
        <w:t>communit</w:t>
      </w:r>
      <w:r w:rsidR="0031243A" w:rsidRPr="003E3613">
        <w:rPr>
          <w:rFonts w:ascii="Book Antiqua" w:hAnsi="Book Antiqua"/>
          <w:sz w:val="23"/>
          <w:szCs w:val="23"/>
          <w:lang w:val="en-GB"/>
        </w:rPr>
        <w:t>ies</w:t>
      </w:r>
      <w:r w:rsidR="0084566D" w:rsidRPr="003E3613">
        <w:rPr>
          <w:rFonts w:ascii="Book Antiqua" w:hAnsi="Book Antiqua"/>
          <w:sz w:val="23"/>
          <w:szCs w:val="23"/>
          <w:lang w:val="en-GB"/>
        </w:rPr>
        <w:t>,</w:t>
      </w:r>
      <w:r w:rsidRPr="003E3613">
        <w:rPr>
          <w:rFonts w:ascii="Book Antiqua" w:hAnsi="Book Antiqua"/>
          <w:sz w:val="23"/>
          <w:szCs w:val="23"/>
          <w:lang w:val="en-GB"/>
        </w:rPr>
        <w:t xml:space="preserve"> the ECtHR defi</w:t>
      </w:r>
      <w:r w:rsidR="0097569B" w:rsidRPr="003E3613">
        <w:rPr>
          <w:rFonts w:ascii="Book Antiqua" w:hAnsi="Book Antiqua"/>
          <w:sz w:val="23"/>
          <w:szCs w:val="23"/>
          <w:lang w:val="en-GB"/>
        </w:rPr>
        <w:t>ned the amount of compensation. M</w:t>
      </w:r>
      <w:r w:rsidRPr="003E3613">
        <w:rPr>
          <w:rFonts w:ascii="Book Antiqua" w:hAnsi="Book Antiqua"/>
          <w:sz w:val="23"/>
          <w:szCs w:val="23"/>
          <w:lang w:val="en-GB"/>
        </w:rPr>
        <w:t>any of these communities claim</w:t>
      </w:r>
      <w:r w:rsidR="0097569B" w:rsidRPr="003E3613">
        <w:rPr>
          <w:rFonts w:ascii="Book Antiqua" w:hAnsi="Book Antiqua"/>
          <w:sz w:val="23"/>
          <w:szCs w:val="23"/>
          <w:lang w:val="en-GB"/>
        </w:rPr>
        <w:t xml:space="preserve">ed for </w:t>
      </w:r>
      <w:r w:rsidRPr="003E3613">
        <w:rPr>
          <w:rFonts w:ascii="Book Antiqua" w:hAnsi="Book Antiqua"/>
          <w:sz w:val="23"/>
          <w:szCs w:val="23"/>
          <w:lang w:val="en-GB"/>
        </w:rPr>
        <w:t xml:space="preserve">an unreasonable </w:t>
      </w:r>
      <w:r w:rsidR="0097569B" w:rsidRPr="003E3613">
        <w:rPr>
          <w:rFonts w:ascii="Book Antiqua" w:hAnsi="Book Antiqua"/>
          <w:sz w:val="23"/>
          <w:szCs w:val="23"/>
          <w:lang w:val="en-GB"/>
        </w:rPr>
        <w:t xml:space="preserve">amount </w:t>
      </w:r>
      <w:r w:rsidR="0031243A" w:rsidRPr="003E3613">
        <w:rPr>
          <w:rFonts w:ascii="Book Antiqua" w:hAnsi="Book Antiqua"/>
          <w:sz w:val="23"/>
          <w:szCs w:val="23"/>
          <w:lang w:val="en-GB"/>
        </w:rPr>
        <w:t xml:space="preserve">of </w:t>
      </w:r>
      <w:r w:rsidR="0097569B" w:rsidRPr="003E3613">
        <w:rPr>
          <w:rFonts w:ascii="Book Antiqua" w:hAnsi="Book Antiqua"/>
          <w:sz w:val="23"/>
          <w:szCs w:val="23"/>
          <w:lang w:val="en-GB"/>
        </w:rPr>
        <w:t xml:space="preserve">compensation, </w:t>
      </w:r>
      <w:r w:rsidRPr="003E3613">
        <w:rPr>
          <w:rFonts w:ascii="Book Antiqua" w:hAnsi="Book Antiqua"/>
          <w:sz w:val="23"/>
          <w:szCs w:val="23"/>
          <w:lang w:val="en-GB"/>
        </w:rPr>
        <w:t xml:space="preserve">especially those </w:t>
      </w:r>
      <w:r w:rsidR="0097569B" w:rsidRPr="003E3613">
        <w:rPr>
          <w:rFonts w:ascii="Book Antiqua" w:hAnsi="Book Antiqua"/>
          <w:sz w:val="23"/>
          <w:szCs w:val="23"/>
          <w:lang w:val="en-GB"/>
        </w:rPr>
        <w:t xml:space="preserve">which </w:t>
      </w:r>
      <w:r w:rsidR="0031243A" w:rsidRPr="003E3613">
        <w:rPr>
          <w:rFonts w:ascii="Book Antiqua" w:hAnsi="Book Antiqua"/>
          <w:sz w:val="23"/>
          <w:szCs w:val="23"/>
          <w:lang w:val="en-GB"/>
        </w:rPr>
        <w:t>ha</w:t>
      </w:r>
      <w:r w:rsidR="0084566D" w:rsidRPr="003E3613">
        <w:rPr>
          <w:rFonts w:ascii="Book Antiqua" w:hAnsi="Book Antiqua"/>
          <w:sz w:val="23"/>
          <w:szCs w:val="23"/>
          <w:lang w:val="en-GB"/>
        </w:rPr>
        <w:t>d</w:t>
      </w:r>
      <w:r w:rsidR="0031243A" w:rsidRPr="003E3613">
        <w:rPr>
          <w:rFonts w:ascii="Book Antiqua" w:hAnsi="Book Antiqua"/>
          <w:sz w:val="23"/>
          <w:szCs w:val="23"/>
          <w:lang w:val="en-GB"/>
        </w:rPr>
        <w:t xml:space="preserve"> </w:t>
      </w:r>
      <w:r w:rsidR="0097569B" w:rsidRPr="003E3613">
        <w:rPr>
          <w:rFonts w:ascii="Book Antiqua" w:hAnsi="Book Antiqua"/>
          <w:sz w:val="23"/>
          <w:szCs w:val="23"/>
          <w:lang w:val="en-GB"/>
        </w:rPr>
        <w:t xml:space="preserve">wanted </w:t>
      </w:r>
      <w:r w:rsidR="0031243A" w:rsidRPr="003E3613">
        <w:rPr>
          <w:rFonts w:ascii="Book Antiqua" w:hAnsi="Book Antiqua"/>
          <w:sz w:val="23"/>
          <w:szCs w:val="23"/>
          <w:lang w:val="en-GB"/>
        </w:rPr>
        <w:t xml:space="preserve">to gain the religious status </w:t>
      </w:r>
      <w:r w:rsidR="0084566D" w:rsidRPr="003E3613">
        <w:rPr>
          <w:rFonts w:ascii="Book Antiqua" w:hAnsi="Book Antiqua"/>
          <w:sz w:val="23"/>
          <w:szCs w:val="23"/>
          <w:lang w:val="en-GB"/>
        </w:rPr>
        <w:t xml:space="preserve">in order </w:t>
      </w:r>
      <w:r w:rsidR="0031243A" w:rsidRPr="003E3613">
        <w:rPr>
          <w:rFonts w:ascii="Book Antiqua" w:hAnsi="Book Antiqua"/>
          <w:sz w:val="23"/>
          <w:szCs w:val="23"/>
          <w:lang w:val="en-GB"/>
        </w:rPr>
        <w:t xml:space="preserve">to receive the state support. </w:t>
      </w:r>
      <w:r w:rsidR="0097569B" w:rsidRPr="003E3613">
        <w:rPr>
          <w:rFonts w:ascii="Book Antiqua" w:hAnsi="Book Antiqua"/>
          <w:sz w:val="23"/>
          <w:szCs w:val="23"/>
          <w:lang w:val="en-GB"/>
        </w:rPr>
        <w:t>These claims were rejected b</w:t>
      </w:r>
      <w:r w:rsidR="0031243A" w:rsidRPr="003E3613">
        <w:rPr>
          <w:rFonts w:ascii="Book Antiqua" w:hAnsi="Book Antiqua"/>
          <w:sz w:val="23"/>
          <w:szCs w:val="23"/>
          <w:lang w:val="en-GB"/>
        </w:rPr>
        <w:t xml:space="preserve">y the ECtHR and </w:t>
      </w:r>
      <w:r w:rsidRPr="003E3613">
        <w:rPr>
          <w:rFonts w:ascii="Book Antiqua" w:hAnsi="Book Antiqua"/>
          <w:sz w:val="23"/>
          <w:szCs w:val="23"/>
          <w:lang w:val="en-GB"/>
        </w:rPr>
        <w:t xml:space="preserve">the </w:t>
      </w:r>
      <w:r w:rsidR="0031243A" w:rsidRPr="003E3613">
        <w:rPr>
          <w:rFonts w:ascii="Book Antiqua" w:hAnsi="Book Antiqua"/>
          <w:sz w:val="23"/>
          <w:szCs w:val="23"/>
          <w:lang w:val="en-GB"/>
        </w:rPr>
        <w:t xml:space="preserve">awarded </w:t>
      </w:r>
      <w:r w:rsidRPr="003E3613">
        <w:rPr>
          <w:rFonts w:ascii="Book Antiqua" w:hAnsi="Book Antiqua"/>
          <w:sz w:val="23"/>
          <w:szCs w:val="23"/>
          <w:lang w:val="en-GB"/>
        </w:rPr>
        <w:t>compensation</w:t>
      </w:r>
      <w:r w:rsidR="0084566D" w:rsidRPr="003E3613">
        <w:rPr>
          <w:rFonts w:ascii="Book Antiqua" w:hAnsi="Book Antiqua"/>
          <w:sz w:val="23"/>
          <w:szCs w:val="23"/>
          <w:lang w:val="en-GB"/>
        </w:rPr>
        <w:t>s</w:t>
      </w:r>
      <w:r w:rsidRPr="003E3613">
        <w:rPr>
          <w:rFonts w:ascii="Book Antiqua" w:hAnsi="Book Antiqua"/>
          <w:sz w:val="23"/>
          <w:szCs w:val="23"/>
          <w:lang w:val="en-GB"/>
        </w:rPr>
        <w:t xml:space="preserve"> w</w:t>
      </w:r>
      <w:r w:rsidR="0084566D" w:rsidRPr="003E3613">
        <w:rPr>
          <w:rFonts w:ascii="Book Antiqua" w:hAnsi="Book Antiqua"/>
          <w:sz w:val="23"/>
          <w:szCs w:val="23"/>
          <w:lang w:val="en-GB"/>
        </w:rPr>
        <w:t>ere</w:t>
      </w:r>
      <w:r w:rsidRPr="003E3613">
        <w:rPr>
          <w:rFonts w:ascii="Book Antiqua" w:hAnsi="Book Antiqua"/>
          <w:sz w:val="23"/>
          <w:szCs w:val="23"/>
          <w:lang w:val="en-GB"/>
        </w:rPr>
        <w:t xml:space="preserve"> </w:t>
      </w:r>
      <w:r w:rsidR="0084566D" w:rsidRPr="003E3613">
        <w:rPr>
          <w:rFonts w:ascii="Book Antiqua" w:hAnsi="Book Antiqua"/>
          <w:sz w:val="23"/>
          <w:szCs w:val="23"/>
          <w:lang w:val="en-GB"/>
        </w:rPr>
        <w:t xml:space="preserve">more in line </w:t>
      </w:r>
      <w:r w:rsidR="00334CA0" w:rsidRPr="003E3613">
        <w:rPr>
          <w:rFonts w:ascii="Book Antiqua" w:hAnsi="Book Antiqua"/>
          <w:sz w:val="23"/>
          <w:szCs w:val="23"/>
          <w:lang w:val="en-GB"/>
        </w:rPr>
        <w:t>with</w:t>
      </w:r>
      <w:r w:rsidRPr="003E3613">
        <w:rPr>
          <w:rFonts w:ascii="Book Antiqua" w:hAnsi="Book Antiqua"/>
          <w:sz w:val="23"/>
          <w:szCs w:val="23"/>
          <w:lang w:val="en-GB"/>
        </w:rPr>
        <w:t xml:space="preserve"> </w:t>
      </w:r>
      <w:r w:rsidR="0031243A" w:rsidRPr="003E3613">
        <w:rPr>
          <w:rFonts w:ascii="Book Antiqua" w:hAnsi="Book Antiqua"/>
          <w:sz w:val="23"/>
          <w:szCs w:val="23"/>
          <w:lang w:val="en-GB"/>
        </w:rPr>
        <w:t>the amount p</w:t>
      </w:r>
      <w:r w:rsidRPr="003E3613">
        <w:rPr>
          <w:rFonts w:ascii="Book Antiqua" w:hAnsi="Book Antiqua"/>
          <w:sz w:val="23"/>
          <w:szCs w:val="23"/>
          <w:lang w:val="en-GB"/>
        </w:rPr>
        <w:t>revi</w:t>
      </w:r>
      <w:r w:rsidR="0031243A" w:rsidRPr="003E3613">
        <w:rPr>
          <w:rFonts w:ascii="Book Antiqua" w:hAnsi="Book Antiqua"/>
          <w:sz w:val="23"/>
          <w:szCs w:val="23"/>
          <w:lang w:val="en-GB"/>
        </w:rPr>
        <w:t xml:space="preserve">ously offered by the </w:t>
      </w:r>
      <w:r w:rsidR="0084566D" w:rsidRPr="003E3613">
        <w:rPr>
          <w:rFonts w:ascii="Book Antiqua" w:hAnsi="Book Antiqua"/>
          <w:sz w:val="23"/>
          <w:szCs w:val="23"/>
          <w:lang w:val="en-GB"/>
        </w:rPr>
        <w:t xml:space="preserve">Hungarian </w:t>
      </w:r>
      <w:r w:rsidR="0031243A" w:rsidRPr="003E3613">
        <w:rPr>
          <w:rFonts w:ascii="Book Antiqua" w:hAnsi="Book Antiqua"/>
          <w:sz w:val="23"/>
          <w:szCs w:val="23"/>
          <w:lang w:val="en-GB"/>
        </w:rPr>
        <w:t>Government</w:t>
      </w:r>
      <w:r w:rsidRPr="003E3613">
        <w:rPr>
          <w:rFonts w:ascii="Book Antiqua" w:hAnsi="Book Antiqua"/>
          <w:sz w:val="23"/>
          <w:szCs w:val="23"/>
          <w:lang w:val="en-GB"/>
        </w:rPr>
        <w:t>.</w:t>
      </w:r>
      <w:r w:rsidR="00D74053" w:rsidRPr="003E3613">
        <w:rPr>
          <w:rFonts w:ascii="Book Antiqua" w:hAnsi="Book Antiqua"/>
          <w:sz w:val="23"/>
          <w:szCs w:val="23"/>
          <w:lang w:val="en-GB"/>
        </w:rPr>
        <w:t xml:space="preserve"> </w:t>
      </w:r>
      <w:r w:rsidR="00531BDA" w:rsidRPr="003E3613">
        <w:rPr>
          <w:rFonts w:ascii="Book Antiqua" w:hAnsi="Book Antiqua"/>
          <w:sz w:val="23"/>
          <w:szCs w:val="23"/>
          <w:lang w:val="en-GB"/>
        </w:rPr>
        <w:t>The Government pay</w:t>
      </w:r>
      <w:r w:rsidR="00C97F27" w:rsidRPr="003E3613">
        <w:rPr>
          <w:rFonts w:ascii="Book Antiqua" w:hAnsi="Book Antiqua"/>
          <w:sz w:val="23"/>
          <w:szCs w:val="23"/>
          <w:lang w:val="en-GB"/>
        </w:rPr>
        <w:t>ed the</w:t>
      </w:r>
      <w:r w:rsidR="00531BDA" w:rsidRPr="003E3613">
        <w:rPr>
          <w:rFonts w:ascii="Book Antiqua" w:hAnsi="Book Antiqua"/>
          <w:sz w:val="23"/>
          <w:szCs w:val="23"/>
          <w:lang w:val="en-GB"/>
        </w:rPr>
        <w:t xml:space="preserve"> applicants </w:t>
      </w:r>
      <w:r w:rsidR="00D74053" w:rsidRPr="003E3613">
        <w:rPr>
          <w:rFonts w:ascii="Book Antiqua" w:hAnsi="Book Antiqua"/>
          <w:sz w:val="23"/>
          <w:szCs w:val="23"/>
          <w:lang w:val="en-GB"/>
        </w:rPr>
        <w:t>a fair compensation on the basis of external court agreements or court judgments (28 June 2016 and partial judgments of 25 April 2017).</w:t>
      </w:r>
    </w:p>
    <w:p w14:paraId="5A2204CE" w14:textId="77777777" w:rsidR="000605E1" w:rsidRPr="003E3613" w:rsidRDefault="000605E1" w:rsidP="00204696">
      <w:pPr>
        <w:spacing w:after="0"/>
        <w:jc w:val="both"/>
        <w:rPr>
          <w:rFonts w:ascii="Book Antiqua" w:hAnsi="Book Antiqua"/>
          <w:sz w:val="23"/>
          <w:szCs w:val="23"/>
          <w:lang w:val="en-GB"/>
        </w:rPr>
      </w:pPr>
    </w:p>
    <w:p w14:paraId="661F28ED" w14:textId="77777777" w:rsidR="008D1BAE" w:rsidRPr="003E3613" w:rsidRDefault="000605E1" w:rsidP="00204696">
      <w:pPr>
        <w:spacing w:after="0"/>
        <w:jc w:val="both"/>
        <w:rPr>
          <w:rFonts w:ascii="Book Antiqua" w:hAnsi="Book Antiqua"/>
          <w:sz w:val="23"/>
          <w:szCs w:val="23"/>
          <w:lang w:val="en-GB"/>
        </w:rPr>
      </w:pPr>
      <w:r w:rsidRPr="003E3613">
        <w:rPr>
          <w:rFonts w:ascii="Book Antiqua" w:hAnsi="Book Antiqua"/>
          <w:sz w:val="23"/>
          <w:szCs w:val="23"/>
          <w:lang w:val="en-GB"/>
        </w:rPr>
        <w:t>On 6</w:t>
      </w:r>
      <w:r w:rsidR="004D64FB" w:rsidRPr="003E3613">
        <w:rPr>
          <w:rFonts w:ascii="Book Antiqua" w:hAnsi="Book Antiqua"/>
          <w:sz w:val="23"/>
          <w:szCs w:val="23"/>
          <w:lang w:val="en-GB"/>
        </w:rPr>
        <w:t xml:space="preserve"> </w:t>
      </w:r>
      <w:r w:rsidRPr="003E3613">
        <w:rPr>
          <w:rFonts w:ascii="Book Antiqua" w:hAnsi="Book Antiqua"/>
          <w:sz w:val="23"/>
          <w:szCs w:val="23"/>
          <w:lang w:val="en-GB"/>
        </w:rPr>
        <w:t xml:space="preserve">July 2015, upon the motion of the Budapest Administrative and Labour Court submitted in the framework of the registration proceedings pending before it upon the request of the Budapest Autonóm Gyülekezet, the Constitutional Court found that certain rules governing the conditions of recognition as a church (which have already been amended after the introduction of the applications to the ECtHR) were unconstitutional and ordered the legislature to bring the relevant rules in line with the requirements of the Convention by 15 October 2015. The relevant </w:t>
      </w:r>
      <w:r w:rsidR="00CD37B6" w:rsidRPr="003E3613">
        <w:rPr>
          <w:rFonts w:ascii="Book Antiqua" w:hAnsi="Book Antiqua"/>
          <w:sz w:val="23"/>
          <w:szCs w:val="23"/>
          <w:lang w:val="en-GB"/>
        </w:rPr>
        <w:t>draft a</w:t>
      </w:r>
      <w:r w:rsidR="004D64FB" w:rsidRPr="003E3613">
        <w:rPr>
          <w:rFonts w:ascii="Book Antiqua" w:hAnsi="Book Antiqua"/>
          <w:sz w:val="23"/>
          <w:szCs w:val="23"/>
          <w:lang w:val="en-GB"/>
        </w:rPr>
        <w:t>ct</w:t>
      </w:r>
      <w:r w:rsidRPr="003E3613">
        <w:rPr>
          <w:rFonts w:ascii="Book Antiqua" w:hAnsi="Book Antiqua"/>
          <w:sz w:val="23"/>
          <w:szCs w:val="23"/>
          <w:lang w:val="en-GB"/>
        </w:rPr>
        <w:t xml:space="preserve"> was accordingly submitted to the Parliament in December 2015 but it did not obtain the support of the </w:t>
      </w:r>
      <w:r w:rsidR="00A470E6" w:rsidRPr="003E3613">
        <w:rPr>
          <w:rFonts w:ascii="Book Antiqua" w:hAnsi="Book Antiqua"/>
          <w:sz w:val="23"/>
          <w:szCs w:val="23"/>
          <w:lang w:val="en-GB"/>
        </w:rPr>
        <w:t>necessary qualified (two-thirds)</w:t>
      </w:r>
      <w:r w:rsidR="00AE3084" w:rsidRPr="003E3613">
        <w:rPr>
          <w:rFonts w:ascii="Book Antiqua" w:hAnsi="Book Antiqua"/>
          <w:sz w:val="23"/>
          <w:szCs w:val="23"/>
          <w:lang w:val="en-GB"/>
        </w:rPr>
        <w:t xml:space="preserve"> majority</w:t>
      </w:r>
      <w:r w:rsidRPr="003E3613">
        <w:rPr>
          <w:rFonts w:ascii="Book Antiqua" w:hAnsi="Book Antiqua"/>
          <w:sz w:val="23"/>
          <w:szCs w:val="23"/>
          <w:lang w:val="en-GB"/>
        </w:rPr>
        <w:t xml:space="preserve">. </w:t>
      </w:r>
    </w:p>
    <w:p w14:paraId="547200FC" w14:textId="77777777" w:rsidR="00AE346F" w:rsidRPr="003E3613" w:rsidRDefault="00AE346F" w:rsidP="00204696">
      <w:pPr>
        <w:spacing w:after="0"/>
        <w:jc w:val="both"/>
        <w:rPr>
          <w:rFonts w:ascii="Book Antiqua" w:hAnsi="Book Antiqua"/>
          <w:sz w:val="23"/>
          <w:szCs w:val="23"/>
          <w:lang w:val="en-GB"/>
        </w:rPr>
      </w:pPr>
    </w:p>
    <w:p w14:paraId="349CAB2C" w14:textId="77777777" w:rsidR="00420498" w:rsidRPr="003E3613" w:rsidRDefault="00BC61F1" w:rsidP="00204696">
      <w:pPr>
        <w:jc w:val="both"/>
        <w:rPr>
          <w:rFonts w:ascii="Book Antiqua" w:eastAsiaTheme="minorHAnsi" w:hAnsi="Book Antiqua" w:cs="Times New Roman"/>
          <w:sz w:val="23"/>
          <w:szCs w:val="23"/>
          <w:lang w:val="en-GB" w:eastAsia="en-US"/>
        </w:rPr>
      </w:pPr>
      <w:r w:rsidRPr="003E3613">
        <w:rPr>
          <w:rFonts w:ascii="Book Antiqua" w:eastAsiaTheme="minorHAnsi" w:hAnsi="Book Antiqua" w:cs="Times New Roman"/>
          <w:sz w:val="23"/>
          <w:szCs w:val="23"/>
          <w:lang w:val="en-GB" w:eastAsia="en-US"/>
        </w:rPr>
        <w:t>The Act CXXXII of 2018</w:t>
      </w:r>
      <w:r w:rsidR="00420498" w:rsidRPr="003E3613">
        <w:rPr>
          <w:rFonts w:ascii="Book Antiqua" w:eastAsiaTheme="minorHAnsi" w:hAnsi="Book Antiqua" w:cs="Times New Roman"/>
          <w:sz w:val="23"/>
          <w:szCs w:val="23"/>
          <w:lang w:val="en-GB" w:eastAsia="en-US"/>
        </w:rPr>
        <w:t xml:space="preserve"> </w:t>
      </w:r>
      <w:r w:rsidR="00AE346F" w:rsidRPr="003E3613">
        <w:rPr>
          <w:rFonts w:ascii="Book Antiqua" w:eastAsiaTheme="minorHAnsi" w:hAnsi="Book Antiqua" w:cs="Times New Roman"/>
          <w:sz w:val="23"/>
          <w:szCs w:val="23"/>
          <w:lang w:val="en-GB" w:eastAsia="en-US"/>
        </w:rPr>
        <w:t xml:space="preserve">on </w:t>
      </w:r>
      <w:r w:rsidR="00420498" w:rsidRPr="003E3613">
        <w:rPr>
          <w:rFonts w:ascii="Book Antiqua" w:eastAsiaTheme="minorHAnsi" w:hAnsi="Book Antiqua" w:cs="Times New Roman"/>
          <w:sz w:val="23"/>
          <w:szCs w:val="23"/>
          <w:lang w:val="en-GB" w:eastAsia="en-US"/>
        </w:rPr>
        <w:t>amend</w:t>
      </w:r>
      <w:r w:rsidRPr="003E3613">
        <w:rPr>
          <w:rFonts w:ascii="Book Antiqua" w:eastAsiaTheme="minorHAnsi" w:hAnsi="Book Antiqua" w:cs="Times New Roman"/>
          <w:sz w:val="23"/>
          <w:szCs w:val="23"/>
          <w:lang w:val="en-GB" w:eastAsia="en-US"/>
        </w:rPr>
        <w:t xml:space="preserve">ing </w:t>
      </w:r>
      <w:r w:rsidR="00420498" w:rsidRPr="003E3613">
        <w:rPr>
          <w:rFonts w:ascii="Book Antiqua" w:eastAsiaTheme="minorHAnsi" w:hAnsi="Book Antiqua" w:cs="Times New Roman"/>
          <w:sz w:val="23"/>
          <w:szCs w:val="23"/>
          <w:lang w:val="en-GB" w:eastAsia="en-US"/>
        </w:rPr>
        <w:t>Act CCVI of 2011 on the right to freedom of conscience and religion, as well as the legal status of churches, denominations and religious communities (Church Act)</w:t>
      </w:r>
      <w:r w:rsidRPr="003E3613">
        <w:rPr>
          <w:rFonts w:ascii="Book Antiqua" w:eastAsiaTheme="minorHAnsi" w:hAnsi="Book Antiqua" w:cs="Times New Roman"/>
          <w:sz w:val="23"/>
          <w:szCs w:val="23"/>
          <w:lang w:val="en-GB" w:eastAsia="en-US"/>
        </w:rPr>
        <w:t xml:space="preserve"> entered into force in April 2019</w:t>
      </w:r>
      <w:r w:rsidR="00420498" w:rsidRPr="003E3613">
        <w:rPr>
          <w:rFonts w:ascii="Book Antiqua" w:eastAsiaTheme="minorHAnsi" w:hAnsi="Book Antiqua" w:cs="Times New Roman"/>
          <w:sz w:val="23"/>
          <w:szCs w:val="23"/>
          <w:lang w:val="en-GB" w:eastAsia="en-US"/>
        </w:rPr>
        <w:t>.</w:t>
      </w:r>
      <w:r w:rsidRPr="003E3613">
        <w:rPr>
          <w:rFonts w:ascii="Book Antiqua" w:eastAsiaTheme="minorHAnsi" w:hAnsi="Book Antiqua" w:cs="Times New Roman"/>
          <w:sz w:val="23"/>
          <w:szCs w:val="23"/>
          <w:lang w:val="en-GB" w:eastAsia="en-US"/>
        </w:rPr>
        <w:t xml:space="preserve"> This </w:t>
      </w:r>
      <w:r w:rsidR="00420498" w:rsidRPr="003E3613">
        <w:rPr>
          <w:rFonts w:ascii="Book Antiqua" w:eastAsiaTheme="minorHAnsi" w:hAnsi="Book Antiqua" w:cs="Times New Roman"/>
          <w:sz w:val="23"/>
          <w:szCs w:val="23"/>
          <w:lang w:val="en-GB" w:eastAsia="en-US"/>
        </w:rPr>
        <w:t>act realize</w:t>
      </w:r>
      <w:r w:rsidR="00E07FA5" w:rsidRPr="003E3613">
        <w:rPr>
          <w:rFonts w:ascii="Book Antiqua" w:eastAsiaTheme="minorHAnsi" w:hAnsi="Book Antiqua" w:cs="Times New Roman"/>
          <w:sz w:val="23"/>
          <w:szCs w:val="23"/>
          <w:lang w:val="en-GB" w:eastAsia="en-US"/>
        </w:rPr>
        <w:t>d</w:t>
      </w:r>
      <w:r w:rsidR="00420498" w:rsidRPr="003E3613">
        <w:rPr>
          <w:rFonts w:ascii="Book Antiqua" w:eastAsiaTheme="minorHAnsi" w:hAnsi="Book Antiqua" w:cs="Times New Roman"/>
          <w:sz w:val="23"/>
          <w:szCs w:val="23"/>
          <w:lang w:val="en-GB" w:eastAsia="en-US"/>
        </w:rPr>
        <w:t xml:space="preserve"> a consistent amendment of the Church Act, harmonizing it with the Fifth Amendment of the Fundamental Law. At the same time it also </w:t>
      </w:r>
      <w:r w:rsidR="00782C3E" w:rsidRPr="003E3613">
        <w:rPr>
          <w:rFonts w:ascii="Book Antiqua" w:eastAsiaTheme="minorHAnsi" w:hAnsi="Book Antiqua" w:cs="Times New Roman"/>
          <w:sz w:val="23"/>
          <w:szCs w:val="23"/>
          <w:lang w:val="en-GB" w:eastAsia="en-US"/>
        </w:rPr>
        <w:t>addresse</w:t>
      </w:r>
      <w:r w:rsidR="00E07FA5" w:rsidRPr="003E3613">
        <w:rPr>
          <w:rFonts w:ascii="Book Antiqua" w:eastAsiaTheme="minorHAnsi" w:hAnsi="Book Antiqua" w:cs="Times New Roman"/>
          <w:sz w:val="23"/>
          <w:szCs w:val="23"/>
          <w:lang w:val="en-GB" w:eastAsia="en-US"/>
        </w:rPr>
        <w:t>d</w:t>
      </w:r>
      <w:r w:rsidR="00420498" w:rsidRPr="003E3613">
        <w:rPr>
          <w:rFonts w:ascii="Book Antiqua" w:eastAsiaTheme="minorHAnsi" w:hAnsi="Book Antiqua" w:cs="Times New Roman"/>
          <w:sz w:val="23"/>
          <w:szCs w:val="23"/>
          <w:lang w:val="en-GB" w:eastAsia="en-US"/>
        </w:rPr>
        <w:t xml:space="preserve"> the regulatory questions raised by the Constitutional Court and certain international for</w:t>
      </w:r>
      <w:r w:rsidR="00DB1740" w:rsidRPr="003E3613">
        <w:rPr>
          <w:rFonts w:ascii="Book Antiqua" w:eastAsiaTheme="minorHAnsi" w:hAnsi="Book Antiqua" w:cs="Times New Roman"/>
          <w:sz w:val="23"/>
          <w:szCs w:val="23"/>
          <w:lang w:val="en-GB" w:eastAsia="en-US"/>
        </w:rPr>
        <w:t>a</w:t>
      </w:r>
      <w:r w:rsidR="00420498" w:rsidRPr="003E3613">
        <w:rPr>
          <w:rFonts w:ascii="Book Antiqua" w:eastAsiaTheme="minorHAnsi" w:hAnsi="Book Antiqua" w:cs="Times New Roman"/>
          <w:sz w:val="23"/>
          <w:szCs w:val="23"/>
          <w:lang w:val="en-GB" w:eastAsia="en-US"/>
        </w:rPr>
        <w:t xml:space="preserve"> (European Court of Human Rights, Venice Commission). </w:t>
      </w:r>
    </w:p>
    <w:p w14:paraId="795F98D6" w14:textId="77777777" w:rsidR="00420498" w:rsidRPr="003E3613" w:rsidRDefault="00420498" w:rsidP="00204696">
      <w:pPr>
        <w:spacing w:after="0"/>
        <w:jc w:val="both"/>
        <w:rPr>
          <w:rFonts w:ascii="Book Antiqua" w:eastAsiaTheme="minorHAnsi" w:hAnsi="Book Antiqua" w:cs="Times New Roman"/>
          <w:sz w:val="23"/>
          <w:szCs w:val="23"/>
          <w:lang w:val="en-GB" w:eastAsia="en-US"/>
        </w:rPr>
      </w:pPr>
    </w:p>
    <w:p w14:paraId="6377527C" w14:textId="77777777" w:rsidR="00420498" w:rsidRPr="003E3613" w:rsidRDefault="00420498" w:rsidP="00204696">
      <w:pPr>
        <w:spacing w:after="0"/>
        <w:jc w:val="both"/>
        <w:rPr>
          <w:rFonts w:ascii="Book Antiqua" w:eastAsiaTheme="minorHAnsi" w:hAnsi="Book Antiqua" w:cs="Times New Roman"/>
          <w:sz w:val="23"/>
          <w:szCs w:val="23"/>
          <w:lang w:val="en-GB" w:eastAsia="en-US"/>
        </w:rPr>
      </w:pPr>
      <w:r w:rsidRPr="003E3613">
        <w:rPr>
          <w:rFonts w:ascii="Book Antiqua" w:eastAsiaTheme="minorHAnsi" w:hAnsi="Book Antiqua" w:cs="Times New Roman"/>
          <w:sz w:val="23"/>
          <w:szCs w:val="23"/>
          <w:lang w:val="en-GB" w:eastAsia="en-US"/>
        </w:rPr>
        <w:t xml:space="preserve">According to the amendment, the state does not “recognize”, but in court proceedings registers churches, with the exception of established churches, for which the decision-making and discretionary role of the National Assembly persists. Therefore the National Assembly </w:t>
      </w:r>
      <w:r w:rsidR="00E07FA5" w:rsidRPr="003E3613">
        <w:rPr>
          <w:rFonts w:ascii="Book Antiqua" w:eastAsiaTheme="minorHAnsi" w:hAnsi="Book Antiqua" w:cs="Times New Roman"/>
          <w:sz w:val="23"/>
          <w:szCs w:val="23"/>
          <w:lang w:val="en-GB" w:eastAsia="en-US"/>
        </w:rPr>
        <w:t xml:space="preserve">does </w:t>
      </w:r>
      <w:r w:rsidRPr="003E3613">
        <w:rPr>
          <w:rFonts w:ascii="Book Antiqua" w:eastAsiaTheme="minorHAnsi" w:hAnsi="Book Antiqua" w:cs="Times New Roman"/>
          <w:sz w:val="23"/>
          <w:szCs w:val="23"/>
          <w:lang w:val="en-GB" w:eastAsia="en-US"/>
        </w:rPr>
        <w:t>not decide on church status, only on cooperation, which is totally justified taking into consideration the volume of the so-called comprehensive agreement of this cooperation.</w:t>
      </w:r>
    </w:p>
    <w:p w14:paraId="73A44BEA" w14:textId="77777777" w:rsidR="00420498" w:rsidRPr="003E3613" w:rsidRDefault="00420498" w:rsidP="00204696">
      <w:pPr>
        <w:spacing w:after="0"/>
        <w:jc w:val="both"/>
        <w:rPr>
          <w:rFonts w:ascii="Book Antiqua" w:eastAsiaTheme="minorHAnsi" w:hAnsi="Book Antiqua" w:cs="Times New Roman"/>
          <w:sz w:val="23"/>
          <w:szCs w:val="23"/>
          <w:lang w:val="en-GB" w:eastAsia="en-US"/>
        </w:rPr>
      </w:pPr>
    </w:p>
    <w:p w14:paraId="01014D4B" w14:textId="77777777" w:rsidR="00420498" w:rsidRPr="003E3613" w:rsidRDefault="00420498" w:rsidP="00204696">
      <w:pPr>
        <w:spacing w:after="0"/>
        <w:jc w:val="both"/>
        <w:rPr>
          <w:rFonts w:ascii="Book Antiqua" w:eastAsiaTheme="minorHAnsi" w:hAnsi="Book Antiqua" w:cs="Times New Roman"/>
          <w:sz w:val="23"/>
          <w:szCs w:val="23"/>
          <w:lang w:val="en-GB" w:eastAsia="en-US"/>
        </w:rPr>
      </w:pPr>
      <w:r w:rsidRPr="003E3613">
        <w:rPr>
          <w:rFonts w:ascii="Book Antiqua" w:eastAsiaTheme="minorHAnsi" w:hAnsi="Book Antiqua" w:cs="Times New Roman"/>
          <w:sz w:val="23"/>
          <w:szCs w:val="23"/>
          <w:lang w:val="en-GB" w:eastAsia="en-US"/>
        </w:rPr>
        <w:t xml:space="preserve">Apart from the category of established churches, the amendment creates the legal possibility of court registration for further church categories: registered church I. and registered church II. (incorporated church), and in order to ensure the practice of the right of religious freedom at community level, it </w:t>
      </w:r>
      <w:r w:rsidR="00E07FA5" w:rsidRPr="003E3613">
        <w:rPr>
          <w:rFonts w:ascii="Book Antiqua" w:eastAsiaTheme="minorHAnsi" w:hAnsi="Book Antiqua" w:cs="Times New Roman"/>
          <w:sz w:val="23"/>
          <w:szCs w:val="23"/>
          <w:lang w:val="en-GB" w:eastAsia="en-US"/>
        </w:rPr>
        <w:t xml:space="preserve">has </w:t>
      </w:r>
      <w:r w:rsidRPr="003E3613">
        <w:rPr>
          <w:rFonts w:ascii="Book Antiqua" w:eastAsiaTheme="minorHAnsi" w:hAnsi="Book Antiqua" w:cs="Times New Roman"/>
          <w:sz w:val="23"/>
          <w:szCs w:val="23"/>
          <w:lang w:val="en-GB" w:eastAsia="en-US"/>
        </w:rPr>
        <w:t>ensure</w:t>
      </w:r>
      <w:r w:rsidR="00E07FA5" w:rsidRPr="003E3613">
        <w:rPr>
          <w:rFonts w:ascii="Book Antiqua" w:eastAsiaTheme="minorHAnsi" w:hAnsi="Book Antiqua" w:cs="Times New Roman"/>
          <w:sz w:val="23"/>
          <w:szCs w:val="23"/>
          <w:lang w:val="en-GB" w:eastAsia="en-US"/>
        </w:rPr>
        <w:t>d</w:t>
      </w:r>
      <w:r w:rsidRPr="003E3613">
        <w:rPr>
          <w:rFonts w:ascii="Book Antiqua" w:eastAsiaTheme="minorHAnsi" w:hAnsi="Book Antiqua" w:cs="Times New Roman"/>
          <w:sz w:val="23"/>
          <w:szCs w:val="23"/>
          <w:lang w:val="en-GB" w:eastAsia="en-US"/>
        </w:rPr>
        <w:t xml:space="preserve"> the possibility of creating religious associations as a </w:t>
      </w:r>
      <w:r w:rsidRPr="003E3613">
        <w:rPr>
          <w:rFonts w:ascii="Book Antiqua" w:eastAsiaTheme="minorHAnsi" w:hAnsi="Book Antiqua" w:cs="Times New Roman"/>
          <w:sz w:val="23"/>
          <w:szCs w:val="23"/>
          <w:lang w:val="en-GB" w:eastAsia="en-US"/>
        </w:rPr>
        <w:lastRenderedPageBreak/>
        <w:t xml:space="preserve">substantive right, with at least 10 members. (The </w:t>
      </w:r>
      <w:r w:rsidR="00E07FA5" w:rsidRPr="003E3613">
        <w:rPr>
          <w:rFonts w:ascii="Book Antiqua" w:eastAsiaTheme="minorHAnsi" w:hAnsi="Book Antiqua" w:cs="Times New Roman"/>
          <w:sz w:val="23"/>
          <w:szCs w:val="23"/>
          <w:lang w:val="en-GB" w:eastAsia="en-US"/>
        </w:rPr>
        <w:t xml:space="preserve">former </w:t>
      </w:r>
      <w:r w:rsidRPr="003E3613">
        <w:rPr>
          <w:rFonts w:ascii="Book Antiqua" w:eastAsiaTheme="minorHAnsi" w:hAnsi="Book Antiqua" w:cs="Times New Roman"/>
          <w:sz w:val="23"/>
          <w:szCs w:val="23"/>
          <w:lang w:val="en-GB" w:eastAsia="en-US"/>
        </w:rPr>
        <w:t>organi</w:t>
      </w:r>
      <w:r w:rsidR="00AE346F" w:rsidRPr="003E3613">
        <w:rPr>
          <w:rFonts w:ascii="Book Antiqua" w:eastAsiaTheme="minorHAnsi" w:hAnsi="Book Antiqua" w:cs="Times New Roman"/>
          <w:sz w:val="23"/>
          <w:szCs w:val="23"/>
          <w:lang w:val="en-GB" w:eastAsia="en-US"/>
        </w:rPr>
        <w:t>s</w:t>
      </w:r>
      <w:r w:rsidRPr="003E3613">
        <w:rPr>
          <w:rFonts w:ascii="Book Antiqua" w:eastAsiaTheme="minorHAnsi" w:hAnsi="Book Antiqua" w:cs="Times New Roman"/>
          <w:sz w:val="23"/>
          <w:szCs w:val="23"/>
          <w:lang w:val="en-GB" w:eastAsia="en-US"/>
        </w:rPr>
        <w:t xml:space="preserve">ations performing religious activities </w:t>
      </w:r>
      <w:r w:rsidR="00E07FA5" w:rsidRPr="003E3613">
        <w:rPr>
          <w:rFonts w:ascii="Book Antiqua" w:eastAsiaTheme="minorHAnsi" w:hAnsi="Book Antiqua" w:cs="Times New Roman"/>
          <w:sz w:val="23"/>
          <w:szCs w:val="23"/>
          <w:lang w:val="en-GB" w:eastAsia="en-US"/>
        </w:rPr>
        <w:t xml:space="preserve">have </w:t>
      </w:r>
      <w:r w:rsidRPr="003E3613">
        <w:rPr>
          <w:rFonts w:ascii="Book Antiqua" w:eastAsiaTheme="minorHAnsi" w:hAnsi="Book Antiqua" w:cs="Times New Roman"/>
          <w:sz w:val="23"/>
          <w:szCs w:val="23"/>
          <w:lang w:val="en-GB" w:eastAsia="en-US"/>
        </w:rPr>
        <w:t xml:space="preserve">automatically become religious associations with legal succession.) </w:t>
      </w:r>
    </w:p>
    <w:p w14:paraId="29FEDE56" w14:textId="77777777" w:rsidR="00420498" w:rsidRPr="003E3613" w:rsidRDefault="00420498" w:rsidP="00204696">
      <w:pPr>
        <w:spacing w:after="0"/>
        <w:jc w:val="both"/>
        <w:rPr>
          <w:rFonts w:ascii="Book Antiqua" w:eastAsiaTheme="minorHAnsi" w:hAnsi="Book Antiqua" w:cs="Times New Roman"/>
          <w:sz w:val="23"/>
          <w:szCs w:val="23"/>
          <w:lang w:val="en-GB" w:eastAsia="en-US"/>
        </w:rPr>
      </w:pPr>
    </w:p>
    <w:p w14:paraId="31A4438A" w14:textId="77777777" w:rsidR="00420498" w:rsidRPr="003E3613" w:rsidRDefault="00420498" w:rsidP="00204696">
      <w:pPr>
        <w:spacing w:after="0"/>
        <w:jc w:val="both"/>
        <w:rPr>
          <w:rFonts w:ascii="Book Antiqua" w:eastAsiaTheme="minorHAnsi" w:hAnsi="Book Antiqua" w:cs="Times New Roman"/>
          <w:sz w:val="23"/>
          <w:szCs w:val="23"/>
          <w:lang w:val="en-GB" w:eastAsia="en-US"/>
        </w:rPr>
      </w:pPr>
      <w:r w:rsidRPr="003E3613">
        <w:rPr>
          <w:rFonts w:ascii="Book Antiqua" w:eastAsiaTheme="minorHAnsi" w:hAnsi="Book Antiqua" w:cs="Times New Roman"/>
          <w:sz w:val="23"/>
          <w:szCs w:val="23"/>
          <w:lang w:val="en-GB" w:eastAsia="en-US"/>
        </w:rPr>
        <w:t>The amendment as a fundamental principle, prescribes that every community defining itself as a religious community (even without having a legal personality) is entitled to all that constitutional protection, which is provided by the Fundamental Law for religious communities in the framework of free practice of religion. Irrespective of their organi</w:t>
      </w:r>
      <w:r w:rsidR="00AE346F" w:rsidRPr="003E3613">
        <w:rPr>
          <w:rFonts w:ascii="Book Antiqua" w:eastAsiaTheme="minorHAnsi" w:hAnsi="Book Antiqua" w:cs="Times New Roman"/>
          <w:sz w:val="23"/>
          <w:szCs w:val="23"/>
          <w:lang w:val="en-GB" w:eastAsia="en-US"/>
        </w:rPr>
        <w:t>s</w:t>
      </w:r>
      <w:r w:rsidRPr="003E3613">
        <w:rPr>
          <w:rFonts w:ascii="Book Antiqua" w:eastAsiaTheme="minorHAnsi" w:hAnsi="Book Antiqua" w:cs="Times New Roman"/>
          <w:sz w:val="23"/>
          <w:szCs w:val="23"/>
          <w:lang w:val="en-GB" w:eastAsia="en-US"/>
        </w:rPr>
        <w:t>ational form, legal status or denomination, the legislative regulation provides the following for all religious communities performing religious activities primarily, i.e. religious communities: state neutrality, separation of the state and the religious communities, cooperation and its framework between the state and the religious communities, broad autonomy of religious communities (the state cannot establish an organi</w:t>
      </w:r>
      <w:r w:rsidR="00AE346F" w:rsidRPr="003E3613">
        <w:rPr>
          <w:rFonts w:ascii="Book Antiqua" w:eastAsiaTheme="minorHAnsi" w:hAnsi="Book Antiqua" w:cs="Times New Roman"/>
          <w:sz w:val="23"/>
          <w:szCs w:val="23"/>
          <w:lang w:val="en-GB" w:eastAsia="en-US"/>
        </w:rPr>
        <w:t>s</w:t>
      </w:r>
      <w:r w:rsidRPr="003E3613">
        <w:rPr>
          <w:rFonts w:ascii="Book Antiqua" w:eastAsiaTheme="minorHAnsi" w:hAnsi="Book Antiqua" w:cs="Times New Roman"/>
          <w:sz w:val="23"/>
          <w:szCs w:val="23"/>
          <w:lang w:val="en-GB" w:eastAsia="en-US"/>
        </w:rPr>
        <w:t>ation for supervising and controlling religious communities), free self-determination of religious communities (free choice of organi</w:t>
      </w:r>
      <w:r w:rsidR="00AE346F" w:rsidRPr="003E3613">
        <w:rPr>
          <w:rFonts w:ascii="Book Antiqua" w:eastAsiaTheme="minorHAnsi" w:hAnsi="Book Antiqua" w:cs="Times New Roman"/>
          <w:sz w:val="23"/>
          <w:szCs w:val="23"/>
          <w:lang w:val="en-GB" w:eastAsia="en-US"/>
        </w:rPr>
        <w:t>s</w:t>
      </w:r>
      <w:r w:rsidRPr="003E3613">
        <w:rPr>
          <w:rFonts w:ascii="Book Antiqua" w:eastAsiaTheme="minorHAnsi" w:hAnsi="Book Antiqua" w:cs="Times New Roman"/>
          <w:sz w:val="23"/>
          <w:szCs w:val="23"/>
          <w:lang w:val="en-GB" w:eastAsia="en-US"/>
        </w:rPr>
        <w:t>ational form and denomination – including using the “church” denomination), equality of religious communities and prohibition of discrimination.</w:t>
      </w:r>
    </w:p>
    <w:p w14:paraId="05BFD041" w14:textId="77777777" w:rsidR="00420498" w:rsidRPr="003E3613" w:rsidRDefault="00420498" w:rsidP="00204696">
      <w:pPr>
        <w:spacing w:after="0"/>
        <w:jc w:val="both"/>
        <w:rPr>
          <w:rFonts w:ascii="Book Antiqua" w:eastAsiaTheme="minorHAnsi" w:hAnsi="Book Antiqua" w:cs="Times New Roman"/>
          <w:sz w:val="23"/>
          <w:szCs w:val="23"/>
          <w:lang w:val="en-GB" w:eastAsia="en-US"/>
        </w:rPr>
      </w:pPr>
    </w:p>
    <w:p w14:paraId="2AA4F18B" w14:textId="77777777" w:rsidR="00420498" w:rsidRPr="003E3613" w:rsidRDefault="00420498" w:rsidP="00204696">
      <w:pPr>
        <w:spacing w:after="0"/>
        <w:jc w:val="both"/>
        <w:rPr>
          <w:rFonts w:ascii="Book Antiqua" w:eastAsiaTheme="minorHAnsi" w:hAnsi="Book Antiqua" w:cs="Times New Roman"/>
          <w:sz w:val="23"/>
          <w:szCs w:val="23"/>
          <w:lang w:val="en-GB" w:eastAsia="en-US"/>
        </w:rPr>
      </w:pPr>
      <w:r w:rsidRPr="003E3613">
        <w:rPr>
          <w:rFonts w:ascii="Book Antiqua" w:eastAsiaTheme="minorHAnsi" w:hAnsi="Book Antiqua" w:cs="Times New Roman"/>
          <w:sz w:val="23"/>
          <w:szCs w:val="23"/>
          <w:lang w:val="en-GB" w:eastAsia="en-US"/>
        </w:rPr>
        <w:t xml:space="preserve">The above mentioned changes have resolved the situation of religious communities, taking into account previous legal and policy observations and remarks. The amendment to the law now provides a transparent and a reliable system for church registration, and the </w:t>
      </w:r>
      <w:r w:rsidR="00AE346F" w:rsidRPr="003E3613">
        <w:rPr>
          <w:rFonts w:ascii="Book Antiqua" w:eastAsiaTheme="minorHAnsi" w:hAnsi="Book Antiqua" w:cs="Times New Roman"/>
          <w:sz w:val="23"/>
          <w:szCs w:val="23"/>
          <w:lang w:val="en-GB" w:eastAsia="en-US"/>
        </w:rPr>
        <w:t>entire</w:t>
      </w:r>
      <w:r w:rsidRPr="003E3613">
        <w:rPr>
          <w:rFonts w:ascii="Book Antiqua" w:eastAsiaTheme="minorHAnsi" w:hAnsi="Book Antiqua" w:cs="Times New Roman"/>
          <w:sz w:val="23"/>
          <w:szCs w:val="23"/>
          <w:lang w:val="en-GB" w:eastAsia="en-US"/>
        </w:rPr>
        <w:t xml:space="preserve"> process is placed under the jurisdiction of the independent court.</w:t>
      </w:r>
    </w:p>
    <w:p w14:paraId="14D32BDE" w14:textId="77777777" w:rsidR="00420498" w:rsidRPr="003E3613" w:rsidRDefault="00420498" w:rsidP="00204696">
      <w:pPr>
        <w:spacing w:after="0"/>
        <w:jc w:val="both"/>
        <w:rPr>
          <w:rFonts w:ascii="Book Antiqua" w:eastAsiaTheme="minorHAnsi" w:hAnsi="Book Antiqua" w:cs="Times New Roman"/>
          <w:sz w:val="23"/>
          <w:szCs w:val="23"/>
          <w:lang w:val="en-GB" w:eastAsia="en-US"/>
        </w:rPr>
      </w:pPr>
    </w:p>
    <w:p w14:paraId="04468EA0" w14:textId="77777777" w:rsidR="00420498" w:rsidRPr="003E3613" w:rsidRDefault="00420498" w:rsidP="00204696">
      <w:pPr>
        <w:spacing w:after="0"/>
        <w:jc w:val="both"/>
        <w:rPr>
          <w:rFonts w:ascii="Book Antiqua" w:eastAsiaTheme="minorHAnsi" w:hAnsi="Book Antiqua" w:cs="Times New Roman"/>
          <w:sz w:val="23"/>
          <w:szCs w:val="23"/>
          <w:lang w:val="en-GB" w:eastAsia="en-US"/>
        </w:rPr>
      </w:pPr>
      <w:r w:rsidRPr="003E3613">
        <w:rPr>
          <w:rFonts w:ascii="Book Antiqua" w:eastAsiaTheme="minorHAnsi" w:hAnsi="Book Antiqua" w:cs="Times New Roman"/>
          <w:sz w:val="23"/>
          <w:szCs w:val="23"/>
          <w:lang w:val="en-GB" w:eastAsia="en-US"/>
        </w:rPr>
        <w:t>The amendment allows for the designation of 1% of the personal income tax for the benefit of all religious communities with legal personality ("church personal income tax"), which is supplemented by the state for the established and registered churches</w:t>
      </w:r>
      <w:r w:rsidR="00E07FA5" w:rsidRPr="003E3613">
        <w:rPr>
          <w:rFonts w:ascii="Book Antiqua" w:eastAsiaTheme="minorHAnsi" w:hAnsi="Book Antiqua" w:cs="Times New Roman"/>
          <w:sz w:val="23"/>
          <w:szCs w:val="23"/>
          <w:lang w:val="en-GB" w:eastAsia="en-US"/>
        </w:rPr>
        <w:t xml:space="preserve"> II.</w:t>
      </w:r>
      <w:r w:rsidRPr="003E3613">
        <w:rPr>
          <w:rFonts w:ascii="Book Antiqua" w:eastAsiaTheme="minorHAnsi" w:hAnsi="Book Antiqua" w:cs="Times New Roman"/>
          <w:sz w:val="23"/>
          <w:szCs w:val="23"/>
          <w:lang w:val="en-GB" w:eastAsia="en-US"/>
        </w:rPr>
        <w:t xml:space="preserve"> (incorporated church). </w:t>
      </w:r>
    </w:p>
    <w:p w14:paraId="21DA36FA" w14:textId="77777777" w:rsidR="00420498" w:rsidRPr="003E3613" w:rsidRDefault="00420498" w:rsidP="00204696">
      <w:pPr>
        <w:spacing w:after="0"/>
        <w:jc w:val="both"/>
        <w:rPr>
          <w:rFonts w:ascii="Book Antiqua" w:eastAsiaTheme="minorHAnsi" w:hAnsi="Book Antiqua" w:cs="Times New Roman"/>
          <w:sz w:val="23"/>
          <w:szCs w:val="23"/>
          <w:lang w:val="en-GB" w:eastAsia="en-US"/>
        </w:rPr>
      </w:pPr>
    </w:p>
    <w:p w14:paraId="4B7BE268" w14:textId="77777777" w:rsidR="00420498" w:rsidRPr="003E3613" w:rsidRDefault="00420498" w:rsidP="00204696">
      <w:pPr>
        <w:spacing w:after="0"/>
        <w:jc w:val="both"/>
        <w:rPr>
          <w:rFonts w:ascii="Book Antiqua" w:eastAsiaTheme="minorHAnsi" w:hAnsi="Book Antiqua" w:cs="Times New Roman"/>
          <w:sz w:val="23"/>
          <w:szCs w:val="23"/>
          <w:lang w:val="en-GB" w:eastAsia="en-US"/>
        </w:rPr>
      </w:pPr>
      <w:r w:rsidRPr="003E3613">
        <w:rPr>
          <w:rFonts w:ascii="Book Antiqua" w:eastAsiaTheme="minorHAnsi" w:hAnsi="Book Antiqua" w:cs="Times New Roman"/>
          <w:sz w:val="23"/>
          <w:szCs w:val="23"/>
          <w:lang w:val="en-GB" w:eastAsia="en-US"/>
        </w:rPr>
        <w:t xml:space="preserve">The amendment of the </w:t>
      </w:r>
      <w:r w:rsidR="00E07FA5" w:rsidRPr="003E3613">
        <w:rPr>
          <w:rFonts w:ascii="Book Antiqua" w:eastAsiaTheme="minorHAnsi" w:hAnsi="Book Antiqua" w:cs="Times New Roman"/>
          <w:sz w:val="23"/>
          <w:szCs w:val="23"/>
          <w:lang w:val="en-GB" w:eastAsia="en-US"/>
        </w:rPr>
        <w:t>A</w:t>
      </w:r>
      <w:r w:rsidRPr="003E3613">
        <w:rPr>
          <w:rFonts w:ascii="Book Antiqua" w:eastAsiaTheme="minorHAnsi" w:hAnsi="Book Antiqua" w:cs="Times New Roman"/>
          <w:sz w:val="23"/>
          <w:szCs w:val="23"/>
          <w:lang w:val="en-GB" w:eastAsia="en-US"/>
        </w:rPr>
        <w:t>ct provides a special, privileged possibility for the church registration by the courts for the 16 religious communities currently awaiting the National Assembly's decision.</w:t>
      </w:r>
    </w:p>
    <w:p w14:paraId="6AA9A035" w14:textId="77777777" w:rsidR="00AE346F" w:rsidRPr="003E3613" w:rsidRDefault="00AE346F" w:rsidP="00204696">
      <w:pPr>
        <w:spacing w:after="0"/>
        <w:jc w:val="both"/>
        <w:rPr>
          <w:rFonts w:ascii="Book Antiqua" w:hAnsi="Book Antiqua"/>
          <w:i/>
          <w:sz w:val="23"/>
          <w:szCs w:val="23"/>
          <w:lang w:val="en-GB"/>
        </w:rPr>
      </w:pPr>
    </w:p>
    <w:p w14:paraId="108F7C83" w14:textId="77777777" w:rsidR="00660031" w:rsidRDefault="00660031">
      <w:pPr>
        <w:rPr>
          <w:rFonts w:ascii="Book Antiqua" w:hAnsi="Book Antiqua"/>
          <w:b/>
          <w:sz w:val="23"/>
          <w:szCs w:val="23"/>
          <w:lang w:val="en-GB"/>
        </w:rPr>
      </w:pPr>
      <w:r>
        <w:rPr>
          <w:rFonts w:ascii="Book Antiqua" w:hAnsi="Book Antiqua"/>
          <w:b/>
          <w:sz w:val="23"/>
          <w:szCs w:val="23"/>
          <w:lang w:val="en-GB"/>
        </w:rPr>
        <w:br w:type="page"/>
      </w:r>
    </w:p>
    <w:p w14:paraId="0874137C" w14:textId="27194C43" w:rsidR="000D0F81" w:rsidRPr="003E3613" w:rsidRDefault="000D0F81" w:rsidP="00204696">
      <w:pPr>
        <w:spacing w:after="0"/>
        <w:jc w:val="both"/>
        <w:rPr>
          <w:rFonts w:ascii="Book Antiqua" w:hAnsi="Book Antiqua"/>
          <w:b/>
          <w:sz w:val="23"/>
          <w:szCs w:val="23"/>
          <w:lang w:val="en-GB"/>
        </w:rPr>
      </w:pPr>
      <w:r w:rsidRPr="003E3613">
        <w:rPr>
          <w:rFonts w:ascii="Book Antiqua" w:hAnsi="Book Antiqua"/>
          <w:b/>
          <w:sz w:val="23"/>
          <w:szCs w:val="23"/>
          <w:lang w:val="en-GB"/>
        </w:rPr>
        <w:lastRenderedPageBreak/>
        <w:t>The Fundamental Law of Hungary provides both the individual and collective freedom of religion, confirming the institutionalised recognition and the organisation of churches. Therefore, it is not justified to mention the elements of recitals 37-39 in a reasoned proposal requesting the Council to determine, pursuant to Article 7(1) of the Treaty on European Union, the existence of a clear risk of a serious breach by Hungary of the values on which the Union is founded.</w:t>
      </w:r>
    </w:p>
    <w:p w14:paraId="681C23AF" w14:textId="77777777" w:rsidR="000D0F81" w:rsidRPr="003E3613" w:rsidRDefault="000D0F81" w:rsidP="00204696">
      <w:pPr>
        <w:spacing w:after="0"/>
        <w:jc w:val="both"/>
        <w:rPr>
          <w:rFonts w:ascii="Book Antiqua" w:hAnsi="Book Antiqua"/>
          <w:i/>
          <w:sz w:val="23"/>
          <w:szCs w:val="23"/>
          <w:lang w:val="en-GB"/>
        </w:rPr>
      </w:pPr>
    </w:p>
    <w:p w14:paraId="1A91CDCA" w14:textId="77777777" w:rsidR="00B9677E" w:rsidRPr="003E3613" w:rsidRDefault="00B9677E" w:rsidP="00204696">
      <w:pPr>
        <w:pStyle w:val="Heading1"/>
        <w:keepNext w:val="0"/>
        <w:keepLines w:val="0"/>
        <w:pBdr>
          <w:top w:val="single" w:sz="4" w:space="1" w:color="auto"/>
          <w:left w:val="single" w:sz="4" w:space="4" w:color="auto"/>
          <w:bottom w:val="single" w:sz="4" w:space="1" w:color="auto"/>
          <w:right w:val="single" w:sz="4" w:space="4" w:color="auto"/>
        </w:pBdr>
        <w:shd w:val="clear" w:color="auto" w:fill="C6D9F1" w:themeFill="text2" w:themeFillTint="33"/>
        <w:spacing w:before="0"/>
        <w:rPr>
          <w:rFonts w:ascii="Book Antiqua" w:hAnsi="Book Antiqua"/>
          <w:color w:val="auto"/>
          <w:sz w:val="23"/>
          <w:szCs w:val="23"/>
          <w:lang w:val="en-GB"/>
        </w:rPr>
      </w:pPr>
      <w:bookmarkStart w:id="41" w:name="_Toc19120802"/>
      <w:r w:rsidRPr="003E3613">
        <w:rPr>
          <w:rFonts w:ascii="Book Antiqua" w:hAnsi="Book Antiqua"/>
          <w:color w:val="auto"/>
          <w:sz w:val="23"/>
          <w:szCs w:val="23"/>
          <w:lang w:val="en-GB"/>
        </w:rPr>
        <w:t>Freedom of association</w:t>
      </w:r>
      <w:bookmarkEnd w:id="41"/>
    </w:p>
    <w:p w14:paraId="6690705C" w14:textId="77777777" w:rsidR="007E2EF3" w:rsidRPr="003E3613" w:rsidRDefault="007E2EF3" w:rsidP="00204696">
      <w:pPr>
        <w:spacing w:after="0"/>
        <w:jc w:val="both"/>
        <w:rPr>
          <w:rFonts w:ascii="Book Antiqua" w:hAnsi="Book Antiqua"/>
          <w:i/>
          <w:sz w:val="23"/>
          <w:szCs w:val="23"/>
          <w:lang w:val="en-GB"/>
        </w:rPr>
      </w:pPr>
    </w:p>
    <w:p w14:paraId="4E33592E" w14:textId="77777777" w:rsidR="007E2EF3" w:rsidRPr="003E3613" w:rsidRDefault="007E2EF3" w:rsidP="00204696">
      <w:pPr>
        <w:spacing w:after="0"/>
        <w:jc w:val="both"/>
        <w:rPr>
          <w:rFonts w:ascii="Times New Roman" w:hAnsi="Times New Roman" w:cs="Times New Roman"/>
          <w:lang w:val="en-GB"/>
        </w:rPr>
      </w:pPr>
      <w:r w:rsidRPr="003E3613">
        <w:rPr>
          <w:rFonts w:ascii="Book Antiqua" w:hAnsi="Book Antiqua"/>
          <w:sz w:val="23"/>
          <w:szCs w:val="23"/>
          <w:lang w:val="en-GB"/>
        </w:rPr>
        <w:t xml:space="preserve">The right to freedom of association is guaranteed by the Fundamental Law of Hungary in line with the international standards. Hungary recognises the vital contribution of non-governmental organisations to the promotion of common values and goals. The law on the Transparency of Organisations receiving Support from Abroad intended to enhance the transparency and accountability of funding of non-governmental organisations which was recognized as a legitimate aim by the Venice Commission. An annual posterior declaration does not restrict the movement of capital, as the latter has already taken place at the time of the declaration. Existing and proposed EU law measures contain similar or more restrictive transparency requirements. Draft laws mentioned in </w:t>
      </w:r>
      <w:r w:rsidR="005C0933" w:rsidRPr="003E3613">
        <w:rPr>
          <w:rFonts w:ascii="Book Antiqua" w:hAnsi="Book Antiqua"/>
          <w:sz w:val="23"/>
          <w:szCs w:val="23"/>
          <w:lang w:val="en-GB"/>
        </w:rPr>
        <w:t xml:space="preserve">recital </w:t>
      </w:r>
      <w:r w:rsidRPr="003E3613">
        <w:rPr>
          <w:rFonts w:ascii="Book Antiqua" w:hAnsi="Book Antiqua"/>
          <w:sz w:val="23"/>
          <w:szCs w:val="23"/>
          <w:lang w:val="en-GB"/>
        </w:rPr>
        <w:t xml:space="preserve">(44) were not adopted. The legislation package on combating illegal immigration responds to a growing concern of citizens and aims to combat </w:t>
      </w:r>
      <w:r w:rsidR="00BD0A8B" w:rsidRPr="003E3613">
        <w:rPr>
          <w:rFonts w:ascii="Book Antiqua" w:hAnsi="Book Antiqua"/>
          <w:sz w:val="23"/>
          <w:szCs w:val="23"/>
          <w:lang w:val="en-GB"/>
        </w:rPr>
        <w:t>organisation</w:t>
      </w:r>
      <w:r w:rsidRPr="003E3613">
        <w:rPr>
          <w:rFonts w:ascii="Book Antiqua" w:hAnsi="Book Antiqua"/>
          <w:sz w:val="23"/>
          <w:szCs w:val="23"/>
          <w:lang w:val="en-GB"/>
        </w:rPr>
        <w:t>al activities that support illegal immigration.</w:t>
      </w:r>
    </w:p>
    <w:p w14:paraId="22F118CC" w14:textId="77777777" w:rsidR="007E2EF3" w:rsidRPr="003E3613" w:rsidRDefault="007E2EF3" w:rsidP="00204696">
      <w:pPr>
        <w:spacing w:after="0"/>
        <w:jc w:val="both"/>
        <w:rPr>
          <w:rFonts w:ascii="Book Antiqua" w:hAnsi="Book Antiqua"/>
          <w:i/>
          <w:sz w:val="23"/>
          <w:szCs w:val="23"/>
          <w:lang w:val="en-GB"/>
        </w:rPr>
      </w:pPr>
    </w:p>
    <w:p w14:paraId="165110D8" w14:textId="77777777" w:rsidR="004D64FB" w:rsidRPr="003E3613" w:rsidRDefault="00CC567C" w:rsidP="00204696">
      <w:pPr>
        <w:pStyle w:val="Heading2"/>
        <w:keepNext w:val="0"/>
        <w:keepLines w:val="0"/>
        <w:spacing w:before="0"/>
        <w:rPr>
          <w:rFonts w:ascii="Book Antiqua" w:hAnsi="Book Antiqua"/>
          <w:color w:val="auto"/>
          <w:sz w:val="23"/>
          <w:szCs w:val="23"/>
          <w:lang w:val="en-GB"/>
        </w:rPr>
      </w:pPr>
      <w:bookmarkStart w:id="42" w:name="_Toc19120803"/>
      <w:r w:rsidRPr="003E3613">
        <w:rPr>
          <w:rFonts w:ascii="Book Antiqua" w:hAnsi="Book Antiqua"/>
          <w:color w:val="auto"/>
          <w:sz w:val="23"/>
          <w:szCs w:val="23"/>
          <w:lang w:val="en-GB"/>
        </w:rPr>
        <w:t>Audits of NGOs which were beneficiaries of the Norwegian Civil Fund</w:t>
      </w:r>
      <w:bookmarkEnd w:id="42"/>
    </w:p>
    <w:p w14:paraId="3EFFF3ED" w14:textId="77777777" w:rsidR="004D64FB" w:rsidRPr="003E3613" w:rsidRDefault="004D64FB" w:rsidP="00204696">
      <w:pPr>
        <w:spacing w:after="0"/>
        <w:jc w:val="both"/>
        <w:rPr>
          <w:rFonts w:ascii="Book Antiqua" w:hAnsi="Book Antiqua"/>
          <w:i/>
          <w:sz w:val="23"/>
          <w:szCs w:val="23"/>
          <w:lang w:val="en-GB"/>
        </w:rPr>
      </w:pPr>
    </w:p>
    <w:p w14:paraId="7C3DB38B"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6F2C1B" w:rsidRPr="003E3613">
        <w:rPr>
          <w:rFonts w:ascii="Book Antiqua" w:hAnsi="Book Antiqua"/>
          <w:i/>
          <w:sz w:val="23"/>
          <w:szCs w:val="23"/>
          <w:lang w:val="en-GB"/>
        </w:rPr>
        <w:t>40</w:t>
      </w:r>
      <w:r w:rsidRPr="003E3613">
        <w:rPr>
          <w:rFonts w:ascii="Book Antiqua" w:hAnsi="Book Antiqua"/>
          <w:i/>
          <w:sz w:val="23"/>
          <w:szCs w:val="23"/>
          <w:lang w:val="en-GB"/>
        </w:rPr>
        <w:t xml:space="preserve">) On 9 July 2014, the Council of Europe Commissioner for Human Rights indicated in his letter to the Hungarian authorities that he was concerned about the stigmatising rhetoric used by politicians questioning the legitimacy of NGO work in the context of audits which had been carried out by the Hungarian Government Control Office concerning NGOs which were </w:t>
      </w:r>
      <w:r w:rsidR="0052045A" w:rsidRPr="003E3613">
        <w:rPr>
          <w:rFonts w:ascii="Book Antiqua" w:hAnsi="Book Antiqua"/>
          <w:i/>
          <w:sz w:val="23"/>
          <w:szCs w:val="23"/>
          <w:lang w:val="en-GB"/>
        </w:rPr>
        <w:t>operators and beneficiaries of the NGO Fund of the EEA/Norway Grants. The Hungarian Government signed an agreement with the Fund and, as a result, the payments of the grants continue to operate</w:t>
      </w:r>
      <w:r w:rsidRPr="003E3613">
        <w:rPr>
          <w:rFonts w:ascii="Book Antiqua" w:hAnsi="Book Antiqua"/>
          <w:i/>
          <w:sz w:val="23"/>
          <w:szCs w:val="23"/>
          <w:lang w:val="en-GB"/>
        </w:rPr>
        <w:t>. On 8-16 February 2016, the UN Special Rapporteur on the situation of human rights defenders visited Hungary and indicated in his report that significant challenges stem from the existing legal framework governing the exercise of fundamental freedoms, such as the rights to freedoms of opinion and expression, and of peaceful assembly and of association, and that legislation pertaining to national security and migration may also have a restrictive impact on the civil society environment.</w:t>
      </w:r>
    </w:p>
    <w:p w14:paraId="661DE3A4" w14:textId="77777777" w:rsidR="009F331E" w:rsidRPr="003E3613" w:rsidRDefault="009F331E" w:rsidP="00204696">
      <w:pPr>
        <w:spacing w:after="0"/>
        <w:jc w:val="both"/>
        <w:rPr>
          <w:rFonts w:ascii="Book Antiqua" w:hAnsi="Book Antiqua"/>
          <w:i/>
          <w:sz w:val="23"/>
          <w:szCs w:val="23"/>
          <w:lang w:val="en-GB"/>
        </w:rPr>
      </w:pPr>
    </w:p>
    <w:p w14:paraId="23B2E611" w14:textId="77777777" w:rsidR="003B2107" w:rsidRPr="003E3613" w:rsidRDefault="003B2107"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Hungary provides the fundamental human rights enshrined in international treaties and Hungary’s Fundamental Law </w:t>
      </w:r>
      <w:r w:rsidR="00EE376F" w:rsidRPr="003E3613">
        <w:rPr>
          <w:rFonts w:ascii="Book Antiqua" w:hAnsi="Book Antiqua"/>
          <w:iCs/>
          <w:sz w:val="23"/>
          <w:szCs w:val="23"/>
          <w:lang w:val="en-GB"/>
        </w:rPr>
        <w:t xml:space="preserve">to </w:t>
      </w:r>
      <w:r w:rsidRPr="003E3613">
        <w:rPr>
          <w:rFonts w:ascii="Book Antiqua" w:hAnsi="Book Antiqua"/>
          <w:iCs/>
          <w:sz w:val="23"/>
          <w:szCs w:val="23"/>
          <w:lang w:val="en-GB"/>
        </w:rPr>
        <w:t xml:space="preserve">all its citizens, including human rights defenders. Their support level and playing field have not </w:t>
      </w:r>
      <w:r w:rsidR="00C11E25" w:rsidRPr="003E3613">
        <w:rPr>
          <w:rFonts w:ascii="Book Antiqua" w:hAnsi="Book Antiqua"/>
          <w:iCs/>
          <w:sz w:val="23"/>
          <w:szCs w:val="23"/>
          <w:lang w:val="en-GB"/>
        </w:rPr>
        <w:t>diminished: t</w:t>
      </w:r>
      <w:r w:rsidRPr="003E3613">
        <w:rPr>
          <w:rFonts w:ascii="Book Antiqua" w:hAnsi="Book Antiqua"/>
          <w:iCs/>
          <w:sz w:val="23"/>
          <w:szCs w:val="23"/>
          <w:lang w:val="en-GB"/>
        </w:rPr>
        <w:t xml:space="preserve">ens of thousands of </w:t>
      </w:r>
      <w:r w:rsidR="00BD0A8B" w:rsidRPr="003E3613">
        <w:rPr>
          <w:rFonts w:ascii="Book Antiqua" w:hAnsi="Book Antiqua"/>
          <w:iCs/>
          <w:sz w:val="23"/>
          <w:szCs w:val="23"/>
          <w:lang w:val="en-GB"/>
        </w:rPr>
        <w:t>organisation</w:t>
      </w:r>
      <w:r w:rsidRPr="003E3613">
        <w:rPr>
          <w:rFonts w:ascii="Book Antiqua" w:hAnsi="Book Antiqua"/>
          <w:iCs/>
          <w:sz w:val="23"/>
          <w:szCs w:val="23"/>
          <w:lang w:val="en-GB"/>
        </w:rPr>
        <w:t xml:space="preserve">s participate in tenders run by the Trust for National Cooperation, furthermore both the number of </w:t>
      </w:r>
      <w:r w:rsidR="00C11E25" w:rsidRPr="003E3613">
        <w:rPr>
          <w:rFonts w:ascii="Book Antiqua" w:hAnsi="Book Antiqua"/>
          <w:iCs/>
          <w:sz w:val="23"/>
          <w:szCs w:val="23"/>
          <w:lang w:val="en-GB"/>
        </w:rPr>
        <w:t>supported</w:t>
      </w:r>
      <w:r w:rsidRPr="003E3613">
        <w:rPr>
          <w:rFonts w:ascii="Book Antiqua" w:hAnsi="Book Antiqua"/>
          <w:iCs/>
          <w:sz w:val="23"/>
          <w:szCs w:val="23"/>
          <w:lang w:val="en-GB"/>
        </w:rPr>
        <w:t xml:space="preserve"> projects and the amount of </w:t>
      </w:r>
      <w:r w:rsidR="00C11E25" w:rsidRPr="003E3613">
        <w:rPr>
          <w:rFonts w:ascii="Book Antiqua" w:hAnsi="Book Antiqua"/>
          <w:iCs/>
          <w:sz w:val="23"/>
          <w:szCs w:val="23"/>
          <w:lang w:val="en-GB"/>
        </w:rPr>
        <w:t>funding</w:t>
      </w:r>
      <w:r w:rsidRPr="003E3613">
        <w:rPr>
          <w:rFonts w:ascii="Book Antiqua" w:hAnsi="Book Antiqua"/>
          <w:iCs/>
          <w:sz w:val="23"/>
          <w:szCs w:val="23"/>
          <w:lang w:val="en-GB"/>
        </w:rPr>
        <w:t xml:space="preserve"> available have shown an increase, compared to prior years.</w:t>
      </w:r>
    </w:p>
    <w:p w14:paraId="2130EBB3" w14:textId="77777777" w:rsidR="003B2107" w:rsidRPr="003E3613" w:rsidRDefault="003B2107" w:rsidP="00204696">
      <w:pPr>
        <w:spacing w:after="0"/>
        <w:jc w:val="both"/>
        <w:rPr>
          <w:rFonts w:ascii="Book Antiqua" w:hAnsi="Book Antiqua"/>
          <w:iCs/>
          <w:sz w:val="23"/>
          <w:szCs w:val="23"/>
          <w:lang w:val="en-GB"/>
        </w:rPr>
      </w:pPr>
    </w:p>
    <w:p w14:paraId="6CCEFD7A" w14:textId="77777777" w:rsidR="003B2107" w:rsidRPr="003E3613" w:rsidRDefault="00C11E25" w:rsidP="00204696">
      <w:pPr>
        <w:spacing w:after="0"/>
        <w:jc w:val="both"/>
        <w:rPr>
          <w:rFonts w:ascii="Book Antiqua" w:hAnsi="Book Antiqua"/>
          <w:iCs/>
          <w:sz w:val="23"/>
          <w:szCs w:val="23"/>
          <w:lang w:val="en-GB"/>
        </w:rPr>
      </w:pPr>
      <w:r w:rsidRPr="003E3613">
        <w:rPr>
          <w:rFonts w:ascii="Book Antiqua" w:hAnsi="Book Antiqua"/>
          <w:iCs/>
          <w:sz w:val="23"/>
          <w:szCs w:val="23"/>
          <w:lang w:val="en-GB"/>
        </w:rPr>
        <w:lastRenderedPageBreak/>
        <w:t>It must be</w:t>
      </w:r>
      <w:r w:rsidR="003B2107" w:rsidRPr="003E3613">
        <w:rPr>
          <w:rFonts w:ascii="Book Antiqua" w:hAnsi="Book Antiqua"/>
          <w:iCs/>
          <w:sz w:val="23"/>
          <w:szCs w:val="23"/>
          <w:lang w:val="en-GB"/>
        </w:rPr>
        <w:t xml:space="preserve"> noted </w:t>
      </w:r>
      <w:r w:rsidRPr="003E3613">
        <w:rPr>
          <w:rFonts w:ascii="Book Antiqua" w:hAnsi="Book Antiqua"/>
          <w:iCs/>
          <w:sz w:val="23"/>
          <w:szCs w:val="23"/>
          <w:lang w:val="en-GB"/>
        </w:rPr>
        <w:t xml:space="preserve">that </w:t>
      </w:r>
      <w:r w:rsidR="003B2107" w:rsidRPr="003E3613">
        <w:rPr>
          <w:rFonts w:ascii="Book Antiqua" w:hAnsi="Book Antiqua"/>
          <w:iCs/>
          <w:sz w:val="23"/>
          <w:szCs w:val="23"/>
          <w:lang w:val="en-GB"/>
        </w:rPr>
        <w:t xml:space="preserve">regarding the investigations into the distribution of the </w:t>
      </w:r>
      <w:r w:rsidRPr="003E3613">
        <w:rPr>
          <w:rFonts w:ascii="Book Antiqua" w:hAnsi="Book Antiqua"/>
          <w:iCs/>
          <w:sz w:val="23"/>
          <w:szCs w:val="23"/>
          <w:lang w:val="en-GB"/>
        </w:rPr>
        <w:t>Norway grants (Norwegian Civic Fund</w:t>
      </w:r>
      <w:r w:rsidR="003B2107" w:rsidRPr="003E3613">
        <w:rPr>
          <w:rFonts w:ascii="Book Antiqua" w:hAnsi="Book Antiqua"/>
          <w:iCs/>
          <w:sz w:val="23"/>
          <w:szCs w:val="23"/>
          <w:lang w:val="en-GB"/>
        </w:rPr>
        <w:t xml:space="preserve">) that these funds are similar to EU resources and the investigations did not </w:t>
      </w:r>
      <w:r w:rsidRPr="003E3613">
        <w:rPr>
          <w:rFonts w:ascii="Book Antiqua" w:hAnsi="Book Antiqua"/>
          <w:iCs/>
          <w:sz w:val="23"/>
          <w:szCs w:val="23"/>
          <w:lang w:val="en-GB"/>
        </w:rPr>
        <w:t xml:space="preserve">at all </w:t>
      </w:r>
      <w:r w:rsidR="003B2107" w:rsidRPr="003E3613">
        <w:rPr>
          <w:rFonts w:ascii="Book Antiqua" w:hAnsi="Book Antiqua"/>
          <w:iCs/>
          <w:sz w:val="23"/>
          <w:szCs w:val="23"/>
          <w:lang w:val="en-GB"/>
        </w:rPr>
        <w:t>concern the activities of human rights defenders</w:t>
      </w:r>
      <w:r w:rsidRPr="003E3613">
        <w:rPr>
          <w:rFonts w:ascii="Book Antiqua" w:hAnsi="Book Antiqua"/>
          <w:iCs/>
          <w:sz w:val="23"/>
          <w:szCs w:val="23"/>
          <w:lang w:val="en-GB"/>
        </w:rPr>
        <w:t>,</w:t>
      </w:r>
      <w:r w:rsidR="003B2107" w:rsidRPr="003E3613">
        <w:rPr>
          <w:rFonts w:ascii="Book Antiqua" w:hAnsi="Book Antiqua"/>
          <w:iCs/>
          <w:sz w:val="23"/>
          <w:szCs w:val="23"/>
          <w:lang w:val="en-GB"/>
        </w:rPr>
        <w:t xml:space="preserve"> but the</w:t>
      </w:r>
      <w:r w:rsidR="00414CC3" w:rsidRPr="003E3613">
        <w:rPr>
          <w:rFonts w:ascii="Book Antiqua" w:hAnsi="Book Antiqua"/>
          <w:iCs/>
          <w:sz w:val="23"/>
          <w:szCs w:val="23"/>
          <w:lang w:val="en-GB"/>
        </w:rPr>
        <w:t xml:space="preserve">se </w:t>
      </w:r>
      <w:r w:rsidR="003B2107" w:rsidRPr="003E3613">
        <w:rPr>
          <w:rFonts w:ascii="Book Antiqua" w:hAnsi="Book Antiqua"/>
          <w:iCs/>
          <w:sz w:val="23"/>
          <w:szCs w:val="23"/>
          <w:lang w:val="en-GB"/>
        </w:rPr>
        <w:t xml:space="preserve">were accountability measures regarding the financial operations of their </w:t>
      </w:r>
      <w:r w:rsidR="00BD0A8B" w:rsidRPr="003E3613">
        <w:rPr>
          <w:rFonts w:ascii="Book Antiqua" w:hAnsi="Book Antiqua"/>
          <w:iCs/>
          <w:sz w:val="23"/>
          <w:szCs w:val="23"/>
          <w:lang w:val="en-GB"/>
        </w:rPr>
        <w:t>organisation</w:t>
      </w:r>
      <w:r w:rsidR="003B2107" w:rsidRPr="003E3613">
        <w:rPr>
          <w:rFonts w:ascii="Book Antiqua" w:hAnsi="Book Antiqua"/>
          <w:iCs/>
          <w:sz w:val="23"/>
          <w:szCs w:val="23"/>
          <w:lang w:val="en-GB"/>
        </w:rPr>
        <w:t xml:space="preserve">s. The </w:t>
      </w:r>
      <w:r w:rsidRPr="003E3613">
        <w:rPr>
          <w:rFonts w:ascii="Book Antiqua" w:hAnsi="Book Antiqua"/>
          <w:iCs/>
          <w:sz w:val="23"/>
          <w:szCs w:val="23"/>
          <w:lang w:val="en-GB"/>
        </w:rPr>
        <w:t>money</w:t>
      </w:r>
      <w:r w:rsidR="003B2107" w:rsidRPr="003E3613">
        <w:rPr>
          <w:rFonts w:ascii="Book Antiqua" w:hAnsi="Book Antiqua"/>
          <w:iCs/>
          <w:sz w:val="23"/>
          <w:szCs w:val="23"/>
          <w:lang w:val="en-GB"/>
        </w:rPr>
        <w:t xml:space="preserve"> managed by the Norway grants can be considered public money, therefore it </w:t>
      </w:r>
      <w:r w:rsidR="00414CC3" w:rsidRPr="003E3613">
        <w:rPr>
          <w:rFonts w:ascii="Book Antiqua" w:hAnsi="Book Antiqua"/>
          <w:iCs/>
          <w:sz w:val="23"/>
          <w:szCs w:val="23"/>
          <w:lang w:val="en-GB"/>
        </w:rPr>
        <w:t xml:space="preserve">is </w:t>
      </w:r>
      <w:r w:rsidR="003B2107" w:rsidRPr="003E3613">
        <w:rPr>
          <w:rFonts w:ascii="Book Antiqua" w:hAnsi="Book Antiqua"/>
          <w:iCs/>
          <w:sz w:val="23"/>
          <w:szCs w:val="23"/>
          <w:lang w:val="en-GB"/>
        </w:rPr>
        <w:t>in the public’s interest to find out whether the funds were utilized to benefit all Hungarian citizens</w:t>
      </w:r>
      <w:r w:rsidR="00DB7EA6" w:rsidRPr="003E3613">
        <w:rPr>
          <w:rFonts w:ascii="Book Antiqua" w:hAnsi="Book Antiqua"/>
          <w:iCs/>
          <w:sz w:val="23"/>
          <w:szCs w:val="23"/>
          <w:lang w:val="en-GB"/>
        </w:rPr>
        <w:t xml:space="preserve"> according to the applicable rules</w:t>
      </w:r>
      <w:r w:rsidR="003B2107" w:rsidRPr="003E3613">
        <w:rPr>
          <w:rFonts w:ascii="Book Antiqua" w:hAnsi="Book Antiqua"/>
          <w:iCs/>
          <w:sz w:val="23"/>
          <w:szCs w:val="23"/>
          <w:lang w:val="en-GB"/>
        </w:rPr>
        <w:t xml:space="preserve">. The review report carried out by Ernst &amp; Young earlier revealed several misconducts about the distribution of the Norwegian Civic Support Fund. The investigation by the Government Control Office (GCO) had the sole </w:t>
      </w:r>
      <w:r w:rsidRPr="003E3613">
        <w:rPr>
          <w:rFonts w:ascii="Book Antiqua" w:hAnsi="Book Antiqua"/>
          <w:iCs/>
          <w:sz w:val="23"/>
          <w:szCs w:val="23"/>
          <w:lang w:val="en-GB"/>
        </w:rPr>
        <w:t>purpose</w:t>
      </w:r>
      <w:r w:rsidR="003B2107" w:rsidRPr="003E3613">
        <w:rPr>
          <w:rFonts w:ascii="Book Antiqua" w:hAnsi="Book Antiqua"/>
          <w:iCs/>
          <w:sz w:val="23"/>
          <w:szCs w:val="23"/>
          <w:lang w:val="en-GB"/>
        </w:rPr>
        <w:t xml:space="preserve"> of finding out whether all </w:t>
      </w:r>
      <w:r w:rsidR="00F8283B" w:rsidRPr="003E3613">
        <w:rPr>
          <w:rFonts w:ascii="Book Antiqua" w:hAnsi="Book Antiqua"/>
          <w:iCs/>
          <w:sz w:val="23"/>
          <w:szCs w:val="23"/>
          <w:lang w:val="en-GB"/>
        </w:rPr>
        <w:t>6</w:t>
      </w:r>
      <w:r w:rsidR="003B2107" w:rsidRPr="003E3613">
        <w:rPr>
          <w:rFonts w:ascii="Book Antiqua" w:hAnsi="Book Antiqua"/>
          <w:iCs/>
          <w:sz w:val="23"/>
          <w:szCs w:val="23"/>
          <w:lang w:val="en-GB"/>
        </w:rPr>
        <w:t xml:space="preserve">0 thousand civil </w:t>
      </w:r>
      <w:r w:rsidR="00BD0A8B" w:rsidRPr="003E3613">
        <w:rPr>
          <w:rFonts w:ascii="Book Antiqua" w:hAnsi="Book Antiqua"/>
          <w:iCs/>
          <w:sz w:val="23"/>
          <w:szCs w:val="23"/>
          <w:lang w:val="en-GB"/>
        </w:rPr>
        <w:t>organisation</w:t>
      </w:r>
      <w:r w:rsidR="003B2107" w:rsidRPr="003E3613">
        <w:rPr>
          <w:rFonts w:ascii="Book Antiqua" w:hAnsi="Book Antiqua"/>
          <w:iCs/>
          <w:sz w:val="23"/>
          <w:szCs w:val="23"/>
          <w:lang w:val="en-GB"/>
        </w:rPr>
        <w:t xml:space="preserve">s had equal conditions in competing for </w:t>
      </w:r>
      <w:r w:rsidR="00414CC3" w:rsidRPr="003E3613">
        <w:rPr>
          <w:rFonts w:ascii="Book Antiqua" w:hAnsi="Book Antiqua"/>
          <w:iCs/>
          <w:sz w:val="23"/>
          <w:szCs w:val="23"/>
          <w:lang w:val="en-GB"/>
        </w:rPr>
        <w:t xml:space="preserve">the </w:t>
      </w:r>
      <w:r w:rsidR="003B2107" w:rsidRPr="003E3613">
        <w:rPr>
          <w:rFonts w:ascii="Book Antiqua" w:hAnsi="Book Antiqua"/>
          <w:iCs/>
          <w:sz w:val="23"/>
          <w:szCs w:val="23"/>
          <w:lang w:val="en-GB"/>
        </w:rPr>
        <w:t xml:space="preserve">Norwegian grants. The investigation by the GCO has concluded and found 61 misconducts in 63 projects under scrutiny, thus this investigation proved that the </w:t>
      </w:r>
      <w:r w:rsidR="00BD0A8B" w:rsidRPr="003E3613">
        <w:rPr>
          <w:rFonts w:ascii="Book Antiqua" w:hAnsi="Book Antiqua"/>
          <w:iCs/>
          <w:sz w:val="23"/>
          <w:szCs w:val="23"/>
          <w:lang w:val="en-GB"/>
        </w:rPr>
        <w:t>organisation</w:t>
      </w:r>
      <w:r w:rsidR="003B2107" w:rsidRPr="003E3613">
        <w:rPr>
          <w:rFonts w:ascii="Book Antiqua" w:hAnsi="Book Antiqua"/>
          <w:iCs/>
          <w:sz w:val="23"/>
          <w:szCs w:val="23"/>
          <w:lang w:val="en-GB"/>
        </w:rPr>
        <w:t>s responsible for the distribution</w:t>
      </w:r>
      <w:r w:rsidR="00DB7EA6" w:rsidRPr="003E3613">
        <w:rPr>
          <w:rFonts w:ascii="Book Antiqua" w:hAnsi="Book Antiqua"/>
          <w:iCs/>
          <w:sz w:val="23"/>
          <w:szCs w:val="23"/>
          <w:lang w:val="en-GB"/>
        </w:rPr>
        <w:t xml:space="preserve"> have failed to respect the rules</w:t>
      </w:r>
      <w:r w:rsidR="003B2107" w:rsidRPr="003E3613">
        <w:rPr>
          <w:rFonts w:ascii="Book Antiqua" w:hAnsi="Book Antiqua"/>
          <w:iCs/>
          <w:sz w:val="23"/>
          <w:szCs w:val="23"/>
          <w:lang w:val="en-GB"/>
        </w:rPr>
        <w:t xml:space="preserve">. The Government of Norway has also launched an investigation into the allocation of its funds which, in itself, proves that </w:t>
      </w:r>
      <w:r w:rsidR="00540ECB" w:rsidRPr="003E3613">
        <w:rPr>
          <w:rFonts w:ascii="Book Antiqua" w:hAnsi="Book Antiqua"/>
          <w:iCs/>
          <w:sz w:val="23"/>
          <w:szCs w:val="23"/>
          <w:lang w:val="en-GB"/>
        </w:rPr>
        <w:t>they have also found something to disapprove</w:t>
      </w:r>
      <w:r w:rsidR="003B2107" w:rsidRPr="003E3613">
        <w:rPr>
          <w:rFonts w:ascii="Book Antiqua" w:hAnsi="Book Antiqua"/>
          <w:iCs/>
          <w:sz w:val="23"/>
          <w:szCs w:val="23"/>
          <w:lang w:val="en-GB"/>
        </w:rPr>
        <w:t>.</w:t>
      </w:r>
    </w:p>
    <w:p w14:paraId="5BDF2E26" w14:textId="77777777" w:rsidR="003B2107" w:rsidRPr="003E3613" w:rsidRDefault="003B2107" w:rsidP="00204696">
      <w:pPr>
        <w:spacing w:after="0"/>
        <w:jc w:val="both"/>
        <w:rPr>
          <w:rFonts w:ascii="Book Antiqua" w:hAnsi="Book Antiqua"/>
          <w:iCs/>
          <w:sz w:val="23"/>
          <w:szCs w:val="23"/>
          <w:lang w:val="en-GB"/>
        </w:rPr>
      </w:pPr>
    </w:p>
    <w:p w14:paraId="1BFA5953" w14:textId="77777777" w:rsidR="00B9677E" w:rsidRPr="003E3613" w:rsidRDefault="003B2107"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The Government of Hungary has reformed the whole distribution mechanism of its </w:t>
      </w:r>
      <w:r w:rsidR="00F8283B" w:rsidRPr="003E3613">
        <w:rPr>
          <w:rFonts w:ascii="Book Antiqua" w:hAnsi="Book Antiqua"/>
          <w:iCs/>
          <w:sz w:val="23"/>
          <w:szCs w:val="23"/>
          <w:lang w:val="en-GB"/>
        </w:rPr>
        <w:t xml:space="preserve">national </w:t>
      </w:r>
      <w:r w:rsidRPr="003E3613">
        <w:rPr>
          <w:rFonts w:ascii="Book Antiqua" w:hAnsi="Book Antiqua"/>
          <w:iCs/>
          <w:sz w:val="23"/>
          <w:szCs w:val="23"/>
          <w:lang w:val="en-GB"/>
        </w:rPr>
        <w:t xml:space="preserve">development policy, and the review of the distribution mechanisms of the Norway grants was part of this process. The system, </w:t>
      </w:r>
      <w:r w:rsidR="005540AF" w:rsidRPr="003E3613">
        <w:rPr>
          <w:rFonts w:ascii="Book Antiqua" w:hAnsi="Book Antiqua"/>
          <w:iCs/>
          <w:sz w:val="23"/>
          <w:szCs w:val="23"/>
          <w:lang w:val="en-GB"/>
        </w:rPr>
        <w:t xml:space="preserve">due </w:t>
      </w:r>
      <w:r w:rsidRPr="003E3613">
        <w:rPr>
          <w:rFonts w:ascii="Book Antiqua" w:hAnsi="Book Antiqua"/>
          <w:iCs/>
          <w:sz w:val="23"/>
          <w:szCs w:val="23"/>
          <w:lang w:val="en-GB"/>
        </w:rPr>
        <w:t xml:space="preserve">to the reform, has become more transparent and has increased its accountability which </w:t>
      </w:r>
      <w:r w:rsidR="007E18B5" w:rsidRPr="003E3613">
        <w:rPr>
          <w:rFonts w:ascii="Book Antiqua" w:hAnsi="Book Antiqua"/>
          <w:iCs/>
          <w:sz w:val="23"/>
          <w:szCs w:val="23"/>
          <w:lang w:val="en-GB"/>
        </w:rPr>
        <w:t>are</w:t>
      </w:r>
      <w:r w:rsidR="0093069C" w:rsidRPr="003E3613">
        <w:rPr>
          <w:rFonts w:ascii="Book Antiqua" w:hAnsi="Book Antiqua"/>
          <w:iCs/>
          <w:sz w:val="23"/>
          <w:szCs w:val="23"/>
          <w:lang w:val="en-GB"/>
        </w:rPr>
        <w:t xml:space="preserve"> </w:t>
      </w:r>
      <w:r w:rsidRPr="003E3613">
        <w:rPr>
          <w:rFonts w:ascii="Book Antiqua" w:hAnsi="Book Antiqua"/>
          <w:iCs/>
          <w:sz w:val="23"/>
          <w:szCs w:val="23"/>
          <w:lang w:val="en-GB"/>
        </w:rPr>
        <w:t>highly important factors in the allocation of public money. I</w:t>
      </w:r>
      <w:r w:rsidR="00A06918" w:rsidRPr="003E3613">
        <w:rPr>
          <w:rFonts w:ascii="Book Antiqua" w:hAnsi="Book Antiqua"/>
          <w:iCs/>
          <w:sz w:val="23"/>
          <w:szCs w:val="23"/>
          <w:lang w:val="en-GB"/>
        </w:rPr>
        <w:t>n</w:t>
      </w:r>
      <w:r w:rsidRPr="003E3613">
        <w:rPr>
          <w:rFonts w:ascii="Book Antiqua" w:hAnsi="Book Antiqua"/>
          <w:iCs/>
          <w:sz w:val="23"/>
          <w:szCs w:val="23"/>
          <w:lang w:val="en-GB"/>
        </w:rPr>
        <w:t xml:space="preserve"> December 2015 the Government signed an ag</w:t>
      </w:r>
      <w:r w:rsidR="00540ECB" w:rsidRPr="003E3613">
        <w:rPr>
          <w:rFonts w:ascii="Book Antiqua" w:hAnsi="Book Antiqua"/>
          <w:iCs/>
          <w:sz w:val="23"/>
          <w:szCs w:val="23"/>
          <w:lang w:val="en-GB"/>
        </w:rPr>
        <w:t>reement with the Norway grants</w:t>
      </w:r>
      <w:r w:rsidR="00BC3543" w:rsidRPr="003E3613">
        <w:rPr>
          <w:rFonts w:ascii="Book Antiqua" w:hAnsi="Book Antiqua"/>
          <w:iCs/>
          <w:sz w:val="23"/>
          <w:szCs w:val="23"/>
          <w:lang w:val="en-GB"/>
        </w:rPr>
        <w:t>.</w:t>
      </w:r>
      <w:r w:rsidR="004502EA" w:rsidRPr="003E3613">
        <w:rPr>
          <w:rFonts w:ascii="Book Antiqua" w:hAnsi="Book Antiqua"/>
          <w:iCs/>
          <w:sz w:val="23"/>
          <w:szCs w:val="23"/>
          <w:lang w:val="en-GB"/>
        </w:rPr>
        <w:t xml:space="preserve"> In parallel, </w:t>
      </w:r>
      <w:r w:rsidRPr="003E3613">
        <w:rPr>
          <w:rFonts w:ascii="Book Antiqua" w:hAnsi="Book Antiqua"/>
          <w:iCs/>
          <w:sz w:val="23"/>
          <w:szCs w:val="23"/>
          <w:lang w:val="en-GB"/>
        </w:rPr>
        <w:t xml:space="preserve">the GCO </w:t>
      </w:r>
      <w:r w:rsidR="004502EA" w:rsidRPr="003E3613">
        <w:rPr>
          <w:rFonts w:ascii="Book Antiqua" w:hAnsi="Book Antiqua"/>
          <w:iCs/>
          <w:sz w:val="23"/>
          <w:szCs w:val="23"/>
          <w:lang w:val="en-GB"/>
        </w:rPr>
        <w:t xml:space="preserve">withdrew </w:t>
      </w:r>
      <w:r w:rsidRPr="003E3613">
        <w:rPr>
          <w:rFonts w:ascii="Book Antiqua" w:hAnsi="Book Antiqua"/>
          <w:iCs/>
          <w:sz w:val="23"/>
          <w:szCs w:val="23"/>
          <w:lang w:val="en-GB"/>
        </w:rPr>
        <w:t xml:space="preserve">its appeal and </w:t>
      </w:r>
      <w:r w:rsidR="004502EA" w:rsidRPr="003E3613">
        <w:rPr>
          <w:rFonts w:ascii="Book Antiqua" w:hAnsi="Book Antiqua"/>
          <w:iCs/>
          <w:sz w:val="23"/>
          <w:szCs w:val="23"/>
          <w:lang w:val="en-GB"/>
        </w:rPr>
        <w:t>did not initiate</w:t>
      </w:r>
      <w:r w:rsidRPr="003E3613">
        <w:rPr>
          <w:rFonts w:ascii="Book Antiqua" w:hAnsi="Book Antiqua"/>
          <w:iCs/>
          <w:sz w:val="23"/>
          <w:szCs w:val="23"/>
          <w:lang w:val="en-GB"/>
        </w:rPr>
        <w:t xml:space="preserve"> further investigations in this matter. The conclusion of this case shows that the Government is aiming </w:t>
      </w:r>
      <w:r w:rsidR="007E18B5" w:rsidRPr="003E3613">
        <w:rPr>
          <w:rFonts w:ascii="Book Antiqua" w:hAnsi="Book Antiqua"/>
          <w:iCs/>
          <w:sz w:val="23"/>
          <w:szCs w:val="23"/>
          <w:lang w:val="en-GB"/>
        </w:rPr>
        <w:t>at</w:t>
      </w:r>
      <w:r w:rsidRPr="003E3613">
        <w:rPr>
          <w:rFonts w:ascii="Book Antiqua" w:hAnsi="Book Antiqua"/>
          <w:iCs/>
          <w:sz w:val="23"/>
          <w:szCs w:val="23"/>
          <w:lang w:val="en-GB"/>
        </w:rPr>
        <w:t xml:space="preserve"> cooperation; the payments of the Norway grants continue to operate undisturbed, complying with the</w:t>
      </w:r>
      <w:r w:rsidR="001071CB" w:rsidRPr="003E3613">
        <w:rPr>
          <w:rFonts w:ascii="Book Antiqua" w:hAnsi="Book Antiqua"/>
          <w:iCs/>
          <w:sz w:val="23"/>
          <w:szCs w:val="23"/>
          <w:lang w:val="en-GB"/>
        </w:rPr>
        <w:t xml:space="preserve"> </w:t>
      </w:r>
      <w:r w:rsidRPr="003E3613">
        <w:rPr>
          <w:rFonts w:ascii="Book Antiqua" w:hAnsi="Book Antiqua"/>
          <w:iCs/>
          <w:sz w:val="23"/>
          <w:szCs w:val="23"/>
          <w:lang w:val="en-GB"/>
        </w:rPr>
        <w:t>transparency criteria of the rule of law</w:t>
      </w:r>
      <w:r w:rsidR="00BC3543" w:rsidRPr="003E3613">
        <w:rPr>
          <w:rFonts w:ascii="Book Antiqua" w:hAnsi="Book Antiqua"/>
          <w:iCs/>
          <w:sz w:val="23"/>
          <w:szCs w:val="23"/>
          <w:lang w:val="en-GB"/>
        </w:rPr>
        <w:t>,</w:t>
      </w:r>
      <w:r w:rsidR="004C6F07" w:rsidRPr="003E3613">
        <w:rPr>
          <w:rFonts w:ascii="Book Antiqua" w:hAnsi="Book Antiqua"/>
          <w:iCs/>
          <w:sz w:val="23"/>
          <w:szCs w:val="23"/>
          <w:lang w:val="en-GB"/>
        </w:rPr>
        <w:t xml:space="preserve"> as well as with the common rules set out by Norway and Hungary.</w:t>
      </w:r>
    </w:p>
    <w:p w14:paraId="6E417FBE" w14:textId="77777777" w:rsidR="008070F7" w:rsidRPr="003E3613" w:rsidRDefault="008070F7" w:rsidP="00204696">
      <w:pPr>
        <w:rPr>
          <w:rFonts w:ascii="Book Antiqua" w:eastAsiaTheme="majorEastAsia" w:hAnsi="Book Antiqua" w:cstheme="majorBidi"/>
          <w:b/>
          <w:bCs/>
          <w:sz w:val="23"/>
          <w:szCs w:val="23"/>
          <w:lang w:val="en-GB"/>
        </w:rPr>
      </w:pPr>
    </w:p>
    <w:p w14:paraId="61CE9DDF" w14:textId="77777777" w:rsidR="004D64FB" w:rsidRPr="003E3613" w:rsidRDefault="004D64FB" w:rsidP="00204696">
      <w:pPr>
        <w:pStyle w:val="Heading2"/>
        <w:keepNext w:val="0"/>
        <w:keepLines w:val="0"/>
        <w:spacing w:before="0"/>
        <w:rPr>
          <w:rFonts w:ascii="Book Antiqua" w:hAnsi="Book Antiqua"/>
          <w:color w:val="auto"/>
          <w:sz w:val="23"/>
          <w:szCs w:val="23"/>
          <w:lang w:val="en-GB"/>
        </w:rPr>
      </w:pPr>
      <w:bookmarkStart w:id="43" w:name="_Toc19120804"/>
      <w:r w:rsidRPr="003E3613">
        <w:rPr>
          <w:rFonts w:ascii="Book Antiqua" w:hAnsi="Book Antiqua"/>
          <w:color w:val="auto"/>
          <w:sz w:val="23"/>
          <w:szCs w:val="23"/>
          <w:lang w:val="en-GB"/>
        </w:rPr>
        <w:t>The law on the Transparency of Organisations Receiving Support from Abroad</w:t>
      </w:r>
      <w:bookmarkEnd w:id="43"/>
    </w:p>
    <w:p w14:paraId="4E8B6BF9" w14:textId="77777777" w:rsidR="004D64FB" w:rsidRPr="003E3613" w:rsidRDefault="004D64FB" w:rsidP="00204696">
      <w:pPr>
        <w:spacing w:after="0"/>
        <w:jc w:val="both"/>
        <w:rPr>
          <w:rFonts w:ascii="Book Antiqua" w:hAnsi="Book Antiqua"/>
          <w:i/>
          <w:sz w:val="23"/>
          <w:szCs w:val="23"/>
          <w:lang w:val="en-GB"/>
        </w:rPr>
      </w:pPr>
    </w:p>
    <w:p w14:paraId="55BA01E1"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52045A" w:rsidRPr="003E3613">
        <w:rPr>
          <w:rFonts w:ascii="Book Antiqua" w:hAnsi="Book Antiqua"/>
          <w:i/>
          <w:sz w:val="23"/>
          <w:szCs w:val="23"/>
          <w:lang w:val="en-GB"/>
        </w:rPr>
        <w:t>4</w:t>
      </w:r>
      <w:r w:rsidR="00773718" w:rsidRPr="003E3613">
        <w:rPr>
          <w:rFonts w:ascii="Book Antiqua" w:hAnsi="Book Antiqua"/>
          <w:i/>
          <w:sz w:val="23"/>
          <w:szCs w:val="23"/>
          <w:lang w:val="en-GB"/>
        </w:rPr>
        <w:t>1</w:t>
      </w:r>
      <w:r w:rsidRPr="003E3613">
        <w:rPr>
          <w:rFonts w:ascii="Book Antiqua" w:hAnsi="Book Antiqua"/>
          <w:i/>
          <w:sz w:val="23"/>
          <w:szCs w:val="23"/>
          <w:lang w:val="en-GB"/>
        </w:rPr>
        <w:t>) In April 2017 a draft law on the Transparency of Organisations Receiving Support from Abroad was introduced before the Hungarian Parliament</w:t>
      </w:r>
      <w:r w:rsidR="0052045A" w:rsidRPr="003E3613">
        <w:rPr>
          <w:rFonts w:ascii="Book Antiqua" w:hAnsi="Book Antiqua"/>
          <w:i/>
          <w:sz w:val="23"/>
          <w:szCs w:val="23"/>
          <w:lang w:val="en-GB"/>
        </w:rPr>
        <w:t xml:space="preserve"> with the stated purpose of introducing requirements related to the prevention of money laundering or terrorism. The Venice Commission acknowledged in 2013 that there may be various reasons for a state to restrict foreign funding, including the prevention of money-laundering and terrorist financing, but those legitimate aims should not be used as a pretext to control NGOs or to restrict their ability to carry out their legitimate work, notably in defence of human rights.</w:t>
      </w:r>
      <w:r w:rsidRPr="003E3613">
        <w:rPr>
          <w:rFonts w:ascii="Book Antiqua" w:hAnsi="Book Antiqua"/>
          <w:i/>
          <w:sz w:val="23"/>
          <w:szCs w:val="23"/>
          <w:lang w:val="en-GB"/>
        </w:rPr>
        <w:t xml:space="preserve"> On 26 April 2017, the Council of Europe Commissioner for Human Rights addressed a letter to the Speaker of the Hungarian National Assembly noting that the draft law was introduced against the background of continued antagonistic rhetoric from certain members of the ruling coalition, who publicly labelled some NGOs as “foreign agents” based on the source of their funding and questioned their legitimacy</w:t>
      </w:r>
      <w:r w:rsidR="0052045A" w:rsidRPr="003E3613">
        <w:rPr>
          <w:rFonts w:ascii="Book Antiqua" w:hAnsi="Book Antiqua"/>
          <w:i/>
          <w:sz w:val="23"/>
          <w:szCs w:val="23"/>
          <w:lang w:val="en-GB"/>
        </w:rPr>
        <w:t>; the term “foreign agents” was, however, absent from the draft</w:t>
      </w:r>
      <w:r w:rsidRPr="003E3613">
        <w:rPr>
          <w:rFonts w:ascii="Book Antiqua" w:hAnsi="Book Antiqua"/>
          <w:i/>
          <w:sz w:val="23"/>
          <w:szCs w:val="23"/>
          <w:lang w:val="en-GB"/>
        </w:rPr>
        <w:t xml:space="preserve">. Similar concerns have been mentioned in the statement of 7 March 2017 of the President of the Conference of INGOs of the Council of Europe and President of the Expert Council on NGO Law, as well as in the Opinion of 24 April 2017 prepared by the Expert Council on NGO Law, and the statement of 15 May </w:t>
      </w:r>
      <w:r w:rsidRPr="003E3613">
        <w:rPr>
          <w:rFonts w:ascii="Book Antiqua" w:hAnsi="Book Antiqua"/>
          <w:i/>
          <w:sz w:val="23"/>
          <w:szCs w:val="23"/>
          <w:lang w:val="en-GB"/>
        </w:rPr>
        <w:lastRenderedPageBreak/>
        <w:t>2017 by the UN Special Rapporteurs on the situation of human rights defenders and on the promotion and protection of the right to freedom of opinion and expression.</w:t>
      </w:r>
    </w:p>
    <w:p w14:paraId="5BE6E715" w14:textId="77777777" w:rsidR="00540ECB" w:rsidRPr="003E3613" w:rsidRDefault="00540ECB" w:rsidP="00204696">
      <w:pPr>
        <w:spacing w:after="0"/>
        <w:jc w:val="both"/>
        <w:rPr>
          <w:rFonts w:ascii="Book Antiqua" w:hAnsi="Book Antiqua"/>
          <w:iCs/>
          <w:sz w:val="23"/>
          <w:szCs w:val="23"/>
          <w:lang w:val="en-GB"/>
        </w:rPr>
      </w:pPr>
    </w:p>
    <w:p w14:paraId="443C025F" w14:textId="2808B1BC" w:rsidR="008D1BAE" w:rsidRPr="003E3613" w:rsidRDefault="00540ECB" w:rsidP="00204696">
      <w:pPr>
        <w:spacing w:after="0"/>
        <w:jc w:val="both"/>
        <w:rPr>
          <w:rFonts w:ascii="Book Antiqua" w:hAnsi="Book Antiqua"/>
          <w:iCs/>
          <w:sz w:val="23"/>
          <w:szCs w:val="23"/>
          <w:lang w:val="en-GB"/>
        </w:rPr>
      </w:pPr>
      <w:r w:rsidRPr="003E3613">
        <w:rPr>
          <w:rFonts w:ascii="Book Antiqua" w:hAnsi="Book Antiqua"/>
          <w:iCs/>
          <w:sz w:val="23"/>
          <w:szCs w:val="23"/>
          <w:lang w:val="en-GB"/>
        </w:rPr>
        <w:t>It must be underlined that Hungary recognises the vital contribution of non-governmental organisations to the promotion of common values and goals</w:t>
      </w:r>
      <w:r w:rsidR="00420505" w:rsidRPr="003E3613">
        <w:rPr>
          <w:rFonts w:ascii="Book Antiqua" w:hAnsi="Book Antiqua"/>
          <w:iCs/>
          <w:sz w:val="23"/>
          <w:szCs w:val="23"/>
          <w:lang w:val="en-GB"/>
        </w:rPr>
        <w:t xml:space="preserve"> (over 60 000 non-governmental organisations are operating in Hungary)</w:t>
      </w:r>
      <w:r w:rsidRPr="003E3613">
        <w:rPr>
          <w:rFonts w:ascii="Book Antiqua" w:hAnsi="Book Antiqua"/>
          <w:iCs/>
          <w:sz w:val="23"/>
          <w:szCs w:val="23"/>
          <w:lang w:val="en-GB"/>
        </w:rPr>
        <w:t xml:space="preserve">. These </w:t>
      </w:r>
      <w:r w:rsidR="00BD0A8B" w:rsidRPr="003E3613">
        <w:rPr>
          <w:rFonts w:ascii="Book Antiqua" w:hAnsi="Book Antiqua"/>
          <w:iCs/>
          <w:sz w:val="23"/>
          <w:szCs w:val="23"/>
          <w:lang w:val="en-GB"/>
        </w:rPr>
        <w:t>organisation</w:t>
      </w:r>
      <w:r w:rsidRPr="003E3613">
        <w:rPr>
          <w:rFonts w:ascii="Book Antiqua" w:hAnsi="Book Antiqua"/>
          <w:iCs/>
          <w:sz w:val="23"/>
          <w:szCs w:val="23"/>
          <w:lang w:val="en-GB"/>
        </w:rPr>
        <w:t xml:space="preserve">s also play an important role not only in the democratic control of the government and shaping public opinion but also in addressing certain social difficulties and fulfil other community policy needs. Therefore, the right to freedom of association as well as other relating fundamental rights, such as the freedom of assembly and freedom of expression, are guaranteed by the Fundamental Law of Hungary in line with the norms of the Council of Europe. The Act intended </w:t>
      </w:r>
      <w:r w:rsidR="00EE376F" w:rsidRPr="003E3613">
        <w:rPr>
          <w:rFonts w:ascii="Book Antiqua" w:hAnsi="Book Antiqua"/>
          <w:iCs/>
          <w:sz w:val="23"/>
          <w:szCs w:val="23"/>
          <w:lang w:val="en-GB"/>
        </w:rPr>
        <w:t xml:space="preserve">to </w:t>
      </w:r>
      <w:r w:rsidRPr="003E3613">
        <w:rPr>
          <w:rFonts w:ascii="Book Antiqua" w:hAnsi="Book Antiqua"/>
          <w:iCs/>
          <w:sz w:val="23"/>
          <w:szCs w:val="23"/>
          <w:lang w:val="en-GB"/>
        </w:rPr>
        <w:t>enhanc</w:t>
      </w:r>
      <w:r w:rsidR="00EE376F" w:rsidRPr="003E3613">
        <w:rPr>
          <w:rFonts w:ascii="Book Antiqua" w:hAnsi="Book Antiqua"/>
          <w:iCs/>
          <w:sz w:val="23"/>
          <w:szCs w:val="23"/>
          <w:lang w:val="en-GB"/>
        </w:rPr>
        <w:t>e</w:t>
      </w:r>
      <w:r w:rsidRPr="003E3613">
        <w:rPr>
          <w:rFonts w:ascii="Book Antiqua" w:hAnsi="Book Antiqua"/>
          <w:iCs/>
          <w:sz w:val="23"/>
          <w:szCs w:val="23"/>
          <w:lang w:val="en-GB"/>
        </w:rPr>
        <w:t xml:space="preserve"> the transparency of funding of non-governmental </w:t>
      </w:r>
      <w:r w:rsidR="00BD0A8B" w:rsidRPr="003E3613">
        <w:rPr>
          <w:rFonts w:ascii="Book Antiqua" w:hAnsi="Book Antiqua"/>
          <w:iCs/>
          <w:sz w:val="23"/>
          <w:szCs w:val="23"/>
          <w:lang w:val="en-GB"/>
        </w:rPr>
        <w:t>organisation</w:t>
      </w:r>
      <w:r w:rsidRPr="003E3613">
        <w:rPr>
          <w:rFonts w:ascii="Book Antiqua" w:hAnsi="Book Antiqua"/>
          <w:iCs/>
          <w:sz w:val="23"/>
          <w:szCs w:val="23"/>
          <w:lang w:val="en-GB"/>
        </w:rPr>
        <w:t>s</w:t>
      </w:r>
      <w:r w:rsidR="008D1BAE" w:rsidRPr="003E3613">
        <w:rPr>
          <w:rFonts w:ascii="Book Antiqua" w:hAnsi="Book Antiqua"/>
          <w:iCs/>
          <w:sz w:val="23"/>
          <w:szCs w:val="23"/>
          <w:lang w:val="en-GB"/>
        </w:rPr>
        <w:t xml:space="preserve">, and extends only to a limited number of associations, foundations and non-governmental </w:t>
      </w:r>
      <w:r w:rsidR="00BD0A8B" w:rsidRPr="003E3613">
        <w:rPr>
          <w:rFonts w:ascii="Book Antiqua" w:hAnsi="Book Antiqua"/>
          <w:iCs/>
          <w:sz w:val="23"/>
          <w:szCs w:val="23"/>
          <w:lang w:val="en-GB"/>
        </w:rPr>
        <w:t>organisation</w:t>
      </w:r>
      <w:r w:rsidR="008D1BAE" w:rsidRPr="003E3613">
        <w:rPr>
          <w:rFonts w:ascii="Book Antiqua" w:hAnsi="Book Antiqua"/>
          <w:iCs/>
          <w:sz w:val="23"/>
          <w:szCs w:val="23"/>
          <w:lang w:val="en-GB"/>
        </w:rPr>
        <w:t xml:space="preserve">s which receive more than </w:t>
      </w:r>
      <w:r w:rsidR="009A0676">
        <w:rPr>
          <w:rFonts w:ascii="Book Antiqua" w:hAnsi="Book Antiqua"/>
          <w:iCs/>
          <w:sz w:val="23"/>
          <w:szCs w:val="23"/>
          <w:lang w:val="en-GB"/>
        </w:rPr>
        <w:t xml:space="preserve">EUR </w:t>
      </w:r>
      <w:r w:rsidR="008D1BAE" w:rsidRPr="003E3613">
        <w:rPr>
          <w:rFonts w:ascii="Book Antiqua" w:hAnsi="Book Antiqua"/>
          <w:iCs/>
          <w:sz w:val="23"/>
          <w:szCs w:val="23"/>
          <w:lang w:val="en-GB"/>
        </w:rPr>
        <w:t xml:space="preserve">22 </w:t>
      </w:r>
      <w:r w:rsidR="009A0676">
        <w:rPr>
          <w:rFonts w:ascii="Book Antiqua" w:hAnsi="Book Antiqua"/>
          <w:iCs/>
          <w:sz w:val="23"/>
          <w:szCs w:val="23"/>
          <w:lang w:val="en-GB"/>
        </w:rPr>
        <w:t>0</w:t>
      </w:r>
      <w:r w:rsidR="008D1BAE" w:rsidRPr="003E3613">
        <w:rPr>
          <w:rFonts w:ascii="Book Antiqua" w:hAnsi="Book Antiqua"/>
          <w:iCs/>
          <w:sz w:val="23"/>
          <w:szCs w:val="23"/>
          <w:lang w:val="en-GB"/>
        </w:rPr>
        <w:t>00 (7.2 million HUF) financial support from abroad per year.</w:t>
      </w:r>
      <w:r w:rsidRPr="003E3613">
        <w:rPr>
          <w:rFonts w:ascii="Book Antiqua" w:hAnsi="Book Antiqua"/>
          <w:iCs/>
          <w:sz w:val="23"/>
          <w:szCs w:val="23"/>
          <w:lang w:val="en-GB"/>
        </w:rPr>
        <w:t xml:space="preserve"> </w:t>
      </w:r>
    </w:p>
    <w:p w14:paraId="4D33C603" w14:textId="77777777" w:rsidR="008D1BAE" w:rsidRPr="003E3613" w:rsidRDefault="008D1BAE" w:rsidP="00204696">
      <w:pPr>
        <w:spacing w:after="0"/>
        <w:jc w:val="both"/>
        <w:rPr>
          <w:rFonts w:ascii="Book Antiqua" w:hAnsi="Book Antiqua"/>
          <w:iCs/>
          <w:sz w:val="23"/>
          <w:szCs w:val="23"/>
          <w:lang w:val="en-GB"/>
        </w:rPr>
      </w:pPr>
    </w:p>
    <w:p w14:paraId="56403037" w14:textId="77777777" w:rsidR="008D1BAE" w:rsidRPr="003E3613" w:rsidRDefault="008D1BAE" w:rsidP="00204696">
      <w:pPr>
        <w:widowControl w:val="0"/>
        <w:jc w:val="both"/>
        <w:rPr>
          <w:rFonts w:ascii="Book Antiqua" w:hAnsi="Book Antiqua"/>
          <w:iCs/>
          <w:sz w:val="23"/>
          <w:szCs w:val="23"/>
          <w:lang w:val="en-GB"/>
        </w:rPr>
      </w:pPr>
      <w:r w:rsidRPr="003E3613">
        <w:rPr>
          <w:rFonts w:ascii="Book Antiqua" w:hAnsi="Book Antiqua"/>
          <w:iCs/>
          <w:sz w:val="23"/>
          <w:szCs w:val="23"/>
          <w:lang w:val="en-GB"/>
        </w:rPr>
        <w:t xml:space="preserve">Financial support from unknown foreign sources may be suitable for foreign interest groups to enforce their own interests rather than community goals in Hungary. The </w:t>
      </w:r>
      <w:r w:rsidR="00CD2D8B" w:rsidRPr="003E3613">
        <w:rPr>
          <w:rFonts w:ascii="Book Antiqua" w:hAnsi="Book Antiqua"/>
          <w:iCs/>
          <w:sz w:val="23"/>
          <w:szCs w:val="23"/>
          <w:lang w:val="en-GB"/>
        </w:rPr>
        <w:t>l</w:t>
      </w:r>
      <w:r w:rsidRPr="003E3613">
        <w:rPr>
          <w:rFonts w:ascii="Book Antiqua" w:hAnsi="Book Antiqua"/>
          <w:iCs/>
          <w:sz w:val="23"/>
          <w:szCs w:val="23"/>
          <w:lang w:val="en-GB"/>
        </w:rPr>
        <w:t xml:space="preserve">aw aims to create transparency for these activities by obliging them to admit </w:t>
      </w:r>
      <w:r w:rsidRPr="003E3613">
        <w:rPr>
          <w:rFonts w:ascii="Book Antiqua" w:hAnsi="Book Antiqua"/>
          <w:i/>
          <w:iCs/>
          <w:sz w:val="23"/>
          <w:szCs w:val="23"/>
          <w:lang w:val="en-GB"/>
        </w:rPr>
        <w:t>ex-post</w:t>
      </w:r>
      <w:r w:rsidRPr="003E3613">
        <w:rPr>
          <w:rFonts w:ascii="Book Antiqua" w:hAnsi="Book Antiqua"/>
          <w:iCs/>
          <w:sz w:val="23"/>
          <w:szCs w:val="23"/>
          <w:lang w:val="en-GB"/>
        </w:rPr>
        <w:t xml:space="preserve"> their financial sources.</w:t>
      </w:r>
    </w:p>
    <w:p w14:paraId="778680A0" w14:textId="77777777" w:rsidR="008D1BAE" w:rsidRPr="003E3613" w:rsidRDefault="008D1BAE" w:rsidP="00204696">
      <w:pPr>
        <w:widowControl w:val="0"/>
        <w:jc w:val="both"/>
        <w:rPr>
          <w:rFonts w:ascii="Book Antiqua" w:hAnsi="Book Antiqua"/>
          <w:iCs/>
          <w:sz w:val="23"/>
          <w:szCs w:val="23"/>
          <w:lang w:val="en-GB"/>
        </w:rPr>
      </w:pPr>
      <w:r w:rsidRPr="003E3613">
        <w:rPr>
          <w:rFonts w:ascii="Book Antiqua" w:hAnsi="Book Antiqua"/>
          <w:iCs/>
          <w:sz w:val="23"/>
          <w:szCs w:val="23"/>
          <w:lang w:val="en-GB"/>
        </w:rPr>
        <w:t xml:space="preserve">The </w:t>
      </w:r>
      <w:r w:rsidR="00BD0A8B" w:rsidRPr="003E3613">
        <w:rPr>
          <w:rFonts w:ascii="Book Antiqua" w:hAnsi="Book Antiqua"/>
          <w:iCs/>
          <w:sz w:val="23"/>
          <w:szCs w:val="23"/>
          <w:lang w:val="en-GB"/>
        </w:rPr>
        <w:t>organisation</w:t>
      </w:r>
      <w:r w:rsidRPr="003E3613">
        <w:rPr>
          <w:rFonts w:ascii="Book Antiqua" w:hAnsi="Book Antiqua"/>
          <w:iCs/>
          <w:sz w:val="23"/>
          <w:szCs w:val="23"/>
          <w:lang w:val="en-GB"/>
        </w:rPr>
        <w:t>s have to publish their incoming foreign support in a uniformed system providing transparency for financial support, on the “Civil Information Portal” transparency register (which contains the name, registered office and tax number). The latest list contains 14</w:t>
      </w:r>
      <w:r w:rsidR="003E1568" w:rsidRPr="003E3613">
        <w:rPr>
          <w:rFonts w:ascii="Book Antiqua" w:hAnsi="Book Antiqua"/>
          <w:iCs/>
          <w:sz w:val="23"/>
          <w:szCs w:val="23"/>
          <w:lang w:val="en-GB"/>
        </w:rPr>
        <w:t>7</w:t>
      </w:r>
      <w:r w:rsidRPr="003E3613">
        <w:rPr>
          <w:rFonts w:ascii="Book Antiqua" w:hAnsi="Book Antiqua"/>
          <w:iCs/>
          <w:sz w:val="23"/>
          <w:szCs w:val="23"/>
          <w:lang w:val="en-GB"/>
        </w:rPr>
        <w:t xml:space="preserve"> </w:t>
      </w:r>
      <w:r w:rsidR="00BD0A8B" w:rsidRPr="003E3613">
        <w:rPr>
          <w:rFonts w:ascii="Book Antiqua" w:hAnsi="Book Antiqua"/>
          <w:iCs/>
          <w:sz w:val="23"/>
          <w:szCs w:val="23"/>
          <w:lang w:val="en-GB"/>
        </w:rPr>
        <w:t>organisation</w:t>
      </w:r>
      <w:r w:rsidRPr="003E3613">
        <w:rPr>
          <w:rFonts w:ascii="Book Antiqua" w:hAnsi="Book Antiqua"/>
          <w:iCs/>
          <w:sz w:val="23"/>
          <w:szCs w:val="23"/>
          <w:lang w:val="en-GB"/>
        </w:rPr>
        <w:t>s receiving foreign support</w:t>
      </w:r>
      <w:r w:rsidR="00A4440B" w:rsidRPr="003E3613">
        <w:rPr>
          <w:rFonts w:ascii="Book Antiqua" w:hAnsi="Book Antiqua"/>
          <w:iCs/>
          <w:sz w:val="23"/>
          <w:szCs w:val="23"/>
          <w:lang w:val="en-GB"/>
        </w:rPr>
        <w:t xml:space="preserve"> (</w:t>
      </w:r>
      <w:r w:rsidR="003E1568" w:rsidRPr="003E3613">
        <w:rPr>
          <w:rFonts w:ascii="Book Antiqua" w:hAnsi="Book Antiqua"/>
          <w:iCs/>
          <w:sz w:val="23"/>
          <w:szCs w:val="23"/>
          <w:lang w:val="en-GB"/>
        </w:rPr>
        <w:t>latest update o</w:t>
      </w:r>
      <w:r w:rsidR="00A4440B" w:rsidRPr="003E3613">
        <w:rPr>
          <w:rFonts w:ascii="Book Antiqua" w:hAnsi="Book Antiqua"/>
          <w:iCs/>
          <w:sz w:val="23"/>
          <w:szCs w:val="23"/>
          <w:lang w:val="en-GB"/>
        </w:rPr>
        <w:t>n 27 of August, 2019)</w:t>
      </w:r>
      <w:r w:rsidRPr="003E3613">
        <w:rPr>
          <w:rFonts w:ascii="Book Antiqua" w:hAnsi="Book Antiqua"/>
          <w:iCs/>
          <w:sz w:val="23"/>
          <w:szCs w:val="23"/>
          <w:lang w:val="en-GB"/>
        </w:rPr>
        <w:t xml:space="preserve">. The activities of these </w:t>
      </w:r>
      <w:r w:rsidR="00BD0A8B" w:rsidRPr="003E3613">
        <w:rPr>
          <w:rFonts w:ascii="Book Antiqua" w:hAnsi="Book Antiqua"/>
          <w:iCs/>
          <w:sz w:val="23"/>
          <w:szCs w:val="23"/>
          <w:lang w:val="en-GB"/>
        </w:rPr>
        <w:t>organisation</w:t>
      </w:r>
      <w:r w:rsidRPr="003E3613">
        <w:rPr>
          <w:rFonts w:ascii="Book Antiqua" w:hAnsi="Book Antiqua"/>
          <w:iCs/>
          <w:sz w:val="23"/>
          <w:szCs w:val="23"/>
          <w:lang w:val="en-GB"/>
        </w:rPr>
        <w:t xml:space="preserve">s are varied, including charitable </w:t>
      </w:r>
      <w:r w:rsidR="00BD0A8B" w:rsidRPr="003E3613">
        <w:rPr>
          <w:rFonts w:ascii="Book Antiqua" w:hAnsi="Book Antiqua"/>
          <w:iCs/>
          <w:sz w:val="23"/>
          <w:szCs w:val="23"/>
          <w:lang w:val="en-GB"/>
        </w:rPr>
        <w:t>organisation</w:t>
      </w:r>
      <w:r w:rsidRPr="003E3613">
        <w:rPr>
          <w:rFonts w:ascii="Book Antiqua" w:hAnsi="Book Antiqua"/>
          <w:iCs/>
          <w:sz w:val="23"/>
          <w:szCs w:val="23"/>
          <w:lang w:val="en-GB"/>
        </w:rPr>
        <w:t>s, animal protection, nature conservation, youth, educational and social activities.</w:t>
      </w:r>
    </w:p>
    <w:p w14:paraId="7E01615F" w14:textId="77777777" w:rsidR="008D1BAE" w:rsidRPr="003E3613" w:rsidRDefault="008D1BAE" w:rsidP="00204696">
      <w:pPr>
        <w:jc w:val="both"/>
        <w:rPr>
          <w:rFonts w:ascii="Book Antiqua" w:hAnsi="Book Antiqua"/>
          <w:iCs/>
          <w:sz w:val="23"/>
          <w:szCs w:val="23"/>
          <w:lang w:val="en-GB"/>
        </w:rPr>
      </w:pPr>
      <w:r w:rsidRPr="003E3613">
        <w:rPr>
          <w:rFonts w:ascii="Book Antiqua" w:hAnsi="Book Antiqua"/>
          <w:iCs/>
          <w:sz w:val="23"/>
          <w:szCs w:val="23"/>
          <w:lang w:val="en-GB"/>
        </w:rPr>
        <w:t xml:space="preserve">The transparency obligations are „activity-neutral”, not related to principles or values of the </w:t>
      </w:r>
      <w:r w:rsidR="00BD0A8B" w:rsidRPr="003E3613">
        <w:rPr>
          <w:rFonts w:ascii="Book Antiqua" w:hAnsi="Book Antiqua"/>
          <w:iCs/>
          <w:sz w:val="23"/>
          <w:szCs w:val="23"/>
          <w:lang w:val="en-GB"/>
        </w:rPr>
        <w:t>organisation</w:t>
      </w:r>
      <w:r w:rsidRPr="003E3613">
        <w:rPr>
          <w:rFonts w:ascii="Book Antiqua" w:hAnsi="Book Antiqua"/>
          <w:iCs/>
          <w:sz w:val="23"/>
          <w:szCs w:val="23"/>
          <w:lang w:val="en-GB"/>
        </w:rPr>
        <w:t>, and it does not require value judgments over goals or achievements.</w:t>
      </w:r>
    </w:p>
    <w:p w14:paraId="16018568" w14:textId="77777777" w:rsidR="00540ECB" w:rsidRPr="003E3613" w:rsidRDefault="008D1BAE"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The </w:t>
      </w:r>
      <w:r w:rsidR="00CD2D8B" w:rsidRPr="003E3613">
        <w:rPr>
          <w:rFonts w:ascii="Book Antiqua" w:hAnsi="Book Antiqua"/>
          <w:iCs/>
          <w:sz w:val="23"/>
          <w:szCs w:val="23"/>
          <w:lang w:val="en-GB"/>
        </w:rPr>
        <w:t>l</w:t>
      </w:r>
      <w:r w:rsidRPr="003E3613">
        <w:rPr>
          <w:rFonts w:ascii="Book Antiqua" w:hAnsi="Book Antiqua"/>
          <w:iCs/>
          <w:sz w:val="23"/>
          <w:szCs w:val="23"/>
          <w:lang w:val="en-GB"/>
        </w:rPr>
        <w:t xml:space="preserve">aw </w:t>
      </w:r>
      <w:r w:rsidR="00540ECB" w:rsidRPr="003E3613">
        <w:rPr>
          <w:rFonts w:ascii="Book Antiqua" w:hAnsi="Book Antiqua"/>
          <w:iCs/>
          <w:sz w:val="23"/>
          <w:szCs w:val="23"/>
          <w:lang w:val="en-GB"/>
        </w:rPr>
        <w:t xml:space="preserve">neither affects the basic rights associated with </w:t>
      </w:r>
      <w:r w:rsidR="00C24F8C" w:rsidRPr="003E3613">
        <w:rPr>
          <w:rFonts w:ascii="Book Antiqua" w:hAnsi="Book Antiqua"/>
          <w:iCs/>
          <w:sz w:val="23"/>
          <w:szCs w:val="23"/>
          <w:lang w:val="en-GB"/>
        </w:rPr>
        <w:t>the</w:t>
      </w:r>
      <w:r w:rsidR="00540ECB" w:rsidRPr="003E3613">
        <w:rPr>
          <w:rFonts w:ascii="Book Antiqua" w:hAnsi="Book Antiqua"/>
          <w:iCs/>
          <w:sz w:val="23"/>
          <w:szCs w:val="23"/>
          <w:lang w:val="en-GB"/>
        </w:rPr>
        <w:t xml:space="preserve"> freedom of association, nor </w:t>
      </w:r>
      <w:r w:rsidRPr="003E3613">
        <w:rPr>
          <w:rFonts w:ascii="Book Antiqua" w:hAnsi="Book Antiqua"/>
          <w:iCs/>
          <w:sz w:val="23"/>
          <w:szCs w:val="23"/>
          <w:lang w:val="en-GB"/>
        </w:rPr>
        <w:t xml:space="preserve">does it hamper </w:t>
      </w:r>
      <w:r w:rsidR="00540ECB" w:rsidRPr="003E3613">
        <w:rPr>
          <w:rFonts w:ascii="Book Antiqua" w:hAnsi="Book Antiqua"/>
          <w:iCs/>
          <w:sz w:val="23"/>
          <w:szCs w:val="23"/>
          <w:lang w:val="en-GB"/>
        </w:rPr>
        <w:t>the access of associations to resources on the grounds of the nationality or the country of origin. As noted in the joint OSCE/ODIHR and Venice Commission Guidelines on Freedom of Association, as well as the expert opinion of the Venice Commission on the issue, the freedom to seek, receive and use resources can be subject to requirements related to the prevention of money laundering or terrorism.</w:t>
      </w:r>
      <w:r w:rsidR="00926FD8" w:rsidRPr="003E3613">
        <w:rPr>
          <w:rStyle w:val="FootnoteReference"/>
          <w:rFonts w:ascii="Book Antiqua" w:hAnsi="Book Antiqua"/>
          <w:iCs/>
          <w:sz w:val="23"/>
          <w:szCs w:val="23"/>
          <w:lang w:val="en-GB"/>
        </w:rPr>
        <w:footnoteReference w:id="30"/>
      </w:r>
      <w:r w:rsidR="00540ECB" w:rsidRPr="003E3613">
        <w:rPr>
          <w:rFonts w:ascii="Book Antiqua" w:hAnsi="Book Antiqua"/>
          <w:iCs/>
          <w:sz w:val="23"/>
          <w:szCs w:val="23"/>
          <w:lang w:val="en-GB"/>
        </w:rPr>
        <w:t xml:space="preserve"> These documents also underline that such resources may legitimately be subject to reporting and transparency requirements. </w:t>
      </w:r>
    </w:p>
    <w:p w14:paraId="53679F0D" w14:textId="77777777" w:rsidR="00540ECB" w:rsidRPr="003E3613" w:rsidRDefault="00540ECB" w:rsidP="00204696">
      <w:pPr>
        <w:spacing w:after="0"/>
        <w:jc w:val="both"/>
        <w:rPr>
          <w:rFonts w:ascii="Book Antiqua" w:hAnsi="Book Antiqua"/>
          <w:iCs/>
          <w:sz w:val="23"/>
          <w:szCs w:val="23"/>
          <w:lang w:val="en-GB"/>
        </w:rPr>
      </w:pPr>
    </w:p>
    <w:p w14:paraId="494D9F5F" w14:textId="77777777" w:rsidR="00A35768" w:rsidRPr="003E3613" w:rsidRDefault="00934DD7" w:rsidP="00204696">
      <w:pPr>
        <w:spacing w:after="0"/>
        <w:jc w:val="both"/>
        <w:rPr>
          <w:rFonts w:ascii="Book Antiqua" w:hAnsi="Book Antiqua"/>
          <w:sz w:val="23"/>
          <w:szCs w:val="23"/>
          <w:lang w:val="en-GB"/>
        </w:rPr>
      </w:pPr>
      <w:r w:rsidRPr="003E3613">
        <w:rPr>
          <w:rFonts w:ascii="Book Antiqua" w:hAnsi="Book Antiqua"/>
          <w:iCs/>
          <w:sz w:val="23"/>
          <w:szCs w:val="23"/>
          <w:lang w:val="en-GB"/>
        </w:rPr>
        <w:t>The term ‘organisations supported from abroad’ is purely factual</w:t>
      </w:r>
      <w:r w:rsidR="00EE376F" w:rsidRPr="003E3613">
        <w:rPr>
          <w:rFonts w:ascii="Book Antiqua" w:hAnsi="Book Antiqua"/>
          <w:iCs/>
          <w:sz w:val="23"/>
          <w:szCs w:val="23"/>
          <w:lang w:val="en-GB"/>
        </w:rPr>
        <w:t>,</w:t>
      </w:r>
      <w:r w:rsidRPr="003E3613">
        <w:rPr>
          <w:rFonts w:ascii="Book Antiqua" w:hAnsi="Book Antiqua"/>
          <w:iCs/>
          <w:sz w:val="23"/>
          <w:szCs w:val="23"/>
          <w:lang w:val="en-GB"/>
        </w:rPr>
        <w:t xml:space="preserve"> is not stigmati</w:t>
      </w:r>
      <w:r w:rsidR="00AE3084" w:rsidRPr="003E3613">
        <w:rPr>
          <w:rFonts w:ascii="Book Antiqua" w:hAnsi="Book Antiqua"/>
          <w:iCs/>
          <w:sz w:val="23"/>
          <w:szCs w:val="23"/>
          <w:lang w:val="en-GB"/>
        </w:rPr>
        <w:t>s</w:t>
      </w:r>
      <w:r w:rsidRPr="003E3613">
        <w:rPr>
          <w:rFonts w:ascii="Book Antiqua" w:hAnsi="Book Antiqua"/>
          <w:iCs/>
          <w:sz w:val="23"/>
          <w:szCs w:val="23"/>
          <w:lang w:val="en-GB"/>
        </w:rPr>
        <w:t xml:space="preserve">ing </w:t>
      </w:r>
      <w:r w:rsidR="007F1718" w:rsidRPr="003E3613">
        <w:rPr>
          <w:rFonts w:ascii="Book Antiqua" w:hAnsi="Book Antiqua"/>
          <w:iCs/>
          <w:sz w:val="23"/>
          <w:szCs w:val="23"/>
          <w:lang w:val="en-GB"/>
        </w:rPr>
        <w:t xml:space="preserve">and does not </w:t>
      </w:r>
      <w:r w:rsidRPr="003E3613">
        <w:rPr>
          <w:rFonts w:ascii="Book Antiqua" w:hAnsi="Book Antiqua"/>
          <w:iCs/>
          <w:sz w:val="23"/>
          <w:szCs w:val="23"/>
          <w:lang w:val="en-GB"/>
        </w:rPr>
        <w:t xml:space="preserve">include any negative value judgement. This way the legislation does not create any reputational burden for the organisations or their donors. </w:t>
      </w:r>
      <w:r w:rsidR="00540ECB" w:rsidRPr="003E3613">
        <w:rPr>
          <w:rFonts w:ascii="Book Antiqua" w:hAnsi="Book Antiqua"/>
          <w:iCs/>
          <w:sz w:val="23"/>
          <w:szCs w:val="23"/>
          <w:lang w:val="en-GB"/>
        </w:rPr>
        <w:t xml:space="preserve">The Parliamentary Assembly of the Council of Europe has also acknowledged in its </w:t>
      </w:r>
      <w:r w:rsidR="003C0E12" w:rsidRPr="003E3613">
        <w:rPr>
          <w:rFonts w:ascii="Book Antiqua" w:hAnsi="Book Antiqua"/>
          <w:iCs/>
          <w:sz w:val="23"/>
          <w:szCs w:val="23"/>
          <w:lang w:val="en-GB"/>
        </w:rPr>
        <w:t>R</w:t>
      </w:r>
      <w:r w:rsidR="00540ECB" w:rsidRPr="003E3613">
        <w:rPr>
          <w:rFonts w:ascii="Book Antiqua" w:hAnsi="Book Antiqua"/>
          <w:iCs/>
          <w:sz w:val="23"/>
          <w:szCs w:val="23"/>
          <w:lang w:val="en-GB"/>
        </w:rPr>
        <w:t xml:space="preserve">esolution 2162 (2017) that the Hungarian law </w:t>
      </w:r>
      <w:r w:rsidR="00540ECB" w:rsidRPr="003E3613">
        <w:rPr>
          <w:rFonts w:ascii="Book Antiqua" w:hAnsi="Book Antiqua"/>
          <w:iCs/>
          <w:sz w:val="23"/>
          <w:szCs w:val="23"/>
          <w:lang w:val="en-GB"/>
        </w:rPr>
        <w:lastRenderedPageBreak/>
        <w:t>did not include some of the controversial term</w:t>
      </w:r>
      <w:r w:rsidR="00EE376F" w:rsidRPr="003E3613">
        <w:rPr>
          <w:rFonts w:ascii="Book Antiqua" w:hAnsi="Book Antiqua"/>
          <w:iCs/>
          <w:sz w:val="23"/>
          <w:szCs w:val="23"/>
          <w:lang w:val="en-GB"/>
        </w:rPr>
        <w:t>s</w:t>
      </w:r>
      <w:r w:rsidR="00540ECB" w:rsidRPr="003E3613">
        <w:rPr>
          <w:rFonts w:ascii="Book Antiqua" w:hAnsi="Book Antiqua"/>
          <w:iCs/>
          <w:sz w:val="23"/>
          <w:szCs w:val="23"/>
          <w:lang w:val="en-GB"/>
        </w:rPr>
        <w:t xml:space="preserve"> ’foreign agent’ or the specific and thus discriminatory reference to NGOs which defend human rights, and that it provided for a judicial rather than administrative review. Consequently, </w:t>
      </w:r>
      <w:r w:rsidRPr="003E3613">
        <w:rPr>
          <w:rFonts w:ascii="Book Antiqua" w:hAnsi="Book Antiqua"/>
          <w:iCs/>
          <w:sz w:val="23"/>
          <w:szCs w:val="23"/>
          <w:lang w:val="en-GB"/>
        </w:rPr>
        <w:t>it</w:t>
      </w:r>
      <w:r w:rsidR="00540ECB" w:rsidRPr="003E3613">
        <w:rPr>
          <w:rFonts w:ascii="Book Antiqua" w:hAnsi="Book Antiqua"/>
          <w:iCs/>
          <w:sz w:val="23"/>
          <w:szCs w:val="23"/>
          <w:lang w:val="en-GB"/>
        </w:rPr>
        <w:t xml:space="preserve"> can </w:t>
      </w:r>
      <w:r w:rsidRPr="003E3613">
        <w:rPr>
          <w:rFonts w:ascii="Book Antiqua" w:hAnsi="Book Antiqua"/>
          <w:iCs/>
          <w:sz w:val="23"/>
          <w:szCs w:val="23"/>
          <w:lang w:val="en-GB"/>
        </w:rPr>
        <w:t>be</w:t>
      </w:r>
      <w:r w:rsidR="00540ECB" w:rsidRPr="003E3613">
        <w:rPr>
          <w:rFonts w:ascii="Book Antiqua" w:hAnsi="Book Antiqua"/>
          <w:iCs/>
          <w:sz w:val="23"/>
          <w:szCs w:val="23"/>
          <w:lang w:val="en-GB"/>
        </w:rPr>
        <w:t xml:space="preserve"> acknowledge</w:t>
      </w:r>
      <w:r w:rsidRPr="003E3613">
        <w:rPr>
          <w:rFonts w:ascii="Book Antiqua" w:hAnsi="Book Antiqua"/>
          <w:iCs/>
          <w:sz w:val="23"/>
          <w:szCs w:val="23"/>
          <w:lang w:val="en-GB"/>
        </w:rPr>
        <w:t>d</w:t>
      </w:r>
      <w:r w:rsidR="00540ECB" w:rsidRPr="003E3613">
        <w:rPr>
          <w:rFonts w:ascii="Book Antiqua" w:hAnsi="Book Antiqua"/>
          <w:iCs/>
          <w:sz w:val="23"/>
          <w:szCs w:val="23"/>
          <w:lang w:val="en-GB"/>
        </w:rPr>
        <w:t xml:space="preserve"> that the overall purpose of the </w:t>
      </w:r>
      <w:r w:rsidR="00CD2D8B" w:rsidRPr="003E3613">
        <w:rPr>
          <w:rFonts w:ascii="Book Antiqua" w:hAnsi="Book Antiqua"/>
          <w:iCs/>
          <w:sz w:val="23"/>
          <w:szCs w:val="23"/>
          <w:lang w:val="en-GB"/>
        </w:rPr>
        <w:t>a</w:t>
      </w:r>
      <w:r w:rsidR="00540ECB" w:rsidRPr="003E3613">
        <w:rPr>
          <w:rFonts w:ascii="Book Antiqua" w:hAnsi="Book Antiqua"/>
          <w:iCs/>
          <w:sz w:val="23"/>
          <w:szCs w:val="23"/>
          <w:lang w:val="en-GB"/>
        </w:rPr>
        <w:t>ct is in line with relevant international guidelines, including those elaborated under the a</w:t>
      </w:r>
      <w:r w:rsidR="00923FE8" w:rsidRPr="003E3613">
        <w:rPr>
          <w:rFonts w:ascii="Book Antiqua" w:hAnsi="Book Antiqua"/>
          <w:iCs/>
          <w:sz w:val="23"/>
          <w:szCs w:val="23"/>
          <w:lang w:val="en-GB"/>
        </w:rPr>
        <w:t>uspices of the Council of Europe.</w:t>
      </w:r>
    </w:p>
    <w:p w14:paraId="41E7DDB2" w14:textId="77777777" w:rsidR="00542BFE" w:rsidRPr="003E3613" w:rsidRDefault="00542BFE" w:rsidP="00204696">
      <w:pPr>
        <w:spacing w:after="0"/>
        <w:jc w:val="both"/>
        <w:rPr>
          <w:rFonts w:ascii="Book Antiqua" w:hAnsi="Book Antiqua"/>
          <w:sz w:val="23"/>
          <w:szCs w:val="23"/>
          <w:lang w:val="en-GB"/>
        </w:rPr>
      </w:pPr>
    </w:p>
    <w:p w14:paraId="7730DBDD" w14:textId="77777777" w:rsidR="00BC3543" w:rsidRPr="003E3613" w:rsidRDefault="00A35768" w:rsidP="00204696">
      <w:pPr>
        <w:spacing w:after="0"/>
        <w:jc w:val="both"/>
        <w:rPr>
          <w:rFonts w:ascii="Book Antiqua" w:hAnsi="Book Antiqua"/>
          <w:sz w:val="23"/>
          <w:szCs w:val="23"/>
          <w:lang w:val="en-GB"/>
        </w:rPr>
      </w:pPr>
      <w:r w:rsidRPr="003E3613">
        <w:rPr>
          <w:rFonts w:ascii="Book Antiqua" w:hAnsi="Book Antiqua"/>
          <w:sz w:val="23"/>
          <w:szCs w:val="23"/>
          <w:lang w:val="en-GB"/>
        </w:rPr>
        <w:t>As to the financing of NGOs, it should be noted that Hungary</w:t>
      </w:r>
      <w:r w:rsidR="00554D9C" w:rsidRPr="003E3613">
        <w:rPr>
          <w:rFonts w:ascii="Book Antiqua" w:hAnsi="Book Antiqua"/>
          <w:sz w:val="23"/>
          <w:szCs w:val="23"/>
          <w:lang w:val="en-GB"/>
        </w:rPr>
        <w:t xml:space="preserve"> </w:t>
      </w:r>
      <w:r w:rsidRPr="003E3613">
        <w:rPr>
          <w:rFonts w:ascii="Book Antiqua" w:hAnsi="Book Antiqua"/>
          <w:sz w:val="23"/>
          <w:szCs w:val="23"/>
          <w:lang w:val="en-GB"/>
        </w:rPr>
        <w:t xml:space="preserve">was the first </w:t>
      </w:r>
      <w:r w:rsidR="00EE376F" w:rsidRPr="003E3613">
        <w:rPr>
          <w:rFonts w:ascii="Book Antiqua" w:hAnsi="Book Antiqua"/>
          <w:sz w:val="23"/>
          <w:szCs w:val="23"/>
          <w:lang w:val="en-GB"/>
        </w:rPr>
        <w:t>C</w:t>
      </w:r>
      <w:r w:rsidRPr="003E3613">
        <w:rPr>
          <w:rFonts w:ascii="Book Antiqua" w:hAnsi="Book Antiqua"/>
          <w:sz w:val="23"/>
          <w:szCs w:val="23"/>
          <w:lang w:val="en-GB"/>
        </w:rPr>
        <w:t xml:space="preserve">entral-European country that </w:t>
      </w:r>
      <w:r w:rsidR="00A50FC8" w:rsidRPr="003E3613">
        <w:rPr>
          <w:rFonts w:ascii="Book Antiqua" w:hAnsi="Book Antiqua"/>
          <w:sz w:val="23"/>
          <w:szCs w:val="23"/>
          <w:lang w:val="en-GB"/>
        </w:rPr>
        <w:t xml:space="preserve">introduced </w:t>
      </w:r>
      <w:r w:rsidR="00EF14AD" w:rsidRPr="003E3613">
        <w:rPr>
          <w:rFonts w:ascii="Book Antiqua" w:hAnsi="Book Antiqua"/>
          <w:sz w:val="23"/>
          <w:szCs w:val="23"/>
          <w:lang w:val="en-GB"/>
        </w:rPr>
        <w:t xml:space="preserve">in 1996 </w:t>
      </w:r>
      <w:r w:rsidR="00A50FC8" w:rsidRPr="003E3613">
        <w:rPr>
          <w:rFonts w:ascii="Book Antiqua" w:hAnsi="Book Antiqua"/>
          <w:sz w:val="23"/>
          <w:szCs w:val="23"/>
          <w:lang w:val="en-GB"/>
        </w:rPr>
        <w:t>a specific mechanism to support the activity of NGOs.</w:t>
      </w:r>
      <w:r w:rsidR="00EF14AD" w:rsidRPr="003E3613">
        <w:rPr>
          <w:rStyle w:val="FootnoteReference"/>
          <w:rFonts w:ascii="Book Antiqua" w:hAnsi="Book Antiqua"/>
          <w:sz w:val="23"/>
          <w:szCs w:val="23"/>
          <w:lang w:val="en-GB"/>
        </w:rPr>
        <w:footnoteReference w:id="31"/>
      </w:r>
      <w:r w:rsidR="00554D9C" w:rsidRPr="003E3613">
        <w:rPr>
          <w:rFonts w:ascii="Book Antiqua" w:hAnsi="Book Antiqua"/>
          <w:sz w:val="23"/>
          <w:szCs w:val="23"/>
          <w:lang w:val="en-GB"/>
        </w:rPr>
        <w:t xml:space="preserve"> </w:t>
      </w:r>
      <w:r w:rsidR="00EF14AD" w:rsidRPr="003E3613">
        <w:rPr>
          <w:rFonts w:ascii="Book Antiqua" w:hAnsi="Book Antiqua"/>
          <w:sz w:val="23"/>
          <w:szCs w:val="23"/>
          <w:lang w:val="en-GB"/>
        </w:rPr>
        <w:t xml:space="preserve">Individual taxpayers – natural persons – may designate one percent of their income taxes paid to a qualified </w:t>
      </w:r>
      <w:r w:rsidR="00522CE5" w:rsidRPr="003E3613">
        <w:rPr>
          <w:rFonts w:ascii="Book Antiqua" w:hAnsi="Book Antiqua"/>
          <w:sz w:val="23"/>
          <w:szCs w:val="23"/>
          <w:lang w:val="en-GB"/>
        </w:rPr>
        <w:t>non-profit</w:t>
      </w:r>
      <w:r w:rsidR="00EF14AD" w:rsidRPr="003E3613">
        <w:rPr>
          <w:rFonts w:ascii="Book Antiqua" w:hAnsi="Book Antiqua"/>
          <w:sz w:val="23"/>
          <w:szCs w:val="23"/>
          <w:lang w:val="en-GB"/>
        </w:rPr>
        <w:t xml:space="preserve"> </w:t>
      </w:r>
      <w:r w:rsidR="00BD0A8B" w:rsidRPr="003E3613">
        <w:rPr>
          <w:rFonts w:ascii="Book Antiqua" w:hAnsi="Book Antiqua"/>
          <w:sz w:val="23"/>
          <w:szCs w:val="23"/>
          <w:lang w:val="en-GB"/>
        </w:rPr>
        <w:t>organisation</w:t>
      </w:r>
      <w:r w:rsidR="00EF14AD" w:rsidRPr="003E3613">
        <w:rPr>
          <w:rFonts w:ascii="Book Antiqua" w:hAnsi="Book Antiqua"/>
          <w:sz w:val="23"/>
          <w:szCs w:val="23"/>
          <w:lang w:val="en-GB"/>
        </w:rPr>
        <w:t xml:space="preserve"> and another one percent to a church. </w:t>
      </w:r>
      <w:r w:rsidR="00CB0481" w:rsidRPr="003E3613">
        <w:rPr>
          <w:rFonts w:ascii="Book Antiqua" w:hAnsi="Book Antiqua"/>
          <w:sz w:val="23"/>
          <w:szCs w:val="23"/>
          <w:lang w:val="en-GB"/>
        </w:rPr>
        <w:t xml:space="preserve">Experience shows that </w:t>
      </w:r>
      <w:r w:rsidR="002F7610" w:rsidRPr="003E3613">
        <w:rPr>
          <w:rFonts w:ascii="Book Antiqua" w:hAnsi="Book Antiqua"/>
          <w:sz w:val="23"/>
          <w:szCs w:val="23"/>
          <w:lang w:val="en-GB"/>
        </w:rPr>
        <w:t>this is an important source of financing for many NGO</w:t>
      </w:r>
      <w:r w:rsidR="00EE376F" w:rsidRPr="003E3613">
        <w:rPr>
          <w:rFonts w:ascii="Book Antiqua" w:hAnsi="Book Antiqua"/>
          <w:sz w:val="23"/>
          <w:szCs w:val="23"/>
          <w:lang w:val="en-GB"/>
        </w:rPr>
        <w:t>s</w:t>
      </w:r>
      <w:r w:rsidR="00A92393" w:rsidRPr="003E3613">
        <w:rPr>
          <w:rFonts w:ascii="Book Antiqua" w:hAnsi="Book Antiqua"/>
          <w:sz w:val="23"/>
          <w:szCs w:val="23"/>
          <w:lang w:val="en-GB"/>
        </w:rPr>
        <w:t>: in 2018, 8</w:t>
      </w:r>
      <w:r w:rsidR="00BC3543" w:rsidRPr="003E3613">
        <w:rPr>
          <w:rFonts w:ascii="Book Antiqua" w:hAnsi="Book Antiqua"/>
          <w:sz w:val="23"/>
          <w:szCs w:val="23"/>
          <w:lang w:val="en-GB"/>
        </w:rPr>
        <w:t>.</w:t>
      </w:r>
      <w:r w:rsidR="00A92393" w:rsidRPr="003E3613">
        <w:rPr>
          <w:rFonts w:ascii="Book Antiqua" w:hAnsi="Book Antiqua"/>
          <w:sz w:val="23"/>
          <w:szCs w:val="23"/>
          <w:lang w:val="en-GB"/>
        </w:rPr>
        <w:t>3 billion HUF was offered to 27 000 NGO-s by 1</w:t>
      </w:r>
      <w:r w:rsidR="00BC3543" w:rsidRPr="003E3613">
        <w:rPr>
          <w:rFonts w:ascii="Book Antiqua" w:hAnsi="Book Antiqua"/>
          <w:sz w:val="23"/>
          <w:szCs w:val="23"/>
          <w:lang w:val="en-GB"/>
        </w:rPr>
        <w:t>.</w:t>
      </w:r>
      <w:r w:rsidR="00A92393" w:rsidRPr="003E3613">
        <w:rPr>
          <w:rFonts w:ascii="Book Antiqua" w:hAnsi="Book Antiqua"/>
          <w:sz w:val="23"/>
          <w:szCs w:val="23"/>
          <w:lang w:val="en-GB"/>
        </w:rPr>
        <w:t>79 million Hungarian taxpayers. The amount of the donations exceeded the sum of the previous year’s 7</w:t>
      </w:r>
      <w:r w:rsidR="00BC3543" w:rsidRPr="003E3613">
        <w:rPr>
          <w:rFonts w:ascii="Book Antiqua" w:hAnsi="Book Antiqua"/>
          <w:sz w:val="23"/>
          <w:szCs w:val="23"/>
          <w:lang w:val="en-GB"/>
        </w:rPr>
        <w:t>.</w:t>
      </w:r>
      <w:r w:rsidR="00A92393" w:rsidRPr="003E3613">
        <w:rPr>
          <w:rFonts w:ascii="Book Antiqua" w:hAnsi="Book Antiqua"/>
          <w:sz w:val="23"/>
          <w:szCs w:val="23"/>
          <w:lang w:val="en-GB"/>
        </w:rPr>
        <w:t>8 billion HUF.</w:t>
      </w:r>
    </w:p>
    <w:p w14:paraId="286FA433" w14:textId="77777777" w:rsidR="00531BDA" w:rsidRPr="003E3613" w:rsidRDefault="00531BDA" w:rsidP="00204696">
      <w:pPr>
        <w:spacing w:after="0"/>
        <w:jc w:val="both"/>
        <w:rPr>
          <w:rFonts w:ascii="Book Antiqua" w:hAnsi="Book Antiqua"/>
          <w:sz w:val="23"/>
          <w:szCs w:val="23"/>
          <w:lang w:val="en-GB"/>
        </w:rPr>
      </w:pPr>
    </w:p>
    <w:p w14:paraId="5DFAF631" w14:textId="77777777" w:rsidR="00531BDA" w:rsidRPr="003E3613" w:rsidRDefault="0058683F" w:rsidP="00204696">
      <w:pPr>
        <w:autoSpaceDE w:val="0"/>
        <w:autoSpaceDN w:val="0"/>
        <w:adjustRightInd w:val="0"/>
        <w:spacing w:after="0"/>
        <w:jc w:val="both"/>
        <w:rPr>
          <w:rFonts w:ascii="Book Antiqua" w:hAnsi="Book Antiqua"/>
          <w:sz w:val="23"/>
          <w:szCs w:val="23"/>
          <w:lang w:val="en-GB"/>
        </w:rPr>
      </w:pPr>
      <w:r w:rsidRPr="003E3613">
        <w:rPr>
          <w:rFonts w:ascii="Book Antiqua" w:hAnsi="Book Antiqua"/>
          <w:sz w:val="23"/>
          <w:szCs w:val="23"/>
          <w:lang w:val="en-GB"/>
        </w:rPr>
        <w:t xml:space="preserve">The infringement procedure is </w:t>
      </w:r>
      <w:r w:rsidR="00531BDA" w:rsidRPr="003E3613">
        <w:rPr>
          <w:rFonts w:ascii="Book Antiqua" w:hAnsi="Book Antiqua"/>
          <w:sz w:val="23"/>
          <w:szCs w:val="23"/>
          <w:lang w:val="en-GB"/>
        </w:rPr>
        <w:t xml:space="preserve">currently pending before the </w:t>
      </w:r>
      <w:r w:rsidR="004F2416" w:rsidRPr="003E3613">
        <w:rPr>
          <w:rFonts w:ascii="Book Antiqua" w:hAnsi="Book Antiqua"/>
          <w:sz w:val="23"/>
          <w:szCs w:val="23"/>
          <w:lang w:val="en-GB"/>
        </w:rPr>
        <w:t>Court of Justice of the European Union. A hearing is expected to take place in the autumn of 2019. Following the hearing and the Advocate General’s opinion, the judgment is expected at the earliest at the beginning of 2020.</w:t>
      </w:r>
    </w:p>
    <w:p w14:paraId="7FC3A271" w14:textId="77777777" w:rsidR="00B57260" w:rsidRPr="003E3613" w:rsidRDefault="00B57260" w:rsidP="00204696">
      <w:pPr>
        <w:spacing w:after="0"/>
        <w:jc w:val="both"/>
        <w:rPr>
          <w:rFonts w:ascii="Book Antiqua" w:eastAsiaTheme="majorEastAsia" w:hAnsi="Book Antiqua" w:cstheme="majorBidi"/>
          <w:b/>
          <w:bCs/>
          <w:sz w:val="23"/>
          <w:szCs w:val="23"/>
          <w:lang w:val="en-GB"/>
        </w:rPr>
      </w:pPr>
    </w:p>
    <w:p w14:paraId="0F3BD7CB" w14:textId="77777777" w:rsidR="004D64FB" w:rsidRPr="003E3613" w:rsidRDefault="00396BD6" w:rsidP="00204696">
      <w:pPr>
        <w:pStyle w:val="Heading2"/>
        <w:keepNext w:val="0"/>
        <w:keepLines w:val="0"/>
        <w:spacing w:before="0"/>
        <w:rPr>
          <w:rFonts w:ascii="Book Antiqua" w:hAnsi="Book Antiqua"/>
          <w:iCs/>
          <w:color w:val="auto"/>
          <w:sz w:val="23"/>
          <w:szCs w:val="23"/>
          <w:lang w:val="en-GB"/>
        </w:rPr>
      </w:pPr>
      <w:bookmarkStart w:id="44" w:name="_Toc19120805"/>
      <w:r w:rsidRPr="003E3613">
        <w:rPr>
          <w:rFonts w:ascii="Book Antiqua" w:hAnsi="Book Antiqua"/>
          <w:color w:val="auto"/>
          <w:sz w:val="23"/>
          <w:szCs w:val="23"/>
          <w:lang w:val="en-GB"/>
        </w:rPr>
        <w:t>I</w:t>
      </w:r>
      <w:r w:rsidR="004D64FB" w:rsidRPr="003E3613">
        <w:rPr>
          <w:rFonts w:ascii="Book Antiqua" w:hAnsi="Book Antiqua"/>
          <w:color w:val="auto"/>
          <w:sz w:val="23"/>
          <w:szCs w:val="23"/>
          <w:lang w:val="en-GB"/>
        </w:rPr>
        <w:t>nterference with the freedom of association and expression</w:t>
      </w:r>
      <w:bookmarkEnd w:id="44"/>
    </w:p>
    <w:p w14:paraId="05D23B46" w14:textId="77777777" w:rsidR="004D64FB" w:rsidRPr="003E3613" w:rsidRDefault="004D64FB" w:rsidP="00204696">
      <w:pPr>
        <w:spacing w:after="0"/>
        <w:jc w:val="both"/>
        <w:rPr>
          <w:rFonts w:ascii="Book Antiqua" w:hAnsi="Book Antiqua"/>
          <w:iCs/>
          <w:sz w:val="23"/>
          <w:szCs w:val="23"/>
          <w:lang w:val="en-GB"/>
        </w:rPr>
      </w:pPr>
    </w:p>
    <w:p w14:paraId="6D38AC91"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52045A" w:rsidRPr="003E3613">
        <w:rPr>
          <w:rFonts w:ascii="Book Antiqua" w:hAnsi="Book Antiqua"/>
          <w:i/>
          <w:sz w:val="23"/>
          <w:szCs w:val="23"/>
          <w:lang w:val="en-GB"/>
        </w:rPr>
        <w:t>4</w:t>
      </w:r>
      <w:r w:rsidR="00660963" w:rsidRPr="003E3613">
        <w:rPr>
          <w:rFonts w:ascii="Book Antiqua" w:hAnsi="Book Antiqua"/>
          <w:i/>
          <w:sz w:val="23"/>
          <w:szCs w:val="23"/>
          <w:lang w:val="en-GB"/>
        </w:rPr>
        <w:t>2</w:t>
      </w:r>
      <w:r w:rsidRPr="003E3613">
        <w:rPr>
          <w:rFonts w:ascii="Book Antiqua" w:hAnsi="Book Antiqua"/>
          <w:i/>
          <w:sz w:val="23"/>
          <w:szCs w:val="23"/>
          <w:lang w:val="en-GB"/>
        </w:rPr>
        <w:t>) On 13 June 2017, the Hungarian Parliament adopted the draft law with several amendments. In its Opinion of 20 June 2017, the Venice Commission recognised that</w:t>
      </w:r>
      <w:r w:rsidR="0052045A" w:rsidRPr="003E3613">
        <w:rPr>
          <w:rFonts w:ascii="Book Antiqua" w:eastAsia="Calibri" w:hAnsi="Book Antiqua"/>
          <w:sz w:val="23"/>
          <w:szCs w:val="23"/>
          <w:lang w:val="en-GB" w:eastAsia="en-US"/>
        </w:rPr>
        <w:t xml:space="preserve"> </w:t>
      </w:r>
      <w:r w:rsidR="0052045A" w:rsidRPr="003E3613">
        <w:rPr>
          <w:rFonts w:ascii="Book Antiqua" w:hAnsi="Book Antiqua"/>
          <w:i/>
          <w:sz w:val="23"/>
          <w:szCs w:val="23"/>
          <w:lang w:val="en-GB"/>
        </w:rPr>
        <w:t>the term ‘organisation receiving support from abroad’ is neutral and descriptive, and</w:t>
      </w:r>
      <w:r w:rsidRPr="003E3613">
        <w:rPr>
          <w:rFonts w:ascii="Book Antiqua" w:hAnsi="Book Antiqua"/>
          <w:i/>
          <w:sz w:val="23"/>
          <w:szCs w:val="23"/>
          <w:lang w:val="en-GB"/>
        </w:rPr>
        <w:t xml:space="preserve"> some of those amendments represented an important improvement but at the same time some other concerns were not addressed and the amendments did not suffice to alleviate the concerns that the law would cause a disproportionate and unnecessary interference with the freedoms of association and expression, the right to privacy, and the prohibition of discrimination. In its concluding observations of 5 April 2018, the UN Human Rights Committee noted the lack of a sufficient justification for the imposition of those requirements, which appeared to be part of an attempt to discredit certain NGOs, including NGOs dedicated to the protection of human rights in Hungary.</w:t>
      </w:r>
    </w:p>
    <w:p w14:paraId="32412319" w14:textId="77777777" w:rsidR="00B9677E" w:rsidRPr="003E3613" w:rsidRDefault="00B9677E" w:rsidP="00204696">
      <w:pPr>
        <w:spacing w:after="0"/>
        <w:jc w:val="both"/>
        <w:rPr>
          <w:rFonts w:ascii="Book Antiqua" w:hAnsi="Book Antiqua"/>
          <w:i/>
          <w:sz w:val="23"/>
          <w:szCs w:val="23"/>
          <w:lang w:val="en-GB"/>
        </w:rPr>
      </w:pPr>
    </w:p>
    <w:p w14:paraId="07EC49A1" w14:textId="77777777" w:rsidR="00540ECB" w:rsidRPr="003E3613" w:rsidRDefault="00540ECB" w:rsidP="00204696">
      <w:pPr>
        <w:spacing w:after="0"/>
        <w:jc w:val="both"/>
        <w:rPr>
          <w:rFonts w:ascii="Book Antiqua" w:hAnsi="Book Antiqua"/>
          <w:iCs/>
          <w:sz w:val="23"/>
          <w:szCs w:val="23"/>
          <w:lang w:val="en-GB"/>
        </w:rPr>
      </w:pPr>
      <w:r w:rsidRPr="003E3613">
        <w:rPr>
          <w:rFonts w:ascii="Book Antiqua" w:hAnsi="Book Antiqua"/>
          <w:iCs/>
          <w:sz w:val="23"/>
          <w:szCs w:val="23"/>
          <w:lang w:val="en-GB"/>
        </w:rPr>
        <w:t>In Hungary more than 60</w:t>
      </w:r>
      <w:r w:rsidR="003C0E12" w:rsidRPr="003E3613">
        <w:rPr>
          <w:rFonts w:ascii="Book Antiqua" w:hAnsi="Book Antiqua"/>
          <w:iCs/>
          <w:sz w:val="23"/>
          <w:szCs w:val="23"/>
          <w:lang w:val="en-GB"/>
        </w:rPr>
        <w:t xml:space="preserve"> </w:t>
      </w:r>
      <w:r w:rsidRPr="003E3613">
        <w:rPr>
          <w:rFonts w:ascii="Book Antiqua" w:hAnsi="Book Antiqua"/>
          <w:iCs/>
          <w:sz w:val="23"/>
          <w:szCs w:val="23"/>
          <w:lang w:val="en-GB"/>
        </w:rPr>
        <w:t>000 NGOs are operating without problems though less than 1% of them seek to exert political influence without any kind of democratic accountability. NGOs are playing an important role in shaping public opinion and perception; this is well mirrored in the Preamble of the Act acknowledging their role in contributing to societal self-</w:t>
      </w:r>
      <w:r w:rsidR="00BD0A8B" w:rsidRPr="003E3613">
        <w:rPr>
          <w:rFonts w:ascii="Book Antiqua" w:hAnsi="Book Antiqua"/>
          <w:iCs/>
          <w:sz w:val="23"/>
          <w:szCs w:val="23"/>
          <w:lang w:val="en-GB"/>
        </w:rPr>
        <w:t>organisation</w:t>
      </w:r>
      <w:r w:rsidRPr="003E3613">
        <w:rPr>
          <w:rFonts w:ascii="Book Antiqua" w:hAnsi="Book Antiqua"/>
          <w:iCs/>
          <w:sz w:val="23"/>
          <w:szCs w:val="23"/>
          <w:lang w:val="en-GB"/>
        </w:rPr>
        <w:t>. Therefore</w:t>
      </w:r>
      <w:r w:rsidR="000C0096" w:rsidRPr="003E3613">
        <w:rPr>
          <w:rFonts w:ascii="Book Antiqua" w:hAnsi="Book Antiqua"/>
          <w:iCs/>
          <w:sz w:val="23"/>
          <w:szCs w:val="23"/>
          <w:lang w:val="en-GB"/>
        </w:rPr>
        <w:t>,</w:t>
      </w:r>
      <w:r w:rsidRPr="003E3613">
        <w:rPr>
          <w:rFonts w:ascii="Book Antiqua" w:hAnsi="Book Antiqua"/>
          <w:iCs/>
          <w:sz w:val="23"/>
          <w:szCs w:val="23"/>
          <w:lang w:val="en-GB"/>
        </w:rPr>
        <w:t xml:space="preserve"> there is a substantial public interest for the entire society to see what interests they represent. For this very reason the transparency of NGOs funded from abroad is an essential requirement from the aspect of rule of law. It must be highlighted that the Act does not prohibit funding from abroad and the operation of NGOs either; it merely makes </w:t>
      </w:r>
      <w:r w:rsidR="000C0096" w:rsidRPr="003E3613">
        <w:rPr>
          <w:rFonts w:ascii="Book Antiqua" w:hAnsi="Book Antiqua"/>
          <w:iCs/>
          <w:sz w:val="23"/>
          <w:szCs w:val="23"/>
          <w:lang w:val="en-GB"/>
        </w:rPr>
        <w:t xml:space="preserve">their </w:t>
      </w:r>
      <w:r w:rsidRPr="003E3613">
        <w:rPr>
          <w:rFonts w:ascii="Book Antiqua" w:hAnsi="Book Antiqua"/>
          <w:iCs/>
          <w:sz w:val="23"/>
          <w:szCs w:val="23"/>
          <w:lang w:val="en-GB"/>
        </w:rPr>
        <w:t>funding, transparent</w:t>
      </w:r>
      <w:r w:rsidR="000C0096" w:rsidRPr="003E3613">
        <w:rPr>
          <w:rFonts w:ascii="Book Antiqua" w:hAnsi="Book Antiqua"/>
          <w:iCs/>
          <w:sz w:val="23"/>
          <w:szCs w:val="23"/>
          <w:lang w:val="en-GB"/>
        </w:rPr>
        <w:t>, in conformity with the established principles of democracy</w:t>
      </w:r>
      <w:r w:rsidRPr="003E3613">
        <w:rPr>
          <w:rFonts w:ascii="Book Antiqua" w:hAnsi="Book Antiqua"/>
          <w:iCs/>
          <w:sz w:val="23"/>
          <w:szCs w:val="23"/>
          <w:lang w:val="en-GB"/>
        </w:rPr>
        <w:t>. Also, non-</w:t>
      </w:r>
      <w:r w:rsidRPr="003E3613">
        <w:rPr>
          <w:rFonts w:ascii="Book Antiqua" w:hAnsi="Book Antiqua"/>
          <w:iCs/>
          <w:sz w:val="23"/>
          <w:szCs w:val="23"/>
          <w:lang w:val="en-GB"/>
        </w:rPr>
        <w:lastRenderedPageBreak/>
        <w:t>governmental organisations are not persecuted for receiving financial assistance from abroad but they purely have to inform the public over a certain threshold</w:t>
      </w:r>
      <w:r w:rsidR="000C0096" w:rsidRPr="003E3613">
        <w:rPr>
          <w:rFonts w:ascii="Book Antiqua" w:hAnsi="Book Antiqua"/>
          <w:iCs/>
          <w:sz w:val="23"/>
          <w:szCs w:val="23"/>
          <w:lang w:val="en-GB"/>
        </w:rPr>
        <w:t xml:space="preserve"> sum</w:t>
      </w:r>
      <w:r w:rsidRPr="003E3613">
        <w:rPr>
          <w:rFonts w:ascii="Book Antiqua" w:hAnsi="Book Antiqua"/>
          <w:iCs/>
          <w:sz w:val="23"/>
          <w:szCs w:val="23"/>
          <w:lang w:val="en-GB"/>
        </w:rPr>
        <w:t xml:space="preserve">. </w:t>
      </w:r>
      <w:r w:rsidR="00934DD7" w:rsidRPr="003E3613">
        <w:rPr>
          <w:rFonts w:ascii="Book Antiqua" w:hAnsi="Book Antiqua"/>
          <w:iCs/>
          <w:sz w:val="23"/>
          <w:szCs w:val="23"/>
          <w:lang w:val="en-GB"/>
        </w:rPr>
        <w:t xml:space="preserve">Hence </w:t>
      </w:r>
      <w:r w:rsidRPr="003E3613">
        <w:rPr>
          <w:rFonts w:ascii="Book Antiqua" w:hAnsi="Book Antiqua"/>
          <w:iCs/>
          <w:sz w:val="23"/>
          <w:szCs w:val="23"/>
          <w:lang w:val="en-GB"/>
        </w:rPr>
        <w:t xml:space="preserve">the Act does not </w:t>
      </w:r>
      <w:r w:rsidR="000C0096" w:rsidRPr="003E3613">
        <w:rPr>
          <w:rFonts w:ascii="Book Antiqua" w:hAnsi="Book Antiqua"/>
          <w:iCs/>
          <w:sz w:val="23"/>
          <w:szCs w:val="23"/>
          <w:lang w:val="en-GB"/>
        </w:rPr>
        <w:t xml:space="preserve">adversely </w:t>
      </w:r>
      <w:r w:rsidRPr="003E3613">
        <w:rPr>
          <w:rFonts w:ascii="Book Antiqua" w:hAnsi="Book Antiqua"/>
          <w:iCs/>
          <w:sz w:val="23"/>
          <w:szCs w:val="23"/>
          <w:lang w:val="en-GB"/>
        </w:rPr>
        <w:t xml:space="preserve">affect the </w:t>
      </w:r>
      <w:r w:rsidR="000C0096" w:rsidRPr="003E3613">
        <w:rPr>
          <w:rFonts w:ascii="Book Antiqua" w:hAnsi="Book Antiqua"/>
          <w:iCs/>
          <w:sz w:val="23"/>
          <w:szCs w:val="23"/>
          <w:lang w:val="en-GB"/>
        </w:rPr>
        <w:t xml:space="preserve">essential content </w:t>
      </w:r>
      <w:r w:rsidRPr="003E3613">
        <w:rPr>
          <w:rFonts w:ascii="Book Antiqua" w:hAnsi="Book Antiqua"/>
          <w:iCs/>
          <w:sz w:val="23"/>
          <w:szCs w:val="23"/>
          <w:lang w:val="en-GB"/>
        </w:rPr>
        <w:t xml:space="preserve">of freedom of association. </w:t>
      </w:r>
    </w:p>
    <w:p w14:paraId="0ED16D46" w14:textId="77777777" w:rsidR="00540ECB" w:rsidRPr="003E3613" w:rsidRDefault="00540ECB" w:rsidP="00204696">
      <w:pPr>
        <w:spacing w:after="0"/>
        <w:jc w:val="both"/>
        <w:rPr>
          <w:rFonts w:ascii="Book Antiqua" w:hAnsi="Book Antiqua"/>
          <w:iCs/>
          <w:sz w:val="23"/>
          <w:szCs w:val="23"/>
          <w:lang w:val="en-GB"/>
        </w:rPr>
      </w:pPr>
    </w:p>
    <w:p w14:paraId="1359CA5C" w14:textId="31956D03" w:rsidR="00540ECB" w:rsidRPr="003E3613" w:rsidRDefault="00540ECB" w:rsidP="00204696">
      <w:pPr>
        <w:spacing w:after="0"/>
        <w:jc w:val="both"/>
        <w:rPr>
          <w:rFonts w:ascii="Book Antiqua" w:hAnsi="Book Antiqua"/>
          <w:iCs/>
          <w:sz w:val="23"/>
          <w:szCs w:val="23"/>
          <w:lang w:val="en-GB"/>
        </w:rPr>
      </w:pPr>
      <w:r w:rsidRPr="003E3613">
        <w:rPr>
          <w:rFonts w:ascii="Book Antiqua" w:hAnsi="Book Antiqua"/>
          <w:iCs/>
          <w:sz w:val="23"/>
          <w:szCs w:val="23"/>
          <w:lang w:val="en-GB"/>
        </w:rPr>
        <w:t>The Hungarian Parliament, having taken into consideration the recommendations of the</w:t>
      </w:r>
      <w:r w:rsidR="001D6A74" w:rsidRPr="001D6A74">
        <w:rPr>
          <w:rFonts w:ascii="Book Antiqua" w:hAnsi="Book Antiqua"/>
          <w:iCs/>
          <w:sz w:val="23"/>
          <w:szCs w:val="23"/>
          <w:lang w:val="en-GB"/>
        </w:rPr>
        <w:t xml:space="preserve"> </w:t>
      </w:r>
      <w:r w:rsidR="001D6A74" w:rsidRPr="003E3613">
        <w:rPr>
          <w:rFonts w:ascii="Book Antiqua" w:hAnsi="Book Antiqua"/>
          <w:iCs/>
          <w:sz w:val="23"/>
          <w:szCs w:val="23"/>
          <w:lang w:val="en-GB"/>
        </w:rPr>
        <w:t>Venice</w:t>
      </w:r>
      <w:r w:rsidRPr="003E3613">
        <w:rPr>
          <w:rFonts w:ascii="Book Antiqua" w:hAnsi="Book Antiqua"/>
          <w:iCs/>
          <w:sz w:val="23"/>
          <w:szCs w:val="23"/>
          <w:lang w:val="en-GB"/>
        </w:rPr>
        <w:t xml:space="preserve"> Commission</w:t>
      </w:r>
      <w:r w:rsidR="001D6A74">
        <w:rPr>
          <w:rFonts w:ascii="Book Antiqua" w:hAnsi="Book Antiqua"/>
          <w:iCs/>
          <w:sz w:val="23"/>
          <w:szCs w:val="23"/>
          <w:lang w:val="en-GB"/>
        </w:rPr>
        <w:t xml:space="preserve"> </w:t>
      </w:r>
      <w:r w:rsidR="001D6A74" w:rsidRPr="003E3613">
        <w:rPr>
          <w:rFonts w:ascii="Book Antiqua" w:hAnsi="Book Antiqua"/>
          <w:iCs/>
          <w:sz w:val="23"/>
          <w:szCs w:val="23"/>
          <w:lang w:val="en-GB"/>
        </w:rPr>
        <w:t>on the Hungarian Draft Law on the Transparency of Organisations Receiving Support from Abroad (hereafter: the Act)</w:t>
      </w:r>
      <w:r w:rsidRPr="003E3613">
        <w:rPr>
          <w:rFonts w:ascii="Book Antiqua" w:hAnsi="Book Antiqua"/>
          <w:iCs/>
          <w:sz w:val="23"/>
          <w:szCs w:val="23"/>
          <w:lang w:val="en-GB"/>
        </w:rPr>
        <w:t xml:space="preserve">, amended the original </w:t>
      </w:r>
      <w:r w:rsidR="00CD2D8B" w:rsidRPr="003E3613">
        <w:rPr>
          <w:rFonts w:ascii="Book Antiqua" w:hAnsi="Book Antiqua"/>
          <w:iCs/>
          <w:sz w:val="23"/>
          <w:szCs w:val="23"/>
          <w:lang w:val="en-GB"/>
        </w:rPr>
        <w:t>d</w:t>
      </w:r>
      <w:r w:rsidRPr="003E3613">
        <w:rPr>
          <w:rFonts w:ascii="Book Antiqua" w:hAnsi="Book Antiqua"/>
          <w:iCs/>
          <w:sz w:val="23"/>
          <w:szCs w:val="23"/>
          <w:lang w:val="en-GB"/>
        </w:rPr>
        <w:t xml:space="preserve">raft </w:t>
      </w:r>
      <w:r w:rsidR="00CD2D8B" w:rsidRPr="003E3613">
        <w:rPr>
          <w:rFonts w:ascii="Book Antiqua" w:hAnsi="Book Antiqua"/>
          <w:iCs/>
          <w:sz w:val="23"/>
          <w:szCs w:val="23"/>
          <w:lang w:val="en-GB"/>
        </w:rPr>
        <w:t>l</w:t>
      </w:r>
      <w:r w:rsidRPr="003E3613">
        <w:rPr>
          <w:rFonts w:ascii="Book Antiqua" w:hAnsi="Book Antiqua"/>
          <w:iCs/>
          <w:sz w:val="23"/>
          <w:szCs w:val="23"/>
          <w:lang w:val="en-GB"/>
        </w:rPr>
        <w:t xml:space="preserve">aw and reduced the period of deregistration from three to one year. This improvement, among others, demonstrates the readiness and willingness of the Hungarian </w:t>
      </w:r>
      <w:r w:rsidR="003C0E12" w:rsidRPr="003E3613">
        <w:rPr>
          <w:rFonts w:ascii="Book Antiqua" w:hAnsi="Book Antiqua"/>
          <w:iCs/>
          <w:sz w:val="23"/>
          <w:szCs w:val="23"/>
          <w:lang w:val="en-GB"/>
        </w:rPr>
        <w:t xml:space="preserve">Parliament </w:t>
      </w:r>
      <w:r w:rsidR="000C0096" w:rsidRPr="003E3613">
        <w:rPr>
          <w:rFonts w:ascii="Book Antiqua" w:hAnsi="Book Antiqua"/>
          <w:iCs/>
          <w:sz w:val="23"/>
          <w:szCs w:val="23"/>
          <w:lang w:val="en-GB"/>
        </w:rPr>
        <w:t>to</w:t>
      </w:r>
      <w:r w:rsidRPr="003E3613">
        <w:rPr>
          <w:rFonts w:ascii="Book Antiqua" w:hAnsi="Book Antiqua"/>
          <w:iCs/>
          <w:sz w:val="23"/>
          <w:szCs w:val="23"/>
          <w:lang w:val="en-GB"/>
        </w:rPr>
        <w:t xml:space="preserve"> concerns brought up in relation to the </w:t>
      </w:r>
      <w:r w:rsidR="00CD2D8B" w:rsidRPr="003E3613">
        <w:rPr>
          <w:rFonts w:ascii="Book Antiqua" w:hAnsi="Book Antiqua"/>
          <w:iCs/>
          <w:sz w:val="23"/>
          <w:szCs w:val="23"/>
          <w:lang w:val="en-GB"/>
        </w:rPr>
        <w:t>a</w:t>
      </w:r>
      <w:r w:rsidRPr="003E3613">
        <w:rPr>
          <w:rFonts w:ascii="Book Antiqua" w:hAnsi="Book Antiqua"/>
          <w:iCs/>
          <w:sz w:val="23"/>
          <w:szCs w:val="23"/>
          <w:lang w:val="en-GB"/>
        </w:rPr>
        <w:t xml:space="preserve">ct and thereby the claim of disproportionate and unnecessary interference </w:t>
      </w:r>
      <w:r w:rsidR="000C0096" w:rsidRPr="003E3613">
        <w:rPr>
          <w:rFonts w:ascii="Book Antiqua" w:hAnsi="Book Antiqua"/>
          <w:iCs/>
          <w:sz w:val="23"/>
          <w:szCs w:val="23"/>
          <w:lang w:val="en-GB"/>
        </w:rPr>
        <w:t>is overruled</w:t>
      </w:r>
      <w:r w:rsidRPr="003E3613">
        <w:rPr>
          <w:rFonts w:ascii="Book Antiqua" w:hAnsi="Book Antiqua"/>
          <w:iCs/>
          <w:sz w:val="23"/>
          <w:szCs w:val="23"/>
          <w:lang w:val="en-GB"/>
        </w:rPr>
        <w:t xml:space="preserve">. In its 2013 </w:t>
      </w:r>
      <w:r w:rsidRPr="003E3613">
        <w:rPr>
          <w:rFonts w:ascii="Book Antiqua" w:hAnsi="Book Antiqua"/>
          <w:sz w:val="23"/>
          <w:szCs w:val="23"/>
          <w:lang w:val="en-GB"/>
        </w:rPr>
        <w:t>Interim Opinion on the Draft Law on Civic Work Organisations of Egypt,</w:t>
      </w:r>
      <w:r w:rsidR="008F74C4" w:rsidRPr="003E3613">
        <w:rPr>
          <w:rFonts w:ascii="Book Antiqua" w:hAnsi="Book Antiqua"/>
          <w:sz w:val="23"/>
          <w:szCs w:val="23"/>
          <w:lang w:val="en-GB"/>
        </w:rPr>
        <w:t xml:space="preserve"> </w:t>
      </w:r>
      <w:r w:rsidR="008F74C4" w:rsidRPr="003E3613">
        <w:rPr>
          <w:rFonts w:ascii="Book Antiqua" w:hAnsi="Book Antiqua"/>
          <w:iCs/>
          <w:sz w:val="23"/>
          <w:szCs w:val="23"/>
          <w:lang w:val="en-GB"/>
        </w:rPr>
        <w:t xml:space="preserve">the Venice Commission explicitly acknowledged that </w:t>
      </w:r>
      <w:r w:rsidRPr="003E3613">
        <w:rPr>
          <w:rFonts w:ascii="Book Antiqua" w:hAnsi="Book Antiqua"/>
          <w:iCs/>
          <w:sz w:val="23"/>
          <w:szCs w:val="23"/>
          <w:lang w:val="en-GB"/>
        </w:rPr>
        <w:t>‘it is justified to require the utmost transparency in matters pertaining to foreign funding’. As a result, ensuring transparency is a legitimate aim and – unlike in Egypt – there is no restriction on receiving funding in the Hungarian case.</w:t>
      </w:r>
    </w:p>
    <w:p w14:paraId="76B4DA2D" w14:textId="77777777" w:rsidR="00FD2C9F" w:rsidRPr="003E3613" w:rsidRDefault="00FD2C9F" w:rsidP="00204696">
      <w:pPr>
        <w:spacing w:after="0"/>
        <w:jc w:val="both"/>
        <w:rPr>
          <w:rFonts w:ascii="Book Antiqua" w:hAnsi="Book Antiqua"/>
          <w:i/>
          <w:sz w:val="23"/>
          <w:szCs w:val="23"/>
          <w:lang w:val="en-GB"/>
        </w:rPr>
      </w:pPr>
    </w:p>
    <w:p w14:paraId="1322D761" w14:textId="77777777" w:rsidR="004D64FB" w:rsidRPr="003E3613" w:rsidRDefault="004D64FB" w:rsidP="00204696">
      <w:pPr>
        <w:pStyle w:val="Heading2"/>
        <w:keepNext w:val="0"/>
        <w:keepLines w:val="0"/>
        <w:spacing w:before="0"/>
        <w:rPr>
          <w:rFonts w:ascii="Book Antiqua" w:hAnsi="Book Antiqua"/>
          <w:color w:val="auto"/>
          <w:sz w:val="23"/>
          <w:szCs w:val="23"/>
          <w:lang w:val="en-GB"/>
        </w:rPr>
      </w:pPr>
      <w:bookmarkStart w:id="45" w:name="_Toc19120806"/>
      <w:r w:rsidRPr="003E3613">
        <w:rPr>
          <w:rFonts w:ascii="Book Antiqua" w:hAnsi="Book Antiqua"/>
          <w:color w:val="auto"/>
          <w:sz w:val="23"/>
          <w:szCs w:val="23"/>
          <w:lang w:val="en-GB"/>
        </w:rPr>
        <w:t>Transparency of Organisations Receiving Support from Abroad</w:t>
      </w:r>
      <w:bookmarkEnd w:id="45"/>
    </w:p>
    <w:p w14:paraId="3AAD4E6C" w14:textId="77777777" w:rsidR="004D64FB" w:rsidRPr="003E3613" w:rsidRDefault="004D64FB" w:rsidP="00204696">
      <w:pPr>
        <w:spacing w:after="0"/>
        <w:jc w:val="both"/>
        <w:rPr>
          <w:rFonts w:ascii="Book Antiqua" w:hAnsi="Book Antiqua"/>
          <w:i/>
          <w:sz w:val="23"/>
          <w:szCs w:val="23"/>
          <w:lang w:val="en-GB"/>
        </w:rPr>
      </w:pPr>
    </w:p>
    <w:p w14:paraId="25A66931"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52045A" w:rsidRPr="003E3613">
        <w:rPr>
          <w:rFonts w:ascii="Book Antiqua" w:hAnsi="Book Antiqua"/>
          <w:i/>
          <w:sz w:val="23"/>
          <w:szCs w:val="23"/>
          <w:lang w:val="en-GB"/>
        </w:rPr>
        <w:t>4</w:t>
      </w:r>
      <w:r w:rsidR="003A32D6" w:rsidRPr="003E3613">
        <w:rPr>
          <w:rFonts w:ascii="Book Antiqua" w:hAnsi="Book Antiqua"/>
          <w:i/>
          <w:sz w:val="23"/>
          <w:szCs w:val="23"/>
          <w:lang w:val="en-GB"/>
        </w:rPr>
        <w:t>3</w:t>
      </w:r>
      <w:r w:rsidRPr="003E3613">
        <w:rPr>
          <w:rFonts w:ascii="Book Antiqua" w:hAnsi="Book Antiqua"/>
          <w:i/>
          <w:sz w:val="23"/>
          <w:szCs w:val="23"/>
          <w:lang w:val="en-GB"/>
        </w:rPr>
        <w:t>) On 7 December 2017, the Commission decided to start legal proceedings against Hungary for failing to fulfil its obligations under the Treaty provisions on the free movement of capital, due to provisions in the NGO Law which</w:t>
      </w:r>
      <w:r w:rsidR="0052045A" w:rsidRPr="003E3613">
        <w:rPr>
          <w:rFonts w:ascii="Book Antiqua" w:hAnsi="Book Antiqua"/>
          <w:i/>
          <w:sz w:val="23"/>
          <w:szCs w:val="23"/>
          <w:lang w:val="en-GB"/>
        </w:rPr>
        <w:t xml:space="preserve"> in the view of the Commission,</w:t>
      </w:r>
      <w:r w:rsidRPr="003E3613">
        <w:rPr>
          <w:rFonts w:ascii="Book Antiqua" w:hAnsi="Book Antiqua"/>
          <w:i/>
          <w:sz w:val="23"/>
          <w:szCs w:val="23"/>
          <w:lang w:val="en-GB"/>
        </w:rPr>
        <w:t xml:space="preserve"> indirectly discriminate and disproportionately restrict donations from abroad to civil society organisations. In addition, the Commission </w:t>
      </w:r>
      <w:r w:rsidR="0052045A" w:rsidRPr="003E3613">
        <w:rPr>
          <w:rFonts w:ascii="Book Antiqua" w:hAnsi="Book Antiqua"/>
          <w:i/>
          <w:sz w:val="23"/>
          <w:szCs w:val="23"/>
          <w:lang w:val="en-GB"/>
        </w:rPr>
        <w:t xml:space="preserve">alleged </w:t>
      </w:r>
      <w:r w:rsidRPr="003E3613">
        <w:rPr>
          <w:rFonts w:ascii="Book Antiqua" w:hAnsi="Book Antiqua"/>
          <w:i/>
          <w:sz w:val="23"/>
          <w:szCs w:val="23"/>
          <w:lang w:val="en-GB"/>
        </w:rPr>
        <w:t>that Hungary had violated the right to freedom of association and the rights to protection of private life and personal data enshrined in the Charter, read in conjunction with the Treaty provisions on the free movement of capital</w:t>
      </w:r>
      <w:r w:rsidR="0052045A" w:rsidRPr="003E3613">
        <w:rPr>
          <w:rFonts w:ascii="Book Antiqua" w:hAnsi="Book Antiqua"/>
          <w:i/>
          <w:sz w:val="23"/>
          <w:szCs w:val="23"/>
          <w:lang w:val="en-GB"/>
        </w:rPr>
        <w:t>, defined in Article 26(2) and Articles 56 and 63 TFEU</w:t>
      </w:r>
      <w:r w:rsidRPr="003E3613">
        <w:rPr>
          <w:rFonts w:ascii="Book Antiqua" w:hAnsi="Book Antiqua"/>
          <w:i/>
          <w:sz w:val="23"/>
          <w:szCs w:val="23"/>
          <w:lang w:val="en-GB"/>
        </w:rPr>
        <w:t>.</w:t>
      </w:r>
    </w:p>
    <w:p w14:paraId="7C1E3C1D" w14:textId="77777777" w:rsidR="00FD2C9F" w:rsidRPr="003E3613" w:rsidRDefault="00FD2C9F" w:rsidP="00204696">
      <w:pPr>
        <w:spacing w:after="0"/>
        <w:jc w:val="both"/>
        <w:rPr>
          <w:rFonts w:ascii="Book Antiqua" w:hAnsi="Book Antiqua"/>
          <w:i/>
          <w:sz w:val="23"/>
          <w:szCs w:val="23"/>
          <w:lang w:val="en-GB"/>
        </w:rPr>
      </w:pPr>
    </w:p>
    <w:p w14:paraId="2EF51108" w14:textId="77777777" w:rsidR="00540ECB" w:rsidRPr="003E3613" w:rsidRDefault="00540ECB" w:rsidP="00204696">
      <w:pPr>
        <w:spacing w:after="0"/>
        <w:jc w:val="both"/>
        <w:rPr>
          <w:rFonts w:ascii="Book Antiqua" w:hAnsi="Book Antiqua"/>
          <w:iCs/>
          <w:sz w:val="23"/>
          <w:szCs w:val="23"/>
          <w:lang w:val="en-GB"/>
        </w:rPr>
      </w:pPr>
      <w:r w:rsidRPr="003E3613">
        <w:rPr>
          <w:rFonts w:ascii="Book Antiqua" w:hAnsi="Book Antiqua"/>
          <w:iCs/>
          <w:sz w:val="23"/>
          <w:szCs w:val="23"/>
          <w:lang w:val="en-GB"/>
        </w:rPr>
        <w:t>It is to be highlighted that the</w:t>
      </w:r>
      <w:r w:rsidR="000C0096" w:rsidRPr="003E3613">
        <w:rPr>
          <w:rFonts w:ascii="Book Antiqua" w:hAnsi="Book Antiqua"/>
          <w:iCs/>
          <w:sz w:val="23"/>
          <w:szCs w:val="23"/>
          <w:lang w:val="en-GB"/>
        </w:rPr>
        <w:t xml:space="preserve"> relevant</w:t>
      </w:r>
      <w:r w:rsidRPr="003E3613">
        <w:rPr>
          <w:rFonts w:ascii="Book Antiqua" w:hAnsi="Book Antiqua"/>
          <w:iCs/>
          <w:sz w:val="23"/>
          <w:szCs w:val="23"/>
          <w:lang w:val="en-GB"/>
        </w:rPr>
        <w:t xml:space="preserve"> infringement procedure is still pending and ultimately the C</w:t>
      </w:r>
      <w:r w:rsidR="00934DD7" w:rsidRPr="003E3613">
        <w:rPr>
          <w:rFonts w:ascii="Book Antiqua" w:hAnsi="Book Antiqua"/>
          <w:iCs/>
          <w:sz w:val="23"/>
          <w:szCs w:val="23"/>
          <w:lang w:val="en-GB"/>
        </w:rPr>
        <w:t xml:space="preserve">ourt of </w:t>
      </w:r>
      <w:r w:rsidRPr="003E3613">
        <w:rPr>
          <w:rFonts w:ascii="Book Antiqua" w:hAnsi="Book Antiqua"/>
          <w:iCs/>
          <w:sz w:val="23"/>
          <w:szCs w:val="23"/>
          <w:lang w:val="en-GB"/>
        </w:rPr>
        <w:t>J</w:t>
      </w:r>
      <w:r w:rsidR="00934DD7" w:rsidRPr="003E3613">
        <w:rPr>
          <w:rFonts w:ascii="Book Antiqua" w:hAnsi="Book Antiqua"/>
          <w:iCs/>
          <w:sz w:val="23"/>
          <w:szCs w:val="23"/>
          <w:lang w:val="en-GB"/>
        </w:rPr>
        <w:t xml:space="preserve">ustice </w:t>
      </w:r>
      <w:r w:rsidR="000C0096" w:rsidRPr="003E3613">
        <w:rPr>
          <w:rFonts w:ascii="Book Antiqua" w:hAnsi="Book Antiqua"/>
          <w:iCs/>
          <w:sz w:val="23"/>
          <w:szCs w:val="23"/>
          <w:lang w:val="en-GB"/>
        </w:rPr>
        <w:t xml:space="preserve">of the </w:t>
      </w:r>
      <w:r w:rsidR="00701049" w:rsidRPr="003E3613">
        <w:rPr>
          <w:rFonts w:ascii="Book Antiqua" w:hAnsi="Book Antiqua"/>
          <w:iCs/>
          <w:sz w:val="23"/>
          <w:szCs w:val="23"/>
          <w:lang w:val="en-GB"/>
        </w:rPr>
        <w:t xml:space="preserve">European Union </w:t>
      </w:r>
      <w:r w:rsidRPr="003E3613">
        <w:rPr>
          <w:rFonts w:ascii="Book Antiqua" w:hAnsi="Book Antiqua"/>
          <w:iCs/>
          <w:sz w:val="23"/>
          <w:szCs w:val="23"/>
          <w:lang w:val="en-GB"/>
        </w:rPr>
        <w:t>is competent to establish whether or not Hungary infringed EU law. In this respect, since the final outcome of the process is still unknown for each party, any statement assuming the violation of EU law is a mere allegation which can adversely affect Hungary’s political and legal interests. Moreover</w:t>
      </w:r>
      <w:r w:rsidR="000C0096" w:rsidRPr="003E3613">
        <w:rPr>
          <w:rFonts w:ascii="Book Antiqua" w:hAnsi="Book Antiqua"/>
          <w:iCs/>
          <w:sz w:val="23"/>
          <w:szCs w:val="23"/>
          <w:lang w:val="en-GB"/>
        </w:rPr>
        <w:t xml:space="preserve">, </w:t>
      </w:r>
      <w:r w:rsidRPr="003E3613">
        <w:rPr>
          <w:rFonts w:ascii="Book Antiqua" w:hAnsi="Book Antiqua"/>
          <w:iCs/>
          <w:sz w:val="23"/>
          <w:szCs w:val="23"/>
          <w:lang w:val="en-GB"/>
        </w:rPr>
        <w:t xml:space="preserve">the Commission did not call on the Hungarian Government to suspend the application of the Act. </w:t>
      </w:r>
    </w:p>
    <w:p w14:paraId="0A9B3A59" w14:textId="77777777" w:rsidR="003C0E12" w:rsidRPr="003E3613" w:rsidRDefault="003C0E12" w:rsidP="00204696">
      <w:pPr>
        <w:spacing w:after="0"/>
        <w:jc w:val="both"/>
        <w:rPr>
          <w:rFonts w:ascii="Book Antiqua" w:hAnsi="Book Antiqua"/>
          <w:iCs/>
          <w:sz w:val="23"/>
          <w:szCs w:val="23"/>
          <w:lang w:val="en-GB"/>
        </w:rPr>
      </w:pPr>
    </w:p>
    <w:p w14:paraId="001A2507" w14:textId="77777777" w:rsidR="00540ECB" w:rsidRPr="003E3613" w:rsidRDefault="00540ECB"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The Hungarian Parliament adopted the </w:t>
      </w:r>
      <w:r w:rsidR="000C0096" w:rsidRPr="003E3613">
        <w:rPr>
          <w:rFonts w:ascii="Book Antiqua" w:hAnsi="Book Antiqua"/>
          <w:iCs/>
          <w:sz w:val="23"/>
          <w:szCs w:val="23"/>
          <w:lang w:val="en-GB"/>
        </w:rPr>
        <w:t xml:space="preserve">Act </w:t>
      </w:r>
      <w:r w:rsidRPr="003E3613">
        <w:rPr>
          <w:rFonts w:ascii="Book Antiqua" w:hAnsi="Book Antiqua"/>
          <w:iCs/>
          <w:sz w:val="23"/>
          <w:szCs w:val="23"/>
          <w:lang w:val="en-GB"/>
        </w:rPr>
        <w:t xml:space="preserve">with certain amendments, reflecting to the recommendations of the Venice Commission which has analysed the compatibility of the </w:t>
      </w:r>
      <w:r w:rsidR="000C0096" w:rsidRPr="003E3613">
        <w:rPr>
          <w:rFonts w:ascii="Book Antiqua" w:hAnsi="Book Antiqua"/>
          <w:iCs/>
          <w:sz w:val="23"/>
          <w:szCs w:val="23"/>
          <w:lang w:val="en-GB"/>
        </w:rPr>
        <w:t>bill</w:t>
      </w:r>
      <w:r w:rsidRPr="003E3613">
        <w:rPr>
          <w:rFonts w:ascii="Book Antiqua" w:hAnsi="Book Antiqua"/>
          <w:iCs/>
          <w:sz w:val="23"/>
          <w:szCs w:val="23"/>
          <w:lang w:val="en-GB"/>
        </w:rPr>
        <w:t xml:space="preserve"> with the applicable Council of Europe standards. </w:t>
      </w:r>
      <w:r w:rsidR="000C0096" w:rsidRPr="003E3613">
        <w:rPr>
          <w:rFonts w:ascii="Book Antiqua" w:hAnsi="Book Antiqua"/>
          <w:iCs/>
          <w:sz w:val="23"/>
          <w:szCs w:val="23"/>
          <w:lang w:val="en-GB"/>
        </w:rPr>
        <w:t xml:space="preserve">Three </w:t>
      </w:r>
      <w:r w:rsidRPr="003E3613">
        <w:rPr>
          <w:rFonts w:ascii="Book Antiqua" w:hAnsi="Book Antiqua"/>
          <w:iCs/>
          <w:sz w:val="23"/>
          <w:szCs w:val="23"/>
          <w:lang w:val="en-GB"/>
        </w:rPr>
        <w:t xml:space="preserve">out of the </w:t>
      </w:r>
      <w:r w:rsidR="000C0096" w:rsidRPr="003E3613">
        <w:rPr>
          <w:rFonts w:ascii="Book Antiqua" w:hAnsi="Book Antiqua"/>
          <w:iCs/>
          <w:sz w:val="23"/>
          <w:szCs w:val="23"/>
          <w:lang w:val="en-GB"/>
        </w:rPr>
        <w:t xml:space="preserve">five </w:t>
      </w:r>
      <w:r w:rsidRPr="003E3613">
        <w:rPr>
          <w:rFonts w:ascii="Book Antiqua" w:hAnsi="Book Antiqua"/>
          <w:iCs/>
          <w:sz w:val="23"/>
          <w:szCs w:val="23"/>
          <w:lang w:val="en-GB"/>
        </w:rPr>
        <w:t xml:space="preserve">concerns raised were taken up in the final version of the </w:t>
      </w:r>
      <w:r w:rsidR="00CD2D8B" w:rsidRPr="003E3613">
        <w:rPr>
          <w:rFonts w:ascii="Book Antiqua" w:hAnsi="Book Antiqua"/>
          <w:iCs/>
          <w:sz w:val="23"/>
          <w:szCs w:val="23"/>
          <w:lang w:val="en-GB"/>
        </w:rPr>
        <w:t>act</w:t>
      </w:r>
      <w:r w:rsidRPr="003E3613">
        <w:rPr>
          <w:rFonts w:ascii="Book Antiqua" w:hAnsi="Book Antiqua"/>
          <w:iCs/>
          <w:sz w:val="23"/>
          <w:szCs w:val="23"/>
          <w:lang w:val="en-GB"/>
        </w:rPr>
        <w:t xml:space="preserve">, namely 1) inclusion of the proportionality principle for sanctions, 2) limiting the obligations to the major sponsors and 3) applying a one-year period for the deregistration procedure instead of 3 years. The Venice Commission recognised that these amendments represent an important improvement. </w:t>
      </w:r>
    </w:p>
    <w:p w14:paraId="060B35F8" w14:textId="77777777" w:rsidR="00540ECB" w:rsidRPr="003E3613" w:rsidRDefault="00540ECB" w:rsidP="00204696">
      <w:pPr>
        <w:spacing w:after="0"/>
        <w:jc w:val="both"/>
        <w:rPr>
          <w:rFonts w:ascii="Book Antiqua" w:hAnsi="Book Antiqua"/>
          <w:b/>
          <w:iCs/>
          <w:sz w:val="23"/>
          <w:szCs w:val="23"/>
          <w:lang w:val="en-GB"/>
        </w:rPr>
      </w:pPr>
    </w:p>
    <w:p w14:paraId="772215F3" w14:textId="323A1F94" w:rsidR="00540ECB" w:rsidRPr="003E3613" w:rsidRDefault="00540ECB" w:rsidP="00204696">
      <w:pPr>
        <w:spacing w:after="0"/>
        <w:jc w:val="both"/>
        <w:rPr>
          <w:rFonts w:ascii="Book Antiqua" w:hAnsi="Book Antiqua"/>
          <w:iCs/>
          <w:sz w:val="23"/>
          <w:szCs w:val="23"/>
          <w:lang w:val="en-GB"/>
        </w:rPr>
      </w:pPr>
      <w:r w:rsidRPr="003E3613">
        <w:rPr>
          <w:rFonts w:ascii="Book Antiqua" w:hAnsi="Book Antiqua"/>
          <w:iCs/>
          <w:sz w:val="23"/>
          <w:szCs w:val="23"/>
          <w:lang w:val="en-GB"/>
        </w:rPr>
        <w:lastRenderedPageBreak/>
        <w:t>In its response</w:t>
      </w:r>
      <w:r w:rsidR="008F74C4" w:rsidRPr="003E3613">
        <w:rPr>
          <w:rFonts w:ascii="Book Antiqua" w:hAnsi="Book Antiqua"/>
          <w:iCs/>
          <w:sz w:val="23"/>
          <w:szCs w:val="23"/>
          <w:lang w:val="en-GB"/>
        </w:rPr>
        <w:t>s</w:t>
      </w:r>
      <w:r w:rsidRPr="003E3613">
        <w:rPr>
          <w:rFonts w:ascii="Book Antiqua" w:hAnsi="Book Antiqua"/>
          <w:iCs/>
          <w:sz w:val="23"/>
          <w:szCs w:val="23"/>
          <w:lang w:val="en-GB"/>
        </w:rPr>
        <w:t xml:space="preserve"> to the Commission, in the course of the infringement procedure</w:t>
      </w:r>
      <w:r w:rsidR="008F74C4" w:rsidRPr="003E3613">
        <w:rPr>
          <w:rFonts w:ascii="Book Antiqua" w:hAnsi="Book Antiqua"/>
          <w:iCs/>
          <w:sz w:val="23"/>
          <w:szCs w:val="23"/>
          <w:lang w:val="en-GB"/>
        </w:rPr>
        <w:t xml:space="preserve"> and the ongoing court procedure</w:t>
      </w:r>
      <w:r w:rsidRPr="003E3613">
        <w:rPr>
          <w:rFonts w:ascii="Book Antiqua" w:hAnsi="Book Antiqua"/>
          <w:iCs/>
          <w:sz w:val="23"/>
          <w:szCs w:val="23"/>
          <w:lang w:val="en-GB"/>
        </w:rPr>
        <w:t>, the Hungarian Government highlighted that, according to</w:t>
      </w:r>
      <w:r w:rsidR="004D7C0E" w:rsidRPr="003E3613">
        <w:rPr>
          <w:rFonts w:ascii="Book Antiqua" w:hAnsi="Book Antiqua"/>
          <w:iCs/>
          <w:sz w:val="23"/>
          <w:szCs w:val="23"/>
          <w:lang w:val="en-GB"/>
        </w:rPr>
        <w:t xml:space="preserve"> the</w:t>
      </w:r>
      <w:r w:rsidR="000C0096" w:rsidRPr="003E3613">
        <w:rPr>
          <w:rFonts w:ascii="Book Antiqua" w:hAnsi="Book Antiqua"/>
          <w:iCs/>
          <w:sz w:val="23"/>
          <w:szCs w:val="23"/>
          <w:lang w:val="en-GB"/>
        </w:rPr>
        <w:t xml:space="preserve"> </w:t>
      </w:r>
      <w:r w:rsidRPr="003E3613">
        <w:rPr>
          <w:rFonts w:ascii="Book Antiqua" w:hAnsi="Book Antiqua"/>
          <w:iCs/>
          <w:sz w:val="23"/>
          <w:szCs w:val="23"/>
          <w:lang w:val="en-GB"/>
        </w:rPr>
        <w:t>case law</w:t>
      </w:r>
      <w:r w:rsidR="004D7C0E" w:rsidRPr="003E3613">
        <w:rPr>
          <w:rFonts w:ascii="Book Antiqua" w:hAnsi="Book Antiqua"/>
          <w:iCs/>
          <w:sz w:val="23"/>
          <w:szCs w:val="23"/>
          <w:lang w:val="en-GB"/>
        </w:rPr>
        <w:t xml:space="preserve"> of the Court of Justice</w:t>
      </w:r>
      <w:r w:rsidRPr="003E3613">
        <w:rPr>
          <w:rFonts w:ascii="Book Antiqua" w:hAnsi="Book Antiqua"/>
          <w:iCs/>
          <w:sz w:val="23"/>
          <w:szCs w:val="23"/>
          <w:lang w:val="en-GB"/>
        </w:rPr>
        <w:t>, a prior declaration or authori</w:t>
      </w:r>
      <w:r w:rsidR="00DF7C53">
        <w:rPr>
          <w:rFonts w:ascii="Book Antiqua" w:hAnsi="Book Antiqua"/>
          <w:iCs/>
          <w:sz w:val="23"/>
          <w:szCs w:val="23"/>
          <w:lang w:val="en-GB"/>
        </w:rPr>
        <w:t>s</w:t>
      </w:r>
      <w:r w:rsidRPr="003E3613">
        <w:rPr>
          <w:rFonts w:ascii="Book Antiqua" w:hAnsi="Book Antiqua"/>
          <w:iCs/>
          <w:sz w:val="23"/>
          <w:szCs w:val="23"/>
          <w:lang w:val="en-GB"/>
        </w:rPr>
        <w:t xml:space="preserve">ation may be deemed as a restriction </w:t>
      </w:r>
      <w:r w:rsidRPr="003E3613">
        <w:rPr>
          <w:rFonts w:ascii="Book Antiqua" w:hAnsi="Book Antiqua"/>
          <w:bCs/>
          <w:iCs/>
          <w:sz w:val="23"/>
          <w:szCs w:val="23"/>
          <w:lang w:val="en-GB"/>
        </w:rPr>
        <w:t xml:space="preserve">to the free movement of capital. </w:t>
      </w:r>
      <w:r w:rsidR="004452EC">
        <w:rPr>
          <w:rFonts w:ascii="Book Antiqua" w:hAnsi="Book Antiqua"/>
          <w:bCs/>
          <w:iCs/>
          <w:sz w:val="23"/>
          <w:szCs w:val="23"/>
          <w:lang w:val="en-GB"/>
        </w:rPr>
        <w:t>Altho</w:t>
      </w:r>
      <w:r w:rsidR="003167D9">
        <w:rPr>
          <w:rFonts w:ascii="Book Antiqua" w:hAnsi="Book Antiqua"/>
          <w:bCs/>
          <w:iCs/>
          <w:sz w:val="23"/>
          <w:szCs w:val="23"/>
          <w:lang w:val="en-GB"/>
        </w:rPr>
        <w:t>u</w:t>
      </w:r>
      <w:r w:rsidR="004452EC">
        <w:rPr>
          <w:rFonts w:ascii="Book Antiqua" w:hAnsi="Book Antiqua"/>
          <w:bCs/>
          <w:iCs/>
          <w:sz w:val="23"/>
          <w:szCs w:val="23"/>
          <w:lang w:val="en-GB"/>
        </w:rPr>
        <w:t>gh both could be seen as restrictions, t</w:t>
      </w:r>
      <w:r w:rsidRPr="003E3613">
        <w:rPr>
          <w:rFonts w:ascii="Book Antiqua" w:hAnsi="Book Antiqua"/>
          <w:bCs/>
          <w:iCs/>
          <w:sz w:val="23"/>
          <w:szCs w:val="23"/>
          <w:lang w:val="en-GB"/>
        </w:rPr>
        <w:t xml:space="preserve">he </w:t>
      </w:r>
      <w:r w:rsidR="004D7C0E" w:rsidRPr="003E3613">
        <w:rPr>
          <w:rFonts w:ascii="Book Antiqua" w:hAnsi="Book Antiqua"/>
          <w:bCs/>
          <w:iCs/>
          <w:sz w:val="23"/>
          <w:szCs w:val="23"/>
          <w:lang w:val="en-GB"/>
        </w:rPr>
        <w:t xml:space="preserve">Court of Justice </w:t>
      </w:r>
      <w:r w:rsidRPr="003E3613">
        <w:rPr>
          <w:rFonts w:ascii="Book Antiqua" w:hAnsi="Book Antiqua"/>
          <w:bCs/>
          <w:iCs/>
          <w:sz w:val="23"/>
          <w:szCs w:val="23"/>
          <w:lang w:val="en-GB"/>
        </w:rPr>
        <w:t xml:space="preserve">previously </w:t>
      </w:r>
      <w:r w:rsidR="004452EC">
        <w:rPr>
          <w:rFonts w:ascii="Book Antiqua" w:hAnsi="Book Antiqua"/>
          <w:bCs/>
          <w:iCs/>
          <w:sz w:val="23"/>
          <w:szCs w:val="23"/>
          <w:lang w:val="en-GB"/>
        </w:rPr>
        <w:t xml:space="preserve">also </w:t>
      </w:r>
      <w:r w:rsidRPr="003E3613">
        <w:rPr>
          <w:rFonts w:ascii="Book Antiqua" w:hAnsi="Book Antiqua"/>
          <w:bCs/>
          <w:iCs/>
          <w:sz w:val="23"/>
          <w:szCs w:val="23"/>
          <w:lang w:val="en-GB"/>
        </w:rPr>
        <w:t xml:space="preserve">held that while authorisation </w:t>
      </w:r>
      <w:r w:rsidR="004452EC">
        <w:rPr>
          <w:rFonts w:ascii="Book Antiqua" w:hAnsi="Book Antiqua"/>
          <w:bCs/>
          <w:iCs/>
          <w:sz w:val="23"/>
          <w:szCs w:val="23"/>
          <w:lang w:val="en-GB"/>
        </w:rPr>
        <w:t xml:space="preserve">may </w:t>
      </w:r>
      <w:r w:rsidRPr="003E3613">
        <w:rPr>
          <w:rFonts w:ascii="Book Antiqua" w:hAnsi="Book Antiqua"/>
          <w:bCs/>
          <w:iCs/>
          <w:sz w:val="23"/>
          <w:szCs w:val="23"/>
          <w:lang w:val="en-GB"/>
        </w:rPr>
        <w:t>n</w:t>
      </w:r>
      <w:r w:rsidR="004452EC">
        <w:rPr>
          <w:rFonts w:ascii="Book Antiqua" w:hAnsi="Book Antiqua"/>
          <w:bCs/>
          <w:iCs/>
          <w:sz w:val="23"/>
          <w:szCs w:val="23"/>
          <w:lang w:val="en-GB"/>
        </w:rPr>
        <w:t>ever</w:t>
      </w:r>
      <w:r w:rsidRPr="003E3613">
        <w:rPr>
          <w:rFonts w:ascii="Book Antiqua" w:hAnsi="Book Antiqua"/>
          <w:bCs/>
          <w:iCs/>
          <w:sz w:val="23"/>
          <w:szCs w:val="23"/>
          <w:lang w:val="en-GB"/>
        </w:rPr>
        <w:t xml:space="preserve"> </w:t>
      </w:r>
      <w:r w:rsidR="004452EC">
        <w:rPr>
          <w:rFonts w:ascii="Book Antiqua" w:hAnsi="Book Antiqua"/>
          <w:bCs/>
          <w:iCs/>
          <w:sz w:val="23"/>
          <w:szCs w:val="23"/>
          <w:lang w:val="en-GB"/>
        </w:rPr>
        <w:t xml:space="preserve">be </w:t>
      </w:r>
      <w:r w:rsidRPr="003E3613">
        <w:rPr>
          <w:rFonts w:ascii="Book Antiqua" w:hAnsi="Book Antiqua"/>
          <w:bCs/>
          <w:iCs/>
          <w:sz w:val="23"/>
          <w:szCs w:val="23"/>
          <w:lang w:val="en-GB"/>
        </w:rPr>
        <w:t>allowed,</w:t>
      </w:r>
      <w:r w:rsidRPr="003E3613">
        <w:rPr>
          <w:rFonts w:ascii="Book Antiqua" w:hAnsi="Book Antiqua"/>
          <w:iCs/>
          <w:sz w:val="23"/>
          <w:szCs w:val="23"/>
          <w:lang w:val="en-GB"/>
        </w:rPr>
        <w:t xml:space="preserve"> a prior declaration may be one of the proportionate measures which Member States are permitted to take since, unlike prior authorization, it does not entail suspension of the transaction in question but does still allow the national authorities to exercise effective supervision to prevent infringements of their laws and regulations.</w:t>
      </w:r>
    </w:p>
    <w:p w14:paraId="71B115F4" w14:textId="77777777" w:rsidR="00540ECB" w:rsidRPr="003E3613" w:rsidRDefault="00540ECB" w:rsidP="00204696">
      <w:pPr>
        <w:spacing w:after="0"/>
        <w:jc w:val="both"/>
        <w:rPr>
          <w:rFonts w:ascii="Book Antiqua" w:hAnsi="Book Antiqua"/>
          <w:iCs/>
          <w:sz w:val="23"/>
          <w:szCs w:val="23"/>
          <w:lang w:val="en-GB"/>
        </w:rPr>
      </w:pPr>
    </w:p>
    <w:p w14:paraId="31A4234F" w14:textId="77777777" w:rsidR="00540ECB" w:rsidRPr="003E3613" w:rsidRDefault="00540ECB" w:rsidP="00204696">
      <w:pPr>
        <w:spacing w:after="0"/>
        <w:jc w:val="both"/>
        <w:rPr>
          <w:rFonts w:ascii="Book Antiqua" w:hAnsi="Book Antiqua"/>
          <w:iCs/>
          <w:sz w:val="23"/>
          <w:szCs w:val="23"/>
          <w:lang w:val="en-GB"/>
        </w:rPr>
      </w:pPr>
      <w:r w:rsidRPr="003E3613">
        <w:rPr>
          <w:rFonts w:ascii="Book Antiqua" w:hAnsi="Book Antiqua"/>
          <w:iCs/>
          <w:sz w:val="23"/>
          <w:szCs w:val="23"/>
          <w:lang w:val="en-GB"/>
        </w:rPr>
        <w:t>Since the relevant Hungarian legislation calls for a report once the annual threshold is exceeded and yearly after</w:t>
      </w:r>
      <w:r w:rsidR="00AC124A" w:rsidRPr="003E3613">
        <w:rPr>
          <w:rFonts w:ascii="Book Antiqua" w:hAnsi="Book Antiqua"/>
          <w:iCs/>
          <w:sz w:val="23"/>
          <w:szCs w:val="23"/>
          <w:lang w:val="en-GB"/>
        </w:rPr>
        <w:t xml:space="preserve"> that</w:t>
      </w:r>
      <w:r w:rsidRPr="003E3613">
        <w:rPr>
          <w:rFonts w:ascii="Book Antiqua" w:hAnsi="Book Antiqua"/>
          <w:iCs/>
          <w:sz w:val="23"/>
          <w:szCs w:val="23"/>
          <w:lang w:val="en-GB"/>
        </w:rPr>
        <w:t xml:space="preserve"> (together with the annual report), it applies an even softer tool, namely posterior declaration. Such a rare obligation may not be seen as an administrative burden on organisations. Furthermore, a posterior declaration is conceptually not capable of restricting the movement of capital, as the latter has already taken place at the time of the declaration. It may </w:t>
      </w:r>
      <w:r w:rsidR="00AC124A" w:rsidRPr="003E3613">
        <w:rPr>
          <w:rFonts w:ascii="Book Antiqua" w:hAnsi="Book Antiqua"/>
          <w:iCs/>
          <w:sz w:val="23"/>
          <w:szCs w:val="23"/>
          <w:lang w:val="en-GB"/>
        </w:rPr>
        <w:t xml:space="preserve">thus </w:t>
      </w:r>
      <w:r w:rsidRPr="003E3613">
        <w:rPr>
          <w:rFonts w:ascii="Book Antiqua" w:hAnsi="Book Antiqua"/>
          <w:iCs/>
          <w:sz w:val="23"/>
          <w:szCs w:val="23"/>
          <w:lang w:val="en-GB"/>
        </w:rPr>
        <w:t xml:space="preserve">be concluded that the provision </w:t>
      </w:r>
      <w:r w:rsidR="00AC124A" w:rsidRPr="003E3613">
        <w:rPr>
          <w:rFonts w:ascii="Book Antiqua" w:hAnsi="Book Antiqua"/>
          <w:iCs/>
          <w:sz w:val="23"/>
          <w:szCs w:val="23"/>
          <w:lang w:val="en-GB"/>
        </w:rPr>
        <w:t xml:space="preserve">does </w:t>
      </w:r>
      <w:r w:rsidRPr="003E3613">
        <w:rPr>
          <w:rFonts w:ascii="Book Antiqua" w:hAnsi="Book Antiqua"/>
          <w:iCs/>
          <w:sz w:val="23"/>
          <w:szCs w:val="23"/>
          <w:lang w:val="en-GB"/>
        </w:rPr>
        <w:t>not qualify as a restriction to the</w:t>
      </w:r>
      <w:r w:rsidRPr="003E3613">
        <w:rPr>
          <w:rFonts w:ascii="Book Antiqua" w:hAnsi="Book Antiqua"/>
          <w:bCs/>
          <w:iCs/>
          <w:sz w:val="23"/>
          <w:szCs w:val="23"/>
          <w:lang w:val="en-GB"/>
        </w:rPr>
        <w:t xml:space="preserve"> free movement of capital</w:t>
      </w:r>
      <w:r w:rsidRPr="003E3613">
        <w:rPr>
          <w:rFonts w:ascii="Book Antiqua" w:hAnsi="Book Antiqua"/>
          <w:iCs/>
          <w:sz w:val="23"/>
          <w:szCs w:val="23"/>
          <w:lang w:val="en-GB"/>
        </w:rPr>
        <w:t>. Even if the restrictive nature may be established, the restrictions in question are necessary, proportionate and the least restrictive measures which are therefore compatible with EU law.</w:t>
      </w:r>
    </w:p>
    <w:p w14:paraId="00EB564F" w14:textId="77777777" w:rsidR="00540ECB" w:rsidRPr="003E3613" w:rsidRDefault="00540ECB" w:rsidP="00204696">
      <w:pPr>
        <w:spacing w:after="0"/>
        <w:jc w:val="both"/>
        <w:rPr>
          <w:rFonts w:ascii="Book Antiqua" w:hAnsi="Book Antiqua"/>
          <w:iCs/>
          <w:sz w:val="23"/>
          <w:szCs w:val="23"/>
          <w:lang w:val="en-GB"/>
        </w:rPr>
      </w:pPr>
    </w:p>
    <w:p w14:paraId="7A0F962B" w14:textId="77777777" w:rsidR="00660031" w:rsidRDefault="00540ECB"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Regarding the justified aim of the legislation (which was called into question by the Commission without sound reasoning, referring to transparency as the legislator’s ‘alleged aim’), it must be highlighted that even the Venice Commission agreed in its </w:t>
      </w:r>
      <w:r w:rsidR="00AC124A" w:rsidRPr="003E3613">
        <w:rPr>
          <w:rFonts w:ascii="Book Antiqua" w:hAnsi="Book Antiqua"/>
          <w:iCs/>
          <w:sz w:val="23"/>
          <w:szCs w:val="23"/>
          <w:lang w:val="en-GB"/>
        </w:rPr>
        <w:t>O</w:t>
      </w:r>
      <w:r w:rsidRPr="003E3613">
        <w:rPr>
          <w:rFonts w:ascii="Book Antiqua" w:hAnsi="Book Antiqua"/>
          <w:iCs/>
          <w:sz w:val="23"/>
          <w:szCs w:val="23"/>
          <w:lang w:val="en-GB"/>
        </w:rPr>
        <w:t xml:space="preserve">pinion </w:t>
      </w:r>
      <w:r w:rsidR="00AC124A" w:rsidRPr="003E3613">
        <w:rPr>
          <w:rFonts w:ascii="Book Antiqua" w:hAnsi="Book Antiqua"/>
          <w:iCs/>
          <w:sz w:val="23"/>
          <w:szCs w:val="23"/>
          <w:lang w:val="en-GB"/>
        </w:rPr>
        <w:t xml:space="preserve">No. 889/2017 </w:t>
      </w:r>
      <w:r w:rsidRPr="003E3613">
        <w:rPr>
          <w:rFonts w:ascii="Book Antiqua" w:hAnsi="Book Antiqua"/>
          <w:iCs/>
          <w:sz w:val="23"/>
          <w:szCs w:val="23"/>
          <w:lang w:val="en-GB"/>
        </w:rPr>
        <w:t xml:space="preserve">that ’ensuring transparency is also a legitimate aim. The Commission considers that transparency may on the one hand reveal the possible illicit origin of the financing (whether it is a result of a criminal activity or not), but also keep the public informed of the (legitimate) sources of financing of NGOs. It is also an instrument to ensure the regularity of the procedures followed for the financing, thus </w:t>
      </w:r>
    </w:p>
    <w:p w14:paraId="179B30C7" w14:textId="77777777" w:rsidR="00660031" w:rsidRDefault="00660031">
      <w:pPr>
        <w:rPr>
          <w:rFonts w:ascii="Book Antiqua" w:hAnsi="Book Antiqua"/>
          <w:iCs/>
          <w:sz w:val="23"/>
          <w:szCs w:val="23"/>
          <w:lang w:val="en-GB"/>
        </w:rPr>
      </w:pPr>
      <w:r>
        <w:rPr>
          <w:rFonts w:ascii="Book Antiqua" w:hAnsi="Book Antiqua"/>
          <w:iCs/>
          <w:sz w:val="23"/>
          <w:szCs w:val="23"/>
          <w:lang w:val="en-GB"/>
        </w:rPr>
        <w:br w:type="page"/>
      </w:r>
    </w:p>
    <w:p w14:paraId="5F5AC88C" w14:textId="4300FA9D" w:rsidR="00540ECB" w:rsidRPr="003E3613" w:rsidRDefault="00540ECB" w:rsidP="00204696">
      <w:pPr>
        <w:spacing w:after="0"/>
        <w:jc w:val="both"/>
        <w:rPr>
          <w:rFonts w:ascii="Book Antiqua" w:hAnsi="Book Antiqua"/>
          <w:i/>
          <w:iCs/>
          <w:sz w:val="23"/>
          <w:szCs w:val="23"/>
          <w:lang w:val="en-GB"/>
        </w:rPr>
      </w:pPr>
      <w:r w:rsidRPr="003E3613">
        <w:rPr>
          <w:rFonts w:ascii="Book Antiqua" w:hAnsi="Book Antiqua"/>
          <w:iCs/>
          <w:sz w:val="23"/>
          <w:szCs w:val="23"/>
          <w:lang w:val="en-GB"/>
        </w:rPr>
        <w:lastRenderedPageBreak/>
        <w:t xml:space="preserve">enabling the authorities to react and </w:t>
      </w:r>
      <w:r w:rsidR="00E939CC" w:rsidRPr="003E3613">
        <w:rPr>
          <w:rFonts w:ascii="Book Antiqua" w:hAnsi="Book Antiqua"/>
          <w:iCs/>
          <w:sz w:val="23"/>
          <w:szCs w:val="23"/>
          <w:lang w:val="en-GB"/>
        </w:rPr>
        <w:t xml:space="preserve">that </w:t>
      </w:r>
      <w:r w:rsidRPr="003E3613">
        <w:rPr>
          <w:rFonts w:ascii="Book Antiqua" w:hAnsi="Book Antiqua"/>
          <w:iCs/>
          <w:sz w:val="23"/>
          <w:szCs w:val="23"/>
          <w:lang w:val="en-GB"/>
        </w:rPr>
        <w:t xml:space="preserve">other NGOs possibly also </w:t>
      </w:r>
      <w:r w:rsidR="00E939CC" w:rsidRPr="003E3613">
        <w:rPr>
          <w:rFonts w:ascii="Book Antiqua" w:hAnsi="Book Antiqua"/>
          <w:iCs/>
          <w:sz w:val="23"/>
          <w:szCs w:val="23"/>
          <w:lang w:val="en-GB"/>
        </w:rPr>
        <w:t>apply</w:t>
      </w:r>
      <w:r w:rsidRPr="003E3613">
        <w:rPr>
          <w:rFonts w:ascii="Book Antiqua" w:hAnsi="Book Antiqua"/>
          <w:iCs/>
          <w:sz w:val="23"/>
          <w:szCs w:val="23"/>
          <w:lang w:val="en-GB"/>
        </w:rPr>
        <w:t xml:space="preserve"> for the funding. Transparency may therefore justify proportionate reporting and disclosure obligations imposed on the associations.’</w:t>
      </w:r>
    </w:p>
    <w:p w14:paraId="38CC9760" w14:textId="77777777" w:rsidR="00540ECB" w:rsidRPr="003E3613" w:rsidRDefault="00540ECB" w:rsidP="00204696">
      <w:pPr>
        <w:spacing w:after="0"/>
        <w:jc w:val="both"/>
        <w:rPr>
          <w:rFonts w:ascii="Book Antiqua" w:hAnsi="Book Antiqua"/>
          <w:iCs/>
          <w:sz w:val="23"/>
          <w:szCs w:val="23"/>
          <w:lang w:val="en-GB"/>
        </w:rPr>
      </w:pPr>
    </w:p>
    <w:p w14:paraId="1BD80E20" w14:textId="731ED3C7" w:rsidR="00540ECB" w:rsidRPr="003E3613" w:rsidRDefault="00540ECB"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The proportionality is supported by the fact that the NGOs are subject to the obligation of declaration only in case of individual transactions above </w:t>
      </w:r>
      <w:r w:rsidR="003C0E12" w:rsidRPr="003E3613">
        <w:rPr>
          <w:rFonts w:ascii="Book Antiqua" w:hAnsi="Book Antiqua"/>
          <w:iCs/>
          <w:sz w:val="23"/>
          <w:szCs w:val="23"/>
          <w:lang w:val="en-GB"/>
        </w:rPr>
        <w:t xml:space="preserve">HUF </w:t>
      </w:r>
      <w:r w:rsidRPr="003E3613">
        <w:rPr>
          <w:rFonts w:ascii="Book Antiqua" w:hAnsi="Book Antiqua"/>
          <w:iCs/>
          <w:sz w:val="23"/>
          <w:szCs w:val="23"/>
          <w:lang w:val="en-GB"/>
        </w:rPr>
        <w:t>500</w:t>
      </w:r>
      <w:r w:rsidR="003C0E12" w:rsidRPr="003E3613">
        <w:rPr>
          <w:rFonts w:ascii="Book Antiqua" w:hAnsi="Book Antiqua"/>
          <w:iCs/>
          <w:sz w:val="23"/>
          <w:szCs w:val="23"/>
          <w:lang w:val="en-GB"/>
        </w:rPr>
        <w:t xml:space="preserve"> </w:t>
      </w:r>
      <w:r w:rsidRPr="003E3613">
        <w:rPr>
          <w:rFonts w:ascii="Book Antiqua" w:hAnsi="Book Antiqua"/>
          <w:iCs/>
          <w:sz w:val="23"/>
          <w:szCs w:val="23"/>
          <w:lang w:val="en-GB"/>
        </w:rPr>
        <w:t xml:space="preserve">000 (approx. </w:t>
      </w:r>
      <w:r w:rsidR="003C0E12" w:rsidRPr="003E3613">
        <w:rPr>
          <w:rFonts w:ascii="Book Antiqua" w:hAnsi="Book Antiqua"/>
          <w:iCs/>
          <w:sz w:val="23"/>
          <w:szCs w:val="23"/>
          <w:lang w:val="en-GB"/>
        </w:rPr>
        <w:t xml:space="preserve">EUR </w:t>
      </w:r>
      <w:r w:rsidRPr="003E3613">
        <w:rPr>
          <w:rFonts w:ascii="Book Antiqua" w:hAnsi="Book Antiqua"/>
          <w:iCs/>
          <w:sz w:val="23"/>
          <w:szCs w:val="23"/>
          <w:lang w:val="en-GB"/>
        </w:rPr>
        <w:t>1</w:t>
      </w:r>
      <w:r w:rsidR="003C0E12" w:rsidRPr="003E3613">
        <w:rPr>
          <w:rFonts w:ascii="Book Antiqua" w:hAnsi="Book Antiqua"/>
          <w:iCs/>
          <w:sz w:val="23"/>
          <w:szCs w:val="23"/>
          <w:lang w:val="en-GB"/>
        </w:rPr>
        <w:t xml:space="preserve"> </w:t>
      </w:r>
      <w:r w:rsidRPr="003E3613">
        <w:rPr>
          <w:rFonts w:ascii="Book Antiqua" w:hAnsi="Book Antiqua"/>
          <w:iCs/>
          <w:sz w:val="23"/>
          <w:szCs w:val="23"/>
          <w:lang w:val="en-GB"/>
        </w:rPr>
        <w:t>600) if the foreign funding surpasses HUF 7.2 million</w:t>
      </w:r>
      <w:r w:rsidR="00AD57DE" w:rsidRPr="003E3613">
        <w:rPr>
          <w:rFonts w:ascii="Book Antiqua" w:hAnsi="Book Antiqua"/>
          <w:iCs/>
          <w:sz w:val="23"/>
          <w:szCs w:val="23"/>
          <w:lang w:val="en-GB"/>
        </w:rPr>
        <w:t xml:space="preserve"> (approx. EUR 2</w:t>
      </w:r>
      <w:r w:rsidR="009A0676">
        <w:rPr>
          <w:rFonts w:ascii="Book Antiqua" w:hAnsi="Book Antiqua"/>
          <w:iCs/>
          <w:sz w:val="23"/>
          <w:szCs w:val="23"/>
          <w:lang w:val="en-GB"/>
        </w:rPr>
        <w:t>2</w:t>
      </w:r>
      <w:r w:rsidR="00D61BD4" w:rsidRPr="003E3613">
        <w:rPr>
          <w:rFonts w:ascii="Book Antiqua" w:hAnsi="Book Antiqua"/>
          <w:iCs/>
          <w:sz w:val="23"/>
          <w:szCs w:val="23"/>
          <w:lang w:val="en-GB"/>
        </w:rPr>
        <w:t xml:space="preserve"> </w:t>
      </w:r>
      <w:r w:rsidR="00AD57DE" w:rsidRPr="003E3613">
        <w:rPr>
          <w:rFonts w:ascii="Book Antiqua" w:hAnsi="Book Antiqua"/>
          <w:iCs/>
          <w:sz w:val="23"/>
          <w:szCs w:val="23"/>
          <w:lang w:val="en-GB"/>
        </w:rPr>
        <w:t>000)</w:t>
      </w:r>
      <w:r w:rsidRPr="003E3613">
        <w:rPr>
          <w:rFonts w:ascii="Book Antiqua" w:hAnsi="Book Antiqua"/>
          <w:iCs/>
          <w:sz w:val="23"/>
          <w:szCs w:val="23"/>
          <w:lang w:val="en-GB"/>
        </w:rPr>
        <w:t xml:space="preserve"> per tax year</w:t>
      </w:r>
      <w:r w:rsidR="00E939CC" w:rsidRPr="003E3613">
        <w:rPr>
          <w:rFonts w:ascii="Book Antiqua" w:hAnsi="Book Antiqua"/>
          <w:iCs/>
          <w:sz w:val="23"/>
          <w:szCs w:val="23"/>
          <w:lang w:val="en-GB"/>
        </w:rPr>
        <w:t xml:space="preserve">, </w:t>
      </w:r>
      <w:r w:rsidR="00AC124A" w:rsidRPr="003E3613">
        <w:rPr>
          <w:rFonts w:ascii="Book Antiqua" w:hAnsi="Book Antiqua"/>
          <w:iCs/>
          <w:sz w:val="23"/>
          <w:szCs w:val="23"/>
          <w:lang w:val="en-GB"/>
        </w:rPr>
        <w:t xml:space="preserve">which amounts </w:t>
      </w:r>
      <w:r w:rsidR="00E939CC" w:rsidRPr="003E3613">
        <w:rPr>
          <w:rFonts w:ascii="Book Antiqua" w:hAnsi="Book Antiqua"/>
          <w:iCs/>
          <w:sz w:val="23"/>
          <w:szCs w:val="23"/>
          <w:lang w:val="en-GB"/>
        </w:rPr>
        <w:t>to the double of the threshold set by the anti-money laundering legislation</w:t>
      </w:r>
      <w:r w:rsidRPr="003E3613">
        <w:rPr>
          <w:rFonts w:ascii="Book Antiqua" w:hAnsi="Book Antiqua"/>
          <w:iCs/>
          <w:sz w:val="23"/>
          <w:szCs w:val="23"/>
          <w:lang w:val="en-GB"/>
        </w:rPr>
        <w:t>. As to the data protection concerns, those individuals who donate such amount are “entering public sphere” and are regarded as public players justifying that their name, amount of the donation and location data (country, city) become public.</w:t>
      </w:r>
    </w:p>
    <w:p w14:paraId="4AA2A9B5" w14:textId="77777777" w:rsidR="00472BD5" w:rsidRPr="003E3613" w:rsidRDefault="00472BD5" w:rsidP="00204696">
      <w:pPr>
        <w:spacing w:after="0"/>
        <w:jc w:val="both"/>
        <w:rPr>
          <w:rFonts w:ascii="Book Antiqua" w:hAnsi="Book Antiqua"/>
          <w:iCs/>
          <w:sz w:val="23"/>
          <w:szCs w:val="23"/>
          <w:lang w:val="en-GB"/>
        </w:rPr>
      </w:pPr>
    </w:p>
    <w:p w14:paraId="5D55548D" w14:textId="77777777" w:rsidR="00472BD5" w:rsidRPr="003E3613" w:rsidRDefault="00472BD5" w:rsidP="00204696">
      <w:pPr>
        <w:spacing w:after="0"/>
        <w:jc w:val="both"/>
        <w:rPr>
          <w:rFonts w:ascii="Book Antiqua" w:hAnsi="Book Antiqua"/>
          <w:iCs/>
          <w:sz w:val="23"/>
          <w:szCs w:val="23"/>
          <w:lang w:val="en-GB"/>
        </w:rPr>
      </w:pPr>
      <w:r w:rsidRPr="003E3613">
        <w:rPr>
          <w:rFonts w:ascii="Book Antiqua" w:hAnsi="Book Antiqua"/>
          <w:iCs/>
          <w:sz w:val="23"/>
          <w:szCs w:val="23"/>
          <w:lang w:val="en-GB"/>
        </w:rPr>
        <w:t>In addition, it must b</w:t>
      </w:r>
      <w:r w:rsidR="00752703" w:rsidRPr="003E3613">
        <w:rPr>
          <w:rFonts w:ascii="Book Antiqua" w:hAnsi="Book Antiqua"/>
          <w:iCs/>
          <w:sz w:val="23"/>
          <w:szCs w:val="23"/>
          <w:lang w:val="en-GB"/>
        </w:rPr>
        <w:t xml:space="preserve">e noted that the EU legislator </w:t>
      </w:r>
      <w:r w:rsidRPr="003E3613">
        <w:rPr>
          <w:rFonts w:ascii="Book Antiqua" w:hAnsi="Book Antiqua"/>
          <w:iCs/>
          <w:sz w:val="23"/>
          <w:szCs w:val="23"/>
          <w:lang w:val="en-GB"/>
        </w:rPr>
        <w:t xml:space="preserve">recognizes and applies </w:t>
      </w:r>
      <w:r w:rsidR="00752703" w:rsidRPr="003E3613">
        <w:rPr>
          <w:rFonts w:ascii="Book Antiqua" w:hAnsi="Book Antiqua"/>
          <w:iCs/>
          <w:sz w:val="23"/>
          <w:szCs w:val="23"/>
          <w:lang w:val="en-GB"/>
        </w:rPr>
        <w:t xml:space="preserve">similar rules with a view to enhance transparency on the EU level. </w:t>
      </w:r>
      <w:r w:rsidRPr="003E3613">
        <w:rPr>
          <w:rFonts w:ascii="Book Antiqua" w:hAnsi="Book Antiqua"/>
          <w:iCs/>
          <w:sz w:val="23"/>
          <w:szCs w:val="23"/>
          <w:lang w:val="en-GB"/>
        </w:rPr>
        <w:t xml:space="preserve">Regulation 1141/2014 contains </w:t>
      </w:r>
      <w:r w:rsidR="00752703" w:rsidRPr="003E3613">
        <w:rPr>
          <w:rFonts w:ascii="Book Antiqua" w:hAnsi="Book Antiqua"/>
          <w:iCs/>
          <w:sz w:val="23"/>
          <w:szCs w:val="23"/>
          <w:lang w:val="en-GB"/>
        </w:rPr>
        <w:t xml:space="preserve">several </w:t>
      </w:r>
      <w:r w:rsidRPr="003E3613">
        <w:rPr>
          <w:rFonts w:ascii="Book Antiqua" w:hAnsi="Book Antiqua"/>
          <w:iCs/>
          <w:sz w:val="23"/>
          <w:szCs w:val="23"/>
          <w:lang w:val="en-GB"/>
        </w:rPr>
        <w:t xml:space="preserve">provisions on transparency requirements for European political parties and political foundations </w:t>
      </w:r>
      <w:r w:rsidR="00752703" w:rsidRPr="003E3613">
        <w:rPr>
          <w:rFonts w:ascii="Book Antiqua" w:hAnsi="Book Antiqua"/>
          <w:iCs/>
          <w:sz w:val="23"/>
          <w:szCs w:val="23"/>
          <w:lang w:val="en-GB"/>
        </w:rPr>
        <w:t xml:space="preserve">and on 28 </w:t>
      </w:r>
      <w:r w:rsidRPr="003E3613">
        <w:rPr>
          <w:rFonts w:ascii="Book Antiqua" w:hAnsi="Book Antiqua"/>
          <w:iCs/>
          <w:sz w:val="23"/>
          <w:szCs w:val="23"/>
          <w:lang w:val="en-GB"/>
        </w:rPr>
        <w:t>September 2016 the Comm</w:t>
      </w:r>
      <w:r w:rsidR="00752703" w:rsidRPr="003E3613">
        <w:rPr>
          <w:rFonts w:ascii="Book Antiqua" w:hAnsi="Book Antiqua"/>
          <w:iCs/>
          <w:sz w:val="23"/>
          <w:szCs w:val="23"/>
          <w:lang w:val="en-GB"/>
        </w:rPr>
        <w:t>ission published its proposal</w:t>
      </w:r>
      <w:r w:rsidRPr="003E3613">
        <w:rPr>
          <w:rFonts w:ascii="Book Antiqua" w:hAnsi="Book Antiqua"/>
          <w:iCs/>
          <w:sz w:val="23"/>
          <w:szCs w:val="23"/>
          <w:lang w:val="en-GB"/>
        </w:rPr>
        <w:t xml:space="preserve"> for an Interinstitutional Agreement on </w:t>
      </w:r>
      <w:r w:rsidR="00752703" w:rsidRPr="003E3613">
        <w:rPr>
          <w:rFonts w:ascii="Book Antiqua" w:hAnsi="Book Antiqua"/>
          <w:iCs/>
          <w:sz w:val="23"/>
          <w:szCs w:val="23"/>
          <w:lang w:val="en-GB"/>
        </w:rPr>
        <w:t xml:space="preserve">a </w:t>
      </w:r>
      <w:r w:rsidRPr="003E3613">
        <w:rPr>
          <w:rFonts w:ascii="Book Antiqua" w:hAnsi="Book Antiqua"/>
          <w:iCs/>
          <w:sz w:val="23"/>
          <w:szCs w:val="23"/>
          <w:lang w:val="en-GB"/>
        </w:rPr>
        <w:t xml:space="preserve">Mandatory Transparency Register, some provisions of which entail a more restrictive </w:t>
      </w:r>
      <w:r w:rsidR="00752703" w:rsidRPr="003E3613">
        <w:rPr>
          <w:rFonts w:ascii="Book Antiqua" w:hAnsi="Book Antiqua"/>
          <w:iCs/>
          <w:sz w:val="23"/>
          <w:szCs w:val="23"/>
          <w:lang w:val="en-GB"/>
        </w:rPr>
        <w:t xml:space="preserve">approach than the Hungarian law, by </w:t>
      </w:r>
      <w:r w:rsidRPr="003E3613">
        <w:rPr>
          <w:rFonts w:ascii="Book Antiqua" w:hAnsi="Book Antiqua"/>
          <w:iCs/>
          <w:sz w:val="23"/>
          <w:szCs w:val="23"/>
          <w:lang w:val="en-GB"/>
        </w:rPr>
        <w:t>specifying prerequisites the various orga</w:t>
      </w:r>
      <w:r w:rsidR="00752703" w:rsidRPr="003E3613">
        <w:rPr>
          <w:rFonts w:ascii="Book Antiqua" w:hAnsi="Book Antiqua"/>
          <w:iCs/>
          <w:sz w:val="23"/>
          <w:szCs w:val="23"/>
          <w:lang w:val="en-GB"/>
        </w:rPr>
        <w:t xml:space="preserve">nisations must comply with and </w:t>
      </w:r>
      <w:r w:rsidRPr="003E3613">
        <w:rPr>
          <w:rFonts w:ascii="Book Antiqua" w:hAnsi="Book Antiqua"/>
          <w:iCs/>
          <w:sz w:val="23"/>
          <w:szCs w:val="23"/>
          <w:lang w:val="en-GB"/>
        </w:rPr>
        <w:t>setting a lower threshold for reporting obligations on subsidies received.</w:t>
      </w:r>
    </w:p>
    <w:p w14:paraId="2D999039" w14:textId="77777777" w:rsidR="003C0E12" w:rsidRPr="003E3613" w:rsidRDefault="003C0E12" w:rsidP="00204696">
      <w:pPr>
        <w:pStyle w:val="Heading2"/>
        <w:keepNext w:val="0"/>
        <w:keepLines w:val="0"/>
        <w:spacing w:before="0"/>
        <w:rPr>
          <w:rFonts w:ascii="Book Antiqua" w:hAnsi="Book Antiqua"/>
          <w:color w:val="auto"/>
          <w:sz w:val="23"/>
          <w:szCs w:val="23"/>
          <w:lang w:val="en-GB"/>
        </w:rPr>
      </w:pPr>
    </w:p>
    <w:p w14:paraId="773E9CDE" w14:textId="77777777" w:rsidR="008F74C4" w:rsidRPr="003E3613" w:rsidRDefault="008F74C4" w:rsidP="00204696">
      <w:pPr>
        <w:pStyle w:val="Heading2"/>
        <w:keepNext w:val="0"/>
        <w:keepLines w:val="0"/>
        <w:spacing w:before="0"/>
        <w:rPr>
          <w:rFonts w:ascii="Book Antiqua" w:hAnsi="Book Antiqua"/>
          <w:color w:val="auto"/>
          <w:sz w:val="23"/>
          <w:szCs w:val="23"/>
          <w:lang w:val="en-GB"/>
        </w:rPr>
      </w:pPr>
      <w:bookmarkStart w:id="46" w:name="_Toc19120807"/>
      <w:r w:rsidRPr="003E3613">
        <w:rPr>
          <w:rFonts w:ascii="Book Antiqua" w:hAnsi="Book Antiqua"/>
          <w:color w:val="auto"/>
          <w:sz w:val="23"/>
          <w:szCs w:val="23"/>
          <w:lang w:val="en-GB"/>
        </w:rPr>
        <w:t>The ‘Stop-Soros’ legislative package</w:t>
      </w:r>
      <w:bookmarkEnd w:id="46"/>
    </w:p>
    <w:p w14:paraId="3814D966" w14:textId="77777777" w:rsidR="00CC567C" w:rsidRPr="003E3613" w:rsidRDefault="00CC567C" w:rsidP="00204696">
      <w:pPr>
        <w:spacing w:after="0"/>
        <w:jc w:val="both"/>
        <w:rPr>
          <w:rFonts w:ascii="Book Antiqua" w:hAnsi="Book Antiqua"/>
          <w:i/>
          <w:sz w:val="23"/>
          <w:szCs w:val="23"/>
          <w:lang w:val="en-GB"/>
        </w:rPr>
      </w:pPr>
    </w:p>
    <w:p w14:paraId="12E4F580"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52045A" w:rsidRPr="003E3613">
        <w:rPr>
          <w:rFonts w:ascii="Book Antiqua" w:hAnsi="Book Antiqua"/>
          <w:i/>
          <w:sz w:val="23"/>
          <w:szCs w:val="23"/>
          <w:lang w:val="en-GB"/>
        </w:rPr>
        <w:t>4</w:t>
      </w:r>
      <w:r w:rsidR="000939C9" w:rsidRPr="003E3613">
        <w:rPr>
          <w:rFonts w:ascii="Book Antiqua" w:hAnsi="Book Antiqua"/>
          <w:i/>
          <w:sz w:val="23"/>
          <w:szCs w:val="23"/>
          <w:lang w:val="en-GB"/>
        </w:rPr>
        <w:t>4</w:t>
      </w:r>
      <w:r w:rsidRPr="003E3613">
        <w:rPr>
          <w:rFonts w:ascii="Book Antiqua" w:hAnsi="Book Antiqua"/>
          <w:i/>
          <w:sz w:val="23"/>
          <w:szCs w:val="23"/>
          <w:lang w:val="en-GB"/>
        </w:rPr>
        <w:t xml:space="preserve">) In February 2018, a legislative package consisting of three draft laws, (T/19776, T/19775, T/19774), was presented by the Hungarian Government. On 14 February 2018, the President of the Conference of INGOs of the Council of Europe and President of the Expert Council on NGO Law made a statement indicating that the package does not comply with the freedom of association, particularly for NGOs which deal with migrants. On 15 February 2018, the Council of Europe Commissioner for Human Rights expressed similar concerns. </w:t>
      </w:r>
      <w:r w:rsidR="0052045A" w:rsidRPr="003E3613">
        <w:rPr>
          <w:rFonts w:ascii="Book Antiqua" w:hAnsi="Book Antiqua"/>
          <w:i/>
          <w:sz w:val="23"/>
          <w:szCs w:val="23"/>
          <w:lang w:val="en-GB"/>
        </w:rPr>
        <w:t xml:space="preserve">On 8 March 2018, the UN Special Rapporteur on the promotion and protection of the right to freedom of opinion and expression, the Special Rapporteur on the situation of human rights defenders, the Independent Expert on human rights and international solidarity, the Special Rapporteur on the human rights of migrants, and the Special Rapporteur on contemporary forms of racism, racial discrimination, xenophobia and related intolerance warned that the bill would lead to undue restrictions on the freedom of association and the freedom of expression in Hungary. </w:t>
      </w:r>
      <w:r w:rsidRPr="003E3613">
        <w:rPr>
          <w:rFonts w:ascii="Book Antiqua" w:hAnsi="Book Antiqua"/>
          <w:i/>
          <w:sz w:val="23"/>
          <w:szCs w:val="23"/>
          <w:lang w:val="en-GB"/>
        </w:rPr>
        <w:t>In its concluding observations of 5 April 2018, the UN Human Rights Committee expressed concerns that by alluding to the “survival of the nation” and protection of citizens and culture, and by linking the work of NGOs to an alleged international conspiracy, the legislative package would stigmatise NGOs and curb their ability to carry out their important activities in support of human rights and, in particular, the rights of refugees, asylum seekers and migrants. It was further concerned that imposing restrictions on foreign funding directed to NGOs might be used to apply illegitimate pressure on them and to unjustifiably interfere with their activities.</w:t>
      </w:r>
      <w:r w:rsidR="0052045A" w:rsidRPr="003E3613">
        <w:rPr>
          <w:rFonts w:ascii="Book Antiqua" w:hAnsi="Book Antiqua"/>
          <w:i/>
          <w:sz w:val="23"/>
          <w:szCs w:val="23"/>
          <w:lang w:val="en-GB"/>
        </w:rPr>
        <w:t xml:space="preserve"> One of the draft laws aimed to tax any NGO funds received from outside Hungary, including Union funding, at a rate of 25 %; the legislative package would also deprive NGOs of a legal remedy to appeal against arbitrary decisions. On </w:t>
      </w:r>
      <w:r w:rsidR="0052045A" w:rsidRPr="003E3613">
        <w:rPr>
          <w:rFonts w:ascii="Book Antiqua" w:hAnsi="Book Antiqua"/>
          <w:i/>
          <w:sz w:val="23"/>
          <w:szCs w:val="23"/>
          <w:lang w:val="en-GB"/>
        </w:rPr>
        <w:lastRenderedPageBreak/>
        <w:t>22 March 2018, the Committee on Legal Affairs and Human Rights of the Parliamentary Assembly of the Council of Europe requested an opinion of the Venice Commission on the draft legislative package.</w:t>
      </w:r>
    </w:p>
    <w:p w14:paraId="74AAE200" w14:textId="77777777" w:rsidR="00B05D25" w:rsidRPr="003E3613" w:rsidRDefault="00B05D25" w:rsidP="00204696">
      <w:pPr>
        <w:spacing w:after="0"/>
        <w:jc w:val="both"/>
        <w:rPr>
          <w:rFonts w:ascii="Book Antiqua" w:hAnsi="Book Antiqua"/>
          <w:i/>
          <w:sz w:val="23"/>
          <w:szCs w:val="23"/>
          <w:lang w:val="en-GB"/>
        </w:rPr>
      </w:pPr>
    </w:p>
    <w:p w14:paraId="5AAD042C" w14:textId="77777777" w:rsidR="00FD7B29" w:rsidRPr="003E3613" w:rsidRDefault="00C817DD" w:rsidP="00204696">
      <w:pPr>
        <w:spacing w:after="0"/>
        <w:jc w:val="both"/>
        <w:rPr>
          <w:rFonts w:ascii="Book Antiqua" w:hAnsi="Book Antiqua"/>
          <w:sz w:val="23"/>
          <w:szCs w:val="23"/>
          <w:lang w:val="en-GB"/>
        </w:rPr>
      </w:pPr>
      <w:r w:rsidRPr="003E3613">
        <w:rPr>
          <w:rFonts w:ascii="Book Antiqua" w:hAnsi="Book Antiqua"/>
          <w:sz w:val="23"/>
          <w:szCs w:val="23"/>
          <w:lang w:val="en-GB"/>
        </w:rPr>
        <w:t>T</w:t>
      </w:r>
      <w:r w:rsidR="00FD7B29" w:rsidRPr="003E3613">
        <w:rPr>
          <w:rFonts w:ascii="Book Antiqua" w:hAnsi="Book Antiqua"/>
          <w:sz w:val="23"/>
          <w:szCs w:val="23"/>
          <w:lang w:val="en-GB"/>
        </w:rPr>
        <w:t xml:space="preserve">he new Hungarian Parliament did not adopt the above mentioned legislative package. </w:t>
      </w:r>
    </w:p>
    <w:p w14:paraId="3A85F4A9" w14:textId="77777777" w:rsidR="0052045A" w:rsidRPr="003E3613" w:rsidRDefault="0052045A" w:rsidP="00204696">
      <w:pPr>
        <w:spacing w:after="0"/>
        <w:jc w:val="both"/>
        <w:rPr>
          <w:rFonts w:ascii="Book Antiqua" w:hAnsi="Book Antiqua"/>
          <w:iCs/>
          <w:sz w:val="23"/>
          <w:szCs w:val="23"/>
          <w:lang w:val="en-GB"/>
        </w:rPr>
      </w:pPr>
    </w:p>
    <w:p w14:paraId="4007C7B8" w14:textId="77777777" w:rsidR="0052045A" w:rsidRPr="003E3613" w:rsidRDefault="0052045A" w:rsidP="00204696">
      <w:pPr>
        <w:spacing w:after="0"/>
        <w:jc w:val="both"/>
        <w:rPr>
          <w:rFonts w:ascii="Book Antiqua" w:hAnsi="Book Antiqua"/>
          <w:i/>
          <w:sz w:val="23"/>
          <w:szCs w:val="23"/>
          <w:lang w:val="en-GB"/>
        </w:rPr>
      </w:pPr>
      <w:r w:rsidRPr="003E3613">
        <w:rPr>
          <w:rFonts w:ascii="Book Antiqua" w:hAnsi="Book Antiqua"/>
          <w:i/>
          <w:sz w:val="23"/>
          <w:szCs w:val="23"/>
          <w:lang w:val="en-GB"/>
        </w:rPr>
        <w:t>(4</w:t>
      </w:r>
      <w:r w:rsidR="000939C9" w:rsidRPr="003E3613">
        <w:rPr>
          <w:rFonts w:ascii="Book Antiqua" w:hAnsi="Book Antiqua"/>
          <w:i/>
          <w:sz w:val="23"/>
          <w:szCs w:val="23"/>
          <w:lang w:val="en-GB"/>
        </w:rPr>
        <w:t>5</w:t>
      </w:r>
      <w:r w:rsidRPr="003E3613">
        <w:rPr>
          <w:rFonts w:ascii="Book Antiqua" w:hAnsi="Book Antiqua"/>
          <w:i/>
          <w:sz w:val="23"/>
          <w:szCs w:val="23"/>
          <w:lang w:val="en-GB"/>
        </w:rPr>
        <w:t>) On 29 May 2018, the Hungarian Government presented a draft law amending certain laws relating to measures to combat illegal immigration (T/333). The draft is a revised version of the previous legislative package and proposes criminal penalties for ‘facilitating illegal immigration’. The same day, the Office of the UN High Commissioner for Refugees called for the proposal to be withdrawn and expressed concern that those proposals, if passed, would deprive people who are forced to flee their homes of critical aid and services, and further inflame tense public discourse and rising xenophobic attitudes. On 1 June 2018, the Council of Europe Commissioner for Human Rights expressed similar concerns. On 31 May 2018, the Chair of the Committee on Legal Affairs and Human Rights of the Parliamentary Assembly of the Council of Europe confirmed the request for an opinion of the Venice Commission on the new proposal. The draft was adopted on 20 June 2018 before the delivery of the opinion of the Venice Commission. On 21 June 2018, the UN High Commissioner for Human Rights condemned the decision of the Hungarian Parliament. On 22 June 2018, the Venice Commission and the OSCE Office for Democratic Institutions and Human Rights indicated that the provision on criminal liability may chill protected organisational and expressive activity and infringes upon the right to freedom of association and expression and should, therefore, be repealed.</w:t>
      </w:r>
      <w:r w:rsidR="00394122" w:rsidRPr="003E3613">
        <w:rPr>
          <w:rFonts w:ascii="Book Antiqua" w:hAnsi="Book Antiqua"/>
          <w:sz w:val="23"/>
          <w:szCs w:val="23"/>
          <w:lang w:val="en-GB"/>
        </w:rPr>
        <w:t xml:space="preserve"> </w:t>
      </w:r>
      <w:r w:rsidR="00394122" w:rsidRPr="003E3613">
        <w:rPr>
          <w:rFonts w:ascii="Book Antiqua" w:hAnsi="Book Antiqua"/>
          <w:i/>
          <w:sz w:val="23"/>
          <w:szCs w:val="23"/>
          <w:lang w:val="en-GB"/>
        </w:rPr>
        <w:t>On 19 July 2018, the Commission sent a letter of formal notice to Hungary concerning new legislation that criminalises activities that support asylum and residence applications and further restricts the right to request asylum.</w:t>
      </w:r>
    </w:p>
    <w:p w14:paraId="0585ACE6" w14:textId="77777777" w:rsidR="00FD7B29" w:rsidRPr="003E3613" w:rsidRDefault="00FD7B29" w:rsidP="00204696">
      <w:pPr>
        <w:spacing w:after="0"/>
        <w:jc w:val="both"/>
        <w:rPr>
          <w:rFonts w:ascii="Book Antiqua" w:hAnsi="Book Antiqua"/>
          <w:i/>
          <w:sz w:val="23"/>
          <w:szCs w:val="23"/>
          <w:lang w:val="en-GB"/>
        </w:rPr>
      </w:pPr>
    </w:p>
    <w:p w14:paraId="744698DE" w14:textId="77777777" w:rsidR="002E286D" w:rsidRPr="003E3613" w:rsidRDefault="00284335"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At the 2018 parliamentary elections, voters delivered another </w:t>
      </w:r>
      <w:r w:rsidR="002E286D" w:rsidRPr="003E3613">
        <w:rPr>
          <w:rFonts w:ascii="Book Antiqua" w:hAnsi="Book Antiqua"/>
          <w:iCs/>
          <w:sz w:val="23"/>
          <w:szCs w:val="23"/>
          <w:lang w:val="en-GB"/>
        </w:rPr>
        <w:t xml:space="preserve">two-thirds </w:t>
      </w:r>
      <w:r w:rsidR="003C0E12" w:rsidRPr="003E3613">
        <w:rPr>
          <w:rFonts w:ascii="Book Antiqua" w:hAnsi="Book Antiqua"/>
          <w:iCs/>
          <w:sz w:val="23"/>
          <w:szCs w:val="23"/>
          <w:lang w:val="en-GB"/>
        </w:rPr>
        <w:t xml:space="preserve">majority </w:t>
      </w:r>
      <w:r w:rsidRPr="003E3613">
        <w:rPr>
          <w:rFonts w:ascii="Book Antiqua" w:hAnsi="Book Antiqua"/>
          <w:iCs/>
          <w:sz w:val="23"/>
          <w:szCs w:val="23"/>
          <w:lang w:val="en-GB"/>
        </w:rPr>
        <w:t xml:space="preserve">to the governing parties and a strong mandate to take measures in order to safeguard Hungary’s security and tighten regulations to counter illegal migration. With that mandate, on 20 June, </w:t>
      </w:r>
      <w:r w:rsidR="007C498C" w:rsidRPr="003E3613">
        <w:rPr>
          <w:rFonts w:ascii="Book Antiqua" w:hAnsi="Book Antiqua"/>
          <w:iCs/>
          <w:sz w:val="23"/>
          <w:szCs w:val="23"/>
          <w:lang w:val="en-GB"/>
        </w:rPr>
        <w:t xml:space="preserve">the </w:t>
      </w:r>
      <w:r w:rsidRPr="003E3613">
        <w:rPr>
          <w:rFonts w:ascii="Book Antiqua" w:hAnsi="Book Antiqua"/>
          <w:iCs/>
          <w:sz w:val="23"/>
          <w:szCs w:val="23"/>
          <w:lang w:val="en-GB"/>
        </w:rPr>
        <w:t>Parliament adopted the STOP Soros legislative package</w:t>
      </w:r>
      <w:r w:rsidR="002E286D" w:rsidRPr="003E3613">
        <w:rPr>
          <w:rFonts w:ascii="Book Antiqua" w:hAnsi="Book Antiqua"/>
          <w:iCs/>
          <w:sz w:val="23"/>
          <w:szCs w:val="23"/>
          <w:lang w:val="en-GB"/>
        </w:rPr>
        <w:t xml:space="preserve"> (Act VI of 2018 on amending certain acts with respect to measures combating illegal migration)</w:t>
      </w:r>
      <w:r w:rsidRPr="003E3613">
        <w:rPr>
          <w:rFonts w:ascii="Book Antiqua" w:hAnsi="Book Antiqua"/>
          <w:iCs/>
          <w:sz w:val="23"/>
          <w:szCs w:val="23"/>
          <w:lang w:val="en-GB"/>
        </w:rPr>
        <w:t>. The package responds to a growing concern among Hungarian voters and citizens throughout Europe, that security, both internal and external, must be a top priority. Considering that the lack of transparency in the non-governmental sector is not unique to our country and that many other Member States struggle with it, Hungary joins a handful of countries that lead the way in creating reasonable regulations that protect citizens. The package puts forward a more rigorous response by declaring illegal immigration a threat to Hungary’s national security. Anyone involved</w:t>
      </w:r>
      <w:r w:rsidR="002E286D" w:rsidRPr="003E3613">
        <w:rPr>
          <w:rFonts w:ascii="Book Antiqua" w:hAnsi="Book Antiqua"/>
          <w:iCs/>
          <w:sz w:val="23"/>
          <w:szCs w:val="23"/>
          <w:lang w:val="en-GB"/>
        </w:rPr>
        <w:t xml:space="preserve"> </w:t>
      </w:r>
      <w:r w:rsidR="00BC3543" w:rsidRPr="003E3613">
        <w:rPr>
          <w:rFonts w:ascii="Book Antiqua" w:hAnsi="Book Antiqua"/>
          <w:iCs/>
          <w:sz w:val="23"/>
          <w:szCs w:val="23"/>
          <w:lang w:val="en-GB"/>
        </w:rPr>
        <w:t xml:space="preserve">in </w:t>
      </w:r>
      <w:r w:rsidR="002E286D" w:rsidRPr="003E3613">
        <w:rPr>
          <w:rFonts w:ascii="Book Antiqua" w:hAnsi="Book Antiqua"/>
          <w:iCs/>
          <w:sz w:val="23"/>
          <w:szCs w:val="23"/>
          <w:lang w:val="en-GB"/>
        </w:rPr>
        <w:t xml:space="preserve">the </w:t>
      </w:r>
      <w:r w:rsidR="00BD0A8B" w:rsidRPr="003E3613">
        <w:rPr>
          <w:rFonts w:ascii="Book Antiqua" w:hAnsi="Book Antiqua"/>
          <w:iCs/>
          <w:sz w:val="23"/>
          <w:szCs w:val="23"/>
          <w:lang w:val="en-GB"/>
        </w:rPr>
        <w:t>organisation</w:t>
      </w:r>
      <w:r w:rsidR="002E286D" w:rsidRPr="003E3613">
        <w:rPr>
          <w:rFonts w:ascii="Book Antiqua" w:hAnsi="Book Antiqua"/>
          <w:iCs/>
          <w:sz w:val="23"/>
          <w:szCs w:val="23"/>
          <w:lang w:val="en-GB"/>
        </w:rPr>
        <w:t xml:space="preserve"> of </w:t>
      </w:r>
      <w:r w:rsidRPr="003E3613">
        <w:rPr>
          <w:rFonts w:ascii="Book Antiqua" w:hAnsi="Book Antiqua"/>
          <w:iCs/>
          <w:sz w:val="23"/>
          <w:szCs w:val="23"/>
          <w:lang w:val="en-GB"/>
        </w:rPr>
        <w:t>aiding or abetting illegal migration will be committing a criminal offen</w:t>
      </w:r>
      <w:r w:rsidR="00AE3084" w:rsidRPr="003E3613">
        <w:rPr>
          <w:rFonts w:ascii="Book Antiqua" w:hAnsi="Book Antiqua"/>
          <w:iCs/>
          <w:sz w:val="23"/>
          <w:szCs w:val="23"/>
          <w:lang w:val="en-GB"/>
        </w:rPr>
        <w:t>c</w:t>
      </w:r>
      <w:r w:rsidRPr="003E3613">
        <w:rPr>
          <w:rFonts w:ascii="Book Antiqua" w:hAnsi="Book Antiqua"/>
          <w:iCs/>
          <w:sz w:val="23"/>
          <w:szCs w:val="23"/>
          <w:lang w:val="en-GB"/>
        </w:rPr>
        <w:t xml:space="preserve">e. The comprehensive legislation includes amendments to the Police Act, the </w:t>
      </w:r>
      <w:r w:rsidR="002E286D" w:rsidRPr="003E3613">
        <w:rPr>
          <w:rFonts w:ascii="Book Antiqua" w:hAnsi="Book Antiqua"/>
          <w:iCs/>
          <w:sz w:val="23"/>
          <w:szCs w:val="23"/>
          <w:lang w:val="en-GB"/>
        </w:rPr>
        <w:t xml:space="preserve">Criminal </w:t>
      </w:r>
      <w:r w:rsidRPr="003E3613">
        <w:rPr>
          <w:rFonts w:ascii="Book Antiqua" w:hAnsi="Book Antiqua"/>
          <w:iCs/>
          <w:sz w:val="23"/>
          <w:szCs w:val="23"/>
          <w:lang w:val="en-GB"/>
        </w:rPr>
        <w:t xml:space="preserve">Code, the Act on Asylum, the Act on the State Border and the Act on </w:t>
      </w:r>
      <w:r w:rsidR="00522CE5" w:rsidRPr="003E3613">
        <w:rPr>
          <w:rFonts w:ascii="Book Antiqua" w:hAnsi="Book Antiqua"/>
          <w:iCs/>
          <w:sz w:val="23"/>
          <w:szCs w:val="23"/>
          <w:lang w:val="en-GB"/>
        </w:rPr>
        <w:t>Misdemeanours</w:t>
      </w:r>
      <w:r w:rsidRPr="003E3613">
        <w:rPr>
          <w:rFonts w:ascii="Book Antiqua" w:hAnsi="Book Antiqua"/>
          <w:iCs/>
          <w:sz w:val="23"/>
          <w:szCs w:val="23"/>
          <w:lang w:val="en-GB"/>
        </w:rPr>
        <w:t xml:space="preserve">. </w:t>
      </w:r>
    </w:p>
    <w:p w14:paraId="53636805" w14:textId="77777777" w:rsidR="002E286D" w:rsidRPr="003E3613" w:rsidRDefault="002E286D" w:rsidP="00204696">
      <w:pPr>
        <w:spacing w:after="0"/>
        <w:jc w:val="both"/>
        <w:rPr>
          <w:rFonts w:ascii="Book Antiqua" w:hAnsi="Book Antiqua"/>
          <w:iCs/>
          <w:sz w:val="23"/>
          <w:szCs w:val="23"/>
          <w:lang w:val="en-GB"/>
        </w:rPr>
      </w:pPr>
      <w:r w:rsidRPr="003E3613">
        <w:rPr>
          <w:rFonts w:ascii="Book Antiqua" w:hAnsi="Book Antiqua"/>
          <w:iCs/>
          <w:sz w:val="23"/>
          <w:szCs w:val="23"/>
          <w:lang w:val="en-GB"/>
        </w:rPr>
        <w:t>According to Article 353/A of the</w:t>
      </w:r>
      <w:r w:rsidR="00554D9C" w:rsidRPr="003E3613">
        <w:rPr>
          <w:rFonts w:ascii="Book Antiqua" w:hAnsi="Book Antiqua"/>
          <w:iCs/>
          <w:sz w:val="23"/>
          <w:szCs w:val="23"/>
          <w:lang w:val="en-GB"/>
        </w:rPr>
        <w:t xml:space="preserve"> </w:t>
      </w:r>
      <w:r w:rsidRPr="003E3613">
        <w:rPr>
          <w:rFonts w:ascii="Book Antiqua" w:hAnsi="Book Antiqua"/>
          <w:iCs/>
          <w:sz w:val="23"/>
          <w:szCs w:val="23"/>
          <w:lang w:val="en-GB"/>
        </w:rPr>
        <w:t>Criminal</w:t>
      </w:r>
      <w:r w:rsidR="00554D9C" w:rsidRPr="003E3613">
        <w:rPr>
          <w:rFonts w:ascii="Book Antiqua" w:hAnsi="Book Antiqua"/>
          <w:iCs/>
          <w:sz w:val="23"/>
          <w:szCs w:val="23"/>
          <w:lang w:val="en-GB"/>
        </w:rPr>
        <w:t xml:space="preserve"> </w:t>
      </w:r>
      <w:r w:rsidRPr="003E3613">
        <w:rPr>
          <w:rFonts w:ascii="Book Antiqua" w:hAnsi="Book Antiqua"/>
          <w:iCs/>
          <w:sz w:val="23"/>
          <w:szCs w:val="23"/>
          <w:lang w:val="en-GB"/>
        </w:rPr>
        <w:t xml:space="preserve">Code any person who is engaged in the pursuit of </w:t>
      </w:r>
      <w:r w:rsidR="00BD0A8B" w:rsidRPr="003E3613">
        <w:rPr>
          <w:rFonts w:ascii="Book Antiqua" w:hAnsi="Book Antiqua"/>
          <w:iCs/>
          <w:sz w:val="23"/>
          <w:szCs w:val="23"/>
          <w:lang w:val="en-GB"/>
        </w:rPr>
        <w:t>organisation</w:t>
      </w:r>
      <w:r w:rsidRPr="003E3613">
        <w:rPr>
          <w:rFonts w:ascii="Book Antiqua" w:hAnsi="Book Antiqua"/>
          <w:iCs/>
          <w:sz w:val="23"/>
          <w:szCs w:val="23"/>
          <w:lang w:val="en-GB"/>
        </w:rPr>
        <w:t>al activities:</w:t>
      </w:r>
    </w:p>
    <w:p w14:paraId="279A6CE6" w14:textId="77777777" w:rsidR="002E286D" w:rsidRPr="003E3613" w:rsidRDefault="002E286D"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a) with a view to initiating an asylum procedure in Hungary on behalf of a person who is not subject to persecution on the basis of race or nationality, his/her alliance with a specific social group, religious and/or political conviction, or whose fear of being subject to direct </w:t>
      </w:r>
      <w:r w:rsidRPr="003E3613">
        <w:rPr>
          <w:rFonts w:ascii="Book Antiqua" w:hAnsi="Book Antiqua"/>
          <w:iCs/>
          <w:sz w:val="23"/>
          <w:szCs w:val="23"/>
          <w:lang w:val="en-GB"/>
        </w:rPr>
        <w:lastRenderedPageBreak/>
        <w:t>persecution is unfounded in his or her native country or the country of his or her habitual residence, or the country through which he or she travelled in transit; or</w:t>
      </w:r>
    </w:p>
    <w:p w14:paraId="6A50684D" w14:textId="77777777" w:rsidR="002E286D" w:rsidRPr="003E3613" w:rsidRDefault="002E286D" w:rsidP="00204696">
      <w:pPr>
        <w:spacing w:after="0"/>
        <w:jc w:val="both"/>
        <w:rPr>
          <w:rFonts w:ascii="Book Antiqua" w:hAnsi="Book Antiqua"/>
          <w:iCs/>
          <w:sz w:val="23"/>
          <w:szCs w:val="23"/>
          <w:lang w:val="en-GB"/>
        </w:rPr>
      </w:pPr>
      <w:r w:rsidRPr="003E3613">
        <w:rPr>
          <w:rFonts w:ascii="Book Antiqua" w:hAnsi="Book Antiqua"/>
          <w:iCs/>
          <w:sz w:val="23"/>
          <w:szCs w:val="23"/>
          <w:lang w:val="en-GB"/>
        </w:rPr>
        <w:t>b) with a view to obtain the right of residence for a person who entered or resides in the territory of Hungary illegally, insofar as the act did not result in a more serious criminal offen</w:t>
      </w:r>
      <w:r w:rsidR="00AE3084" w:rsidRPr="003E3613">
        <w:rPr>
          <w:rFonts w:ascii="Book Antiqua" w:hAnsi="Book Antiqua"/>
          <w:iCs/>
          <w:sz w:val="23"/>
          <w:szCs w:val="23"/>
          <w:lang w:val="en-GB"/>
        </w:rPr>
        <w:t>c</w:t>
      </w:r>
      <w:r w:rsidRPr="003E3613">
        <w:rPr>
          <w:rFonts w:ascii="Book Antiqua" w:hAnsi="Book Antiqua"/>
          <w:iCs/>
          <w:sz w:val="23"/>
          <w:szCs w:val="23"/>
          <w:lang w:val="en-GB"/>
        </w:rPr>
        <w:t xml:space="preserve">e, is guilty of </w:t>
      </w:r>
      <w:r w:rsidR="00522CE5" w:rsidRPr="003E3613">
        <w:rPr>
          <w:rFonts w:ascii="Book Antiqua" w:hAnsi="Book Antiqua"/>
          <w:iCs/>
          <w:sz w:val="23"/>
          <w:szCs w:val="23"/>
          <w:lang w:val="en-GB"/>
        </w:rPr>
        <w:t>misdemeanour</w:t>
      </w:r>
      <w:r w:rsidRPr="003E3613">
        <w:rPr>
          <w:rFonts w:ascii="Book Antiqua" w:hAnsi="Book Antiqua"/>
          <w:iCs/>
          <w:sz w:val="23"/>
          <w:szCs w:val="23"/>
          <w:lang w:val="en-GB"/>
        </w:rPr>
        <w:t xml:space="preserve"> punishable with custodial arrest of 5-90 days</w:t>
      </w:r>
      <w:r w:rsidR="00522CE5" w:rsidRPr="003E3613">
        <w:rPr>
          <w:rFonts w:ascii="Book Antiqua" w:hAnsi="Book Antiqua"/>
          <w:iCs/>
          <w:sz w:val="23"/>
          <w:szCs w:val="23"/>
          <w:lang w:val="en-GB"/>
        </w:rPr>
        <w:t xml:space="preserve"> </w:t>
      </w:r>
      <w:r w:rsidRPr="003E3613">
        <w:rPr>
          <w:rFonts w:ascii="Book Antiqua" w:hAnsi="Book Antiqua"/>
          <w:iCs/>
          <w:sz w:val="23"/>
          <w:szCs w:val="23"/>
          <w:lang w:val="en-GB"/>
        </w:rPr>
        <w:t>(</w:t>
      </w:r>
      <w:r w:rsidR="00522CE5" w:rsidRPr="003E3613">
        <w:rPr>
          <w:rFonts w:ascii="Book Antiqua" w:hAnsi="Book Antiqua"/>
          <w:iCs/>
          <w:sz w:val="23"/>
          <w:szCs w:val="23"/>
          <w:lang w:val="en-GB"/>
        </w:rPr>
        <w:t>h</w:t>
      </w:r>
      <w:r w:rsidRPr="003E3613">
        <w:rPr>
          <w:rFonts w:ascii="Book Antiqua" w:hAnsi="Book Antiqua"/>
          <w:iCs/>
          <w:sz w:val="23"/>
          <w:szCs w:val="23"/>
          <w:lang w:val="en-GB"/>
        </w:rPr>
        <w:t xml:space="preserve">ereinafter referred to as: </w:t>
      </w:r>
      <w:r w:rsidR="00BD0A8B" w:rsidRPr="003E3613">
        <w:rPr>
          <w:rFonts w:ascii="Book Antiqua" w:hAnsi="Book Antiqua"/>
          <w:iCs/>
          <w:sz w:val="23"/>
          <w:szCs w:val="23"/>
          <w:lang w:val="en-GB"/>
        </w:rPr>
        <w:t>organisation</w:t>
      </w:r>
      <w:r w:rsidRPr="003E3613">
        <w:rPr>
          <w:rFonts w:ascii="Book Antiqua" w:hAnsi="Book Antiqua"/>
          <w:iCs/>
          <w:sz w:val="23"/>
          <w:szCs w:val="23"/>
          <w:lang w:val="en-GB"/>
        </w:rPr>
        <w:t>al activity aiding illegal immigration.)</w:t>
      </w:r>
    </w:p>
    <w:p w14:paraId="29BE4D62" w14:textId="77777777" w:rsidR="003C0E12" w:rsidRPr="003E3613" w:rsidRDefault="003C0E12" w:rsidP="00204696">
      <w:pPr>
        <w:spacing w:after="0"/>
        <w:jc w:val="both"/>
        <w:rPr>
          <w:rFonts w:ascii="Book Antiqua" w:hAnsi="Book Antiqua"/>
          <w:iCs/>
          <w:sz w:val="23"/>
          <w:szCs w:val="23"/>
          <w:lang w:val="en-GB"/>
        </w:rPr>
      </w:pPr>
    </w:p>
    <w:p w14:paraId="04AB624D" w14:textId="77777777" w:rsidR="00284335" w:rsidRPr="003E3613" w:rsidRDefault="00284335"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Committing such </w:t>
      </w:r>
      <w:r w:rsidR="002E286D" w:rsidRPr="003E3613">
        <w:rPr>
          <w:rFonts w:ascii="Book Antiqua" w:hAnsi="Book Antiqua"/>
          <w:iCs/>
          <w:sz w:val="23"/>
          <w:szCs w:val="23"/>
          <w:lang w:val="en-GB"/>
        </w:rPr>
        <w:t xml:space="preserve">an </w:t>
      </w:r>
      <w:r w:rsidRPr="003E3613">
        <w:rPr>
          <w:rFonts w:ascii="Book Antiqua" w:hAnsi="Book Antiqua"/>
          <w:iCs/>
          <w:sz w:val="23"/>
          <w:szCs w:val="23"/>
          <w:lang w:val="en-GB"/>
        </w:rPr>
        <w:t xml:space="preserve">offence </w:t>
      </w:r>
      <w:r w:rsidR="002E286D" w:rsidRPr="003E3613">
        <w:rPr>
          <w:rFonts w:ascii="Book Antiqua" w:hAnsi="Book Antiqua"/>
          <w:iCs/>
          <w:sz w:val="23"/>
          <w:szCs w:val="23"/>
          <w:lang w:val="en-GB"/>
        </w:rPr>
        <w:t>(i.e. organi</w:t>
      </w:r>
      <w:r w:rsidR="00446AE6" w:rsidRPr="003E3613">
        <w:rPr>
          <w:rFonts w:ascii="Book Antiqua" w:hAnsi="Book Antiqua"/>
          <w:iCs/>
          <w:sz w:val="23"/>
          <w:szCs w:val="23"/>
          <w:lang w:val="en-GB"/>
        </w:rPr>
        <w:t>s</w:t>
      </w:r>
      <w:r w:rsidR="002E286D" w:rsidRPr="003E3613">
        <w:rPr>
          <w:rFonts w:ascii="Book Antiqua" w:hAnsi="Book Antiqua"/>
          <w:iCs/>
          <w:sz w:val="23"/>
          <w:szCs w:val="23"/>
          <w:lang w:val="en-GB"/>
        </w:rPr>
        <w:t xml:space="preserve">ational activity aiding </w:t>
      </w:r>
      <w:r w:rsidR="009D3FA5" w:rsidRPr="003E3613">
        <w:rPr>
          <w:rFonts w:ascii="Book Antiqua" w:hAnsi="Book Antiqua"/>
          <w:iCs/>
          <w:sz w:val="23"/>
          <w:szCs w:val="23"/>
          <w:lang w:val="en-GB"/>
        </w:rPr>
        <w:t xml:space="preserve">and abeting </w:t>
      </w:r>
      <w:r w:rsidR="002E286D" w:rsidRPr="003E3613">
        <w:rPr>
          <w:rFonts w:ascii="Book Antiqua" w:hAnsi="Book Antiqua"/>
          <w:iCs/>
          <w:sz w:val="23"/>
          <w:szCs w:val="23"/>
          <w:lang w:val="en-GB"/>
        </w:rPr>
        <w:t xml:space="preserve">illegal immigration) </w:t>
      </w:r>
      <w:r w:rsidR="002E286D" w:rsidRPr="003E3613">
        <w:rPr>
          <w:rFonts w:ascii="Book Antiqua" w:hAnsi="Book Antiqua"/>
          <w:sz w:val="23"/>
          <w:szCs w:val="23"/>
          <w:lang w:val="en-GB"/>
        </w:rPr>
        <w:t xml:space="preserve">on a regular basis, </w:t>
      </w:r>
      <w:r w:rsidR="002E286D" w:rsidRPr="003E3613">
        <w:rPr>
          <w:rFonts w:ascii="Book Antiqua" w:hAnsi="Book Antiqua"/>
          <w:iCs/>
          <w:sz w:val="23"/>
          <w:szCs w:val="23"/>
          <w:lang w:val="en-GB"/>
        </w:rPr>
        <w:t>or by rendering help to more people</w:t>
      </w:r>
      <w:r w:rsidR="00554D9C" w:rsidRPr="003E3613">
        <w:rPr>
          <w:rFonts w:ascii="Book Antiqua" w:hAnsi="Book Antiqua"/>
          <w:sz w:val="23"/>
          <w:szCs w:val="23"/>
          <w:lang w:val="en-GB"/>
        </w:rPr>
        <w:t xml:space="preserve"> </w:t>
      </w:r>
      <w:r w:rsidR="002E286D" w:rsidRPr="003E3613">
        <w:rPr>
          <w:rFonts w:ascii="Book Antiqua" w:hAnsi="Book Antiqua"/>
          <w:iCs/>
          <w:sz w:val="23"/>
          <w:szCs w:val="23"/>
          <w:lang w:val="en-GB"/>
        </w:rPr>
        <w:t>or assisting illegal immigration in exchange for money</w:t>
      </w:r>
      <w:r w:rsidR="00430EB8" w:rsidRPr="003E3613">
        <w:rPr>
          <w:rFonts w:ascii="Book Antiqua" w:hAnsi="Book Antiqua"/>
          <w:iCs/>
          <w:sz w:val="23"/>
          <w:szCs w:val="23"/>
          <w:lang w:val="en-GB"/>
        </w:rPr>
        <w:t>,</w:t>
      </w:r>
      <w:r w:rsidR="002E286D" w:rsidRPr="003E3613">
        <w:rPr>
          <w:rFonts w:ascii="Book Antiqua" w:hAnsi="Book Antiqua"/>
          <w:sz w:val="23"/>
          <w:szCs w:val="23"/>
          <w:lang w:val="en-GB"/>
        </w:rPr>
        <w:t xml:space="preserve"> constitute </w:t>
      </w:r>
      <w:r w:rsidR="002E286D" w:rsidRPr="003E3613">
        <w:rPr>
          <w:rFonts w:ascii="Book Antiqua" w:hAnsi="Book Antiqua"/>
          <w:iCs/>
          <w:sz w:val="23"/>
          <w:szCs w:val="23"/>
          <w:lang w:val="en-GB"/>
        </w:rPr>
        <w:t>a more severe offence</w:t>
      </w:r>
      <w:r w:rsidR="002E286D" w:rsidRPr="003E3613">
        <w:rPr>
          <w:rFonts w:ascii="Book Antiqua" w:hAnsi="Book Antiqua"/>
          <w:sz w:val="23"/>
          <w:szCs w:val="23"/>
          <w:lang w:val="en-GB"/>
        </w:rPr>
        <w:t xml:space="preserve">, and as such </w:t>
      </w:r>
      <w:r w:rsidR="00430EB8" w:rsidRPr="003E3613">
        <w:rPr>
          <w:rFonts w:ascii="Book Antiqua" w:hAnsi="Book Antiqua"/>
          <w:sz w:val="23"/>
          <w:szCs w:val="23"/>
          <w:lang w:val="en-GB"/>
        </w:rPr>
        <w:t xml:space="preserve">is </w:t>
      </w:r>
      <w:r w:rsidR="002E286D" w:rsidRPr="003E3613">
        <w:rPr>
          <w:rFonts w:ascii="Book Antiqua" w:hAnsi="Book Antiqua"/>
          <w:sz w:val="23"/>
          <w:szCs w:val="23"/>
          <w:lang w:val="en-GB"/>
        </w:rPr>
        <w:t xml:space="preserve">punishable by </w:t>
      </w:r>
      <w:r w:rsidR="005C7960" w:rsidRPr="003E3613">
        <w:rPr>
          <w:rFonts w:ascii="Book Antiqua" w:hAnsi="Book Antiqua"/>
          <w:sz w:val="23"/>
          <w:szCs w:val="23"/>
          <w:lang w:val="en-GB"/>
        </w:rPr>
        <w:t>inprisonment</w:t>
      </w:r>
      <w:r w:rsidR="002E286D" w:rsidRPr="003E3613">
        <w:rPr>
          <w:rFonts w:ascii="Book Antiqua" w:hAnsi="Book Antiqua"/>
          <w:sz w:val="23"/>
          <w:szCs w:val="23"/>
          <w:lang w:val="en-GB"/>
        </w:rPr>
        <w:t xml:space="preserve"> of up to one year.</w:t>
      </w:r>
      <w:r w:rsidRPr="003E3613">
        <w:rPr>
          <w:rFonts w:ascii="Book Antiqua" w:hAnsi="Book Antiqua"/>
          <w:iCs/>
          <w:sz w:val="23"/>
          <w:szCs w:val="23"/>
          <w:lang w:val="en-GB"/>
        </w:rPr>
        <w:t xml:space="preserve"> Meanwhile, the new law equips the </w:t>
      </w:r>
      <w:r w:rsidR="002E286D" w:rsidRPr="003E3613">
        <w:rPr>
          <w:rFonts w:ascii="Book Antiqua" w:hAnsi="Book Antiqua"/>
          <w:iCs/>
          <w:sz w:val="23"/>
          <w:szCs w:val="23"/>
          <w:lang w:val="en-GB"/>
        </w:rPr>
        <w:t xml:space="preserve">police </w:t>
      </w:r>
      <w:r w:rsidRPr="003E3613">
        <w:rPr>
          <w:rFonts w:ascii="Book Antiqua" w:hAnsi="Book Antiqua"/>
          <w:iCs/>
          <w:sz w:val="23"/>
          <w:szCs w:val="23"/>
          <w:lang w:val="en-GB"/>
        </w:rPr>
        <w:t xml:space="preserve">with tools to keep people </w:t>
      </w:r>
      <w:r w:rsidR="002E286D" w:rsidRPr="003E3613">
        <w:rPr>
          <w:rFonts w:ascii="Book Antiqua" w:hAnsi="Book Antiqua"/>
          <w:iCs/>
          <w:sz w:val="23"/>
          <w:szCs w:val="23"/>
          <w:lang w:val="en-GB"/>
        </w:rPr>
        <w:t>against whom there is an ongoing criminal procedure for</w:t>
      </w:r>
      <w:r w:rsidR="00430EB8" w:rsidRPr="003E3613">
        <w:rPr>
          <w:rFonts w:ascii="Book Antiqua" w:hAnsi="Book Antiqua"/>
          <w:iCs/>
          <w:sz w:val="23"/>
          <w:szCs w:val="23"/>
          <w:lang w:val="en-GB"/>
        </w:rPr>
        <w:t xml:space="preserve"> </w:t>
      </w:r>
      <w:r w:rsidRPr="003E3613">
        <w:rPr>
          <w:rFonts w:ascii="Book Antiqua" w:hAnsi="Book Antiqua"/>
          <w:iCs/>
          <w:sz w:val="23"/>
          <w:szCs w:val="23"/>
          <w:lang w:val="en-GB"/>
        </w:rPr>
        <w:t xml:space="preserve">the aforementioned activities away from the 8-kilometer area inside the Hungarian border. Furthermore, according to </w:t>
      </w:r>
      <w:r w:rsidR="00D75FD5" w:rsidRPr="003E3613">
        <w:rPr>
          <w:rFonts w:ascii="Book Antiqua" w:hAnsi="Book Antiqua"/>
          <w:iCs/>
          <w:sz w:val="23"/>
          <w:szCs w:val="23"/>
          <w:lang w:val="en-GB"/>
        </w:rPr>
        <w:t>the amendment of the Act on Asylum</w:t>
      </w:r>
      <w:r w:rsidRPr="003E3613">
        <w:rPr>
          <w:rFonts w:ascii="Book Antiqua" w:hAnsi="Book Antiqua"/>
          <w:iCs/>
          <w:sz w:val="23"/>
          <w:szCs w:val="23"/>
          <w:lang w:val="en-GB"/>
        </w:rPr>
        <w:t xml:space="preserve">, Hungary </w:t>
      </w:r>
      <w:r w:rsidR="00D75FD5" w:rsidRPr="003E3613">
        <w:rPr>
          <w:rFonts w:ascii="Book Antiqua" w:hAnsi="Book Antiqua"/>
          <w:iCs/>
          <w:sz w:val="23"/>
          <w:szCs w:val="23"/>
          <w:lang w:val="en-GB"/>
        </w:rPr>
        <w:t xml:space="preserve">may </w:t>
      </w:r>
      <w:r w:rsidRPr="003E3613">
        <w:rPr>
          <w:rFonts w:ascii="Book Antiqua" w:hAnsi="Book Antiqua"/>
          <w:iCs/>
          <w:sz w:val="23"/>
          <w:szCs w:val="23"/>
          <w:lang w:val="en-GB"/>
        </w:rPr>
        <w:t>not accept asylum requests from people who apply from countries where they are no longer subject to persecution and are not in grave danger</w:t>
      </w:r>
      <w:r w:rsidR="00430EB8" w:rsidRPr="003E3613">
        <w:rPr>
          <w:rFonts w:ascii="Book Antiqua" w:hAnsi="Book Antiqua"/>
          <w:iCs/>
          <w:sz w:val="23"/>
          <w:szCs w:val="23"/>
          <w:lang w:val="en-GB"/>
        </w:rPr>
        <w:t xml:space="preserve"> (</w:t>
      </w:r>
      <w:r w:rsidR="00D61BD4" w:rsidRPr="003E3613">
        <w:rPr>
          <w:rFonts w:ascii="Book Antiqua" w:hAnsi="Book Antiqua"/>
          <w:iCs/>
          <w:sz w:val="23"/>
          <w:szCs w:val="23"/>
          <w:lang w:val="en-GB"/>
        </w:rPr>
        <w:t>a</w:t>
      </w:r>
      <w:r w:rsidR="00430EB8" w:rsidRPr="003E3613">
        <w:rPr>
          <w:rFonts w:ascii="Book Antiqua" w:hAnsi="Book Antiqua"/>
          <w:iCs/>
          <w:sz w:val="23"/>
          <w:szCs w:val="23"/>
          <w:lang w:val="en-GB"/>
        </w:rPr>
        <w:t xml:space="preserve"> </w:t>
      </w:r>
      <w:r w:rsidR="00D75FD5" w:rsidRPr="003E3613">
        <w:rPr>
          <w:rFonts w:ascii="Book Antiqua" w:hAnsi="Book Antiqua"/>
          <w:iCs/>
          <w:sz w:val="23"/>
          <w:szCs w:val="23"/>
          <w:lang w:val="en-GB"/>
        </w:rPr>
        <w:t>similar provi</w:t>
      </w:r>
      <w:r w:rsidR="00430EB8" w:rsidRPr="003E3613">
        <w:rPr>
          <w:rFonts w:ascii="Book Antiqua" w:hAnsi="Book Antiqua"/>
          <w:iCs/>
          <w:sz w:val="23"/>
          <w:szCs w:val="23"/>
          <w:lang w:val="en-GB"/>
        </w:rPr>
        <w:t xml:space="preserve">sion exists in one of the Member States’ Fundamental </w:t>
      </w:r>
      <w:r w:rsidR="00D75FD5" w:rsidRPr="003E3613">
        <w:rPr>
          <w:rFonts w:ascii="Book Antiqua" w:hAnsi="Book Antiqua"/>
          <w:iCs/>
          <w:sz w:val="23"/>
          <w:szCs w:val="23"/>
          <w:lang w:val="en-GB"/>
        </w:rPr>
        <w:t>Law</w:t>
      </w:r>
      <w:r w:rsidR="00D61BD4" w:rsidRPr="003E3613">
        <w:rPr>
          <w:rFonts w:ascii="Book Antiqua" w:hAnsi="Book Antiqua"/>
          <w:iCs/>
          <w:sz w:val="23"/>
          <w:szCs w:val="23"/>
          <w:lang w:val="en-GB"/>
        </w:rPr>
        <w:t>)</w:t>
      </w:r>
      <w:r w:rsidR="00D75FD5" w:rsidRPr="003E3613">
        <w:rPr>
          <w:rFonts w:ascii="Book Antiqua" w:hAnsi="Book Antiqua"/>
          <w:iCs/>
          <w:sz w:val="23"/>
          <w:szCs w:val="23"/>
          <w:lang w:val="en-GB"/>
        </w:rPr>
        <w:t>.</w:t>
      </w:r>
    </w:p>
    <w:p w14:paraId="3DE6D234" w14:textId="77777777" w:rsidR="00284335" w:rsidRPr="003E3613" w:rsidRDefault="00284335" w:rsidP="00204696">
      <w:pPr>
        <w:spacing w:after="0"/>
        <w:jc w:val="both"/>
        <w:rPr>
          <w:rFonts w:ascii="Book Antiqua" w:hAnsi="Book Antiqua"/>
          <w:iCs/>
          <w:sz w:val="23"/>
          <w:szCs w:val="23"/>
          <w:lang w:val="en-GB"/>
        </w:rPr>
      </w:pPr>
    </w:p>
    <w:p w14:paraId="5B1AF180" w14:textId="77777777" w:rsidR="00284335" w:rsidRPr="003E3613" w:rsidRDefault="00430EB8" w:rsidP="00204696">
      <w:pPr>
        <w:spacing w:after="0"/>
        <w:jc w:val="both"/>
        <w:rPr>
          <w:rFonts w:ascii="Book Antiqua" w:hAnsi="Book Antiqua"/>
          <w:iCs/>
          <w:sz w:val="23"/>
          <w:szCs w:val="23"/>
          <w:lang w:val="en-GB"/>
        </w:rPr>
      </w:pPr>
      <w:r w:rsidRPr="003E3613">
        <w:rPr>
          <w:rFonts w:ascii="Book Antiqua" w:hAnsi="Book Antiqua"/>
          <w:iCs/>
          <w:sz w:val="23"/>
          <w:szCs w:val="23"/>
          <w:lang w:val="en-GB"/>
        </w:rPr>
        <w:t>As to the premature adoption of the law, it is submitted that t</w:t>
      </w:r>
      <w:r w:rsidR="00D75FD5" w:rsidRPr="003E3613">
        <w:rPr>
          <w:rFonts w:ascii="Book Antiqua" w:hAnsi="Book Antiqua"/>
          <w:iCs/>
          <w:sz w:val="23"/>
          <w:szCs w:val="23"/>
          <w:lang w:val="en-GB"/>
        </w:rPr>
        <w:t xml:space="preserve">he Government had already been fully </w:t>
      </w:r>
      <w:r w:rsidRPr="003E3613">
        <w:rPr>
          <w:rFonts w:ascii="Book Antiqua" w:hAnsi="Book Antiqua"/>
          <w:iCs/>
          <w:sz w:val="23"/>
          <w:szCs w:val="23"/>
          <w:lang w:val="en-GB"/>
        </w:rPr>
        <w:t xml:space="preserve">informed </w:t>
      </w:r>
      <w:r w:rsidR="00D75FD5" w:rsidRPr="003E3613">
        <w:rPr>
          <w:rFonts w:ascii="Book Antiqua" w:hAnsi="Book Antiqua"/>
          <w:iCs/>
          <w:sz w:val="23"/>
          <w:szCs w:val="23"/>
          <w:lang w:val="en-GB"/>
        </w:rPr>
        <w:t>o</w:t>
      </w:r>
      <w:r w:rsidRPr="003E3613">
        <w:rPr>
          <w:rFonts w:ascii="Book Antiqua" w:hAnsi="Book Antiqua"/>
          <w:iCs/>
          <w:sz w:val="23"/>
          <w:szCs w:val="23"/>
          <w:lang w:val="en-GB"/>
        </w:rPr>
        <w:t>f</w:t>
      </w:r>
      <w:r w:rsidR="00D75FD5" w:rsidRPr="003E3613">
        <w:rPr>
          <w:rFonts w:ascii="Book Antiqua" w:hAnsi="Book Antiqua"/>
          <w:iCs/>
          <w:sz w:val="23"/>
          <w:szCs w:val="23"/>
          <w:lang w:val="en-GB"/>
        </w:rPr>
        <w:t xml:space="preserve"> the content of the opinion of the Venice Commission</w:t>
      </w:r>
      <w:r w:rsidRPr="003E3613">
        <w:rPr>
          <w:rFonts w:ascii="Book Antiqua" w:hAnsi="Book Antiqua"/>
          <w:iCs/>
          <w:sz w:val="23"/>
          <w:szCs w:val="23"/>
          <w:lang w:val="en-GB"/>
        </w:rPr>
        <w:t xml:space="preserve"> concerning </w:t>
      </w:r>
      <w:r w:rsidR="00284335" w:rsidRPr="003E3613">
        <w:rPr>
          <w:rFonts w:ascii="Book Antiqua" w:hAnsi="Book Antiqua"/>
          <w:iCs/>
          <w:sz w:val="23"/>
          <w:szCs w:val="23"/>
          <w:lang w:val="en-GB"/>
        </w:rPr>
        <w:t>the package</w:t>
      </w:r>
      <w:r w:rsidRPr="003E3613">
        <w:rPr>
          <w:rFonts w:ascii="Book Antiqua" w:hAnsi="Book Antiqua"/>
          <w:iCs/>
          <w:sz w:val="23"/>
          <w:szCs w:val="23"/>
          <w:lang w:val="en-GB"/>
        </w:rPr>
        <w:t>.</w:t>
      </w:r>
    </w:p>
    <w:p w14:paraId="33AFA8D2" w14:textId="77777777" w:rsidR="00284335" w:rsidRPr="003E3613" w:rsidRDefault="00284335" w:rsidP="00204696">
      <w:pPr>
        <w:spacing w:after="0"/>
        <w:jc w:val="both"/>
        <w:rPr>
          <w:rFonts w:ascii="Book Antiqua" w:hAnsi="Book Antiqua"/>
          <w:iCs/>
          <w:sz w:val="23"/>
          <w:szCs w:val="23"/>
          <w:lang w:val="en-GB"/>
        </w:rPr>
      </w:pPr>
    </w:p>
    <w:p w14:paraId="74EC5AA6" w14:textId="77777777" w:rsidR="008D1BAE" w:rsidRPr="003E3613" w:rsidRDefault="008D1BAE"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It is also crucial to mention that according to a provision of the Criminal Code those activities which are allowed by virtue of an act (i.e. Act on </w:t>
      </w:r>
      <w:r w:rsidR="00AD3E42" w:rsidRPr="003E3613">
        <w:rPr>
          <w:rFonts w:ascii="Book Antiqua" w:hAnsi="Book Antiqua"/>
          <w:iCs/>
          <w:sz w:val="23"/>
          <w:szCs w:val="23"/>
          <w:lang w:val="en-GB"/>
        </w:rPr>
        <w:t>L</w:t>
      </w:r>
      <w:r w:rsidRPr="003E3613">
        <w:rPr>
          <w:rFonts w:ascii="Book Antiqua" w:hAnsi="Book Antiqua"/>
          <w:iCs/>
          <w:sz w:val="23"/>
          <w:szCs w:val="23"/>
          <w:lang w:val="en-GB"/>
        </w:rPr>
        <w:t xml:space="preserve">egal </w:t>
      </w:r>
      <w:r w:rsidR="00AD3E42" w:rsidRPr="003E3613">
        <w:rPr>
          <w:rFonts w:ascii="Book Antiqua" w:hAnsi="Book Antiqua"/>
          <w:iCs/>
          <w:sz w:val="23"/>
          <w:szCs w:val="23"/>
          <w:lang w:val="en-GB"/>
        </w:rPr>
        <w:t>A</w:t>
      </w:r>
      <w:r w:rsidRPr="003E3613">
        <w:rPr>
          <w:rFonts w:ascii="Book Antiqua" w:hAnsi="Book Antiqua"/>
          <w:iCs/>
          <w:sz w:val="23"/>
          <w:szCs w:val="23"/>
          <w:lang w:val="en-GB"/>
        </w:rPr>
        <w:t>id or Act on Asylum) shall not be criminalized (statutory authori</w:t>
      </w:r>
      <w:r w:rsidR="00542BFE" w:rsidRPr="003E3613">
        <w:rPr>
          <w:rFonts w:ascii="Book Antiqua" w:hAnsi="Book Antiqua"/>
          <w:iCs/>
          <w:sz w:val="23"/>
          <w:szCs w:val="23"/>
          <w:lang w:val="en-GB"/>
        </w:rPr>
        <w:t>s</w:t>
      </w:r>
      <w:r w:rsidRPr="003E3613">
        <w:rPr>
          <w:rFonts w:ascii="Book Antiqua" w:hAnsi="Book Antiqua"/>
          <w:iCs/>
          <w:sz w:val="23"/>
          <w:szCs w:val="23"/>
          <w:lang w:val="en-GB"/>
        </w:rPr>
        <w:t xml:space="preserve">ation). Consequently, providing legal advice as well as informing about the applicable law, or providing humanitarian assistance shall not be considered as organising activity within the meaning of the criminal offence. </w:t>
      </w:r>
    </w:p>
    <w:p w14:paraId="2A5E94C2" w14:textId="77777777" w:rsidR="008D1BAE" w:rsidRPr="003E3613" w:rsidRDefault="008D1BAE" w:rsidP="00204696">
      <w:pPr>
        <w:spacing w:after="0"/>
        <w:jc w:val="both"/>
        <w:rPr>
          <w:rFonts w:ascii="Book Antiqua" w:hAnsi="Book Antiqua"/>
          <w:iCs/>
          <w:sz w:val="23"/>
          <w:szCs w:val="23"/>
          <w:lang w:val="en-GB"/>
        </w:rPr>
      </w:pPr>
    </w:p>
    <w:p w14:paraId="097D9319" w14:textId="77777777" w:rsidR="00087605" w:rsidRPr="003E3613" w:rsidRDefault="00087605" w:rsidP="00204696">
      <w:pPr>
        <w:spacing w:after="0"/>
        <w:jc w:val="both"/>
        <w:rPr>
          <w:rFonts w:ascii="Book Antiqua" w:hAnsi="Book Antiqua"/>
          <w:iCs/>
          <w:sz w:val="23"/>
          <w:szCs w:val="23"/>
          <w:lang w:val="en-GB"/>
        </w:rPr>
      </w:pPr>
      <w:r w:rsidRPr="003E3613">
        <w:rPr>
          <w:rFonts w:ascii="Book Antiqua" w:hAnsi="Book Antiqua"/>
          <w:iCs/>
          <w:sz w:val="23"/>
          <w:szCs w:val="23"/>
          <w:lang w:val="en-GB"/>
        </w:rPr>
        <w:t>It is also important that the target group is not the NGOs. The target group and the perpetrators of the crime are those natural persons who provide an organi</w:t>
      </w:r>
      <w:r w:rsidR="00446AE6" w:rsidRPr="003E3613">
        <w:rPr>
          <w:rFonts w:ascii="Book Antiqua" w:hAnsi="Book Antiqua"/>
          <w:iCs/>
          <w:sz w:val="23"/>
          <w:szCs w:val="23"/>
          <w:lang w:val="en-GB"/>
        </w:rPr>
        <w:t>s</w:t>
      </w:r>
      <w:r w:rsidRPr="003E3613">
        <w:rPr>
          <w:rFonts w:ascii="Book Antiqua" w:hAnsi="Book Antiqua"/>
          <w:iCs/>
          <w:sz w:val="23"/>
          <w:szCs w:val="23"/>
          <w:lang w:val="en-GB"/>
        </w:rPr>
        <w:t xml:space="preserve">ing activity to violate the integrity of the external border, </w:t>
      </w:r>
      <w:r w:rsidR="00446AE6" w:rsidRPr="003E3613">
        <w:rPr>
          <w:rFonts w:ascii="Book Antiqua" w:hAnsi="Book Antiqua"/>
          <w:iCs/>
          <w:sz w:val="23"/>
          <w:szCs w:val="23"/>
          <w:lang w:val="en-GB"/>
        </w:rPr>
        <w:t xml:space="preserve">and </w:t>
      </w:r>
      <w:r w:rsidRPr="003E3613">
        <w:rPr>
          <w:rFonts w:ascii="Book Antiqua" w:hAnsi="Book Antiqua"/>
          <w:iCs/>
          <w:sz w:val="23"/>
          <w:szCs w:val="23"/>
          <w:lang w:val="en-GB"/>
        </w:rPr>
        <w:t>th</w:t>
      </w:r>
      <w:r w:rsidR="00446AE6" w:rsidRPr="003E3613">
        <w:rPr>
          <w:rFonts w:ascii="Book Antiqua" w:hAnsi="Book Antiqua"/>
          <w:iCs/>
          <w:sz w:val="23"/>
          <w:szCs w:val="23"/>
          <w:lang w:val="en-GB"/>
        </w:rPr>
        <w:t xml:space="preserve">ese </w:t>
      </w:r>
      <w:r w:rsidR="00FC194F" w:rsidRPr="003E3613">
        <w:rPr>
          <w:rFonts w:ascii="Book Antiqua" w:hAnsi="Book Antiqua"/>
          <w:iCs/>
          <w:sz w:val="23"/>
          <w:szCs w:val="23"/>
          <w:lang w:val="en-GB"/>
        </w:rPr>
        <w:t xml:space="preserve">perpetrators </w:t>
      </w:r>
      <w:r w:rsidRPr="003E3613">
        <w:rPr>
          <w:rFonts w:ascii="Book Antiqua" w:hAnsi="Book Antiqua"/>
          <w:iCs/>
          <w:sz w:val="23"/>
          <w:szCs w:val="23"/>
          <w:lang w:val="en-GB"/>
        </w:rPr>
        <w:t>c</w:t>
      </w:r>
      <w:r w:rsidR="00FC194F" w:rsidRPr="003E3613">
        <w:rPr>
          <w:rFonts w:ascii="Book Antiqua" w:hAnsi="Book Antiqua"/>
          <w:iCs/>
          <w:sz w:val="23"/>
          <w:szCs w:val="23"/>
          <w:lang w:val="en-GB"/>
        </w:rPr>
        <w:t xml:space="preserve">an </w:t>
      </w:r>
      <w:r w:rsidRPr="003E3613">
        <w:rPr>
          <w:rFonts w:ascii="Book Antiqua" w:hAnsi="Book Antiqua"/>
          <w:iCs/>
          <w:sz w:val="23"/>
          <w:szCs w:val="23"/>
          <w:lang w:val="en-GB"/>
        </w:rPr>
        <w:t>be individual</w:t>
      </w:r>
      <w:r w:rsidR="00FC194F" w:rsidRPr="003E3613">
        <w:rPr>
          <w:rFonts w:ascii="Book Antiqua" w:hAnsi="Book Antiqua"/>
          <w:iCs/>
          <w:sz w:val="23"/>
          <w:szCs w:val="23"/>
          <w:lang w:val="en-GB"/>
        </w:rPr>
        <w:t>s</w:t>
      </w:r>
      <w:r w:rsidRPr="003E3613">
        <w:rPr>
          <w:rFonts w:ascii="Book Antiqua" w:hAnsi="Book Antiqua"/>
          <w:iCs/>
          <w:sz w:val="23"/>
          <w:szCs w:val="23"/>
          <w:lang w:val="en-GB"/>
        </w:rPr>
        <w:t xml:space="preserve"> or entit</w:t>
      </w:r>
      <w:r w:rsidR="00FC194F" w:rsidRPr="003E3613">
        <w:rPr>
          <w:rFonts w:ascii="Book Antiqua" w:hAnsi="Book Antiqua"/>
          <w:iCs/>
          <w:sz w:val="23"/>
          <w:szCs w:val="23"/>
          <w:lang w:val="en-GB"/>
        </w:rPr>
        <w:t>ies</w:t>
      </w:r>
      <w:r w:rsidR="00446AE6" w:rsidRPr="003E3613">
        <w:rPr>
          <w:rFonts w:ascii="Book Antiqua" w:hAnsi="Book Antiqua"/>
          <w:iCs/>
          <w:sz w:val="23"/>
          <w:szCs w:val="23"/>
          <w:lang w:val="en-GB"/>
        </w:rPr>
        <w:t>,</w:t>
      </w:r>
      <w:r w:rsidRPr="003E3613">
        <w:rPr>
          <w:rFonts w:ascii="Book Antiqua" w:hAnsi="Book Antiqua"/>
          <w:iCs/>
          <w:sz w:val="23"/>
          <w:szCs w:val="23"/>
          <w:lang w:val="en-GB"/>
        </w:rPr>
        <w:t xml:space="preserve"> as well. Therefore</w:t>
      </w:r>
      <w:r w:rsidR="00BD225D" w:rsidRPr="003E3613">
        <w:rPr>
          <w:rFonts w:ascii="Book Antiqua" w:hAnsi="Book Antiqua"/>
          <w:iCs/>
          <w:sz w:val="23"/>
          <w:szCs w:val="23"/>
          <w:lang w:val="en-GB"/>
        </w:rPr>
        <w:t>,</w:t>
      </w:r>
      <w:r w:rsidRPr="003E3613">
        <w:rPr>
          <w:rFonts w:ascii="Book Antiqua" w:hAnsi="Book Antiqua"/>
          <w:iCs/>
          <w:sz w:val="23"/>
          <w:szCs w:val="23"/>
          <w:lang w:val="en-GB"/>
        </w:rPr>
        <w:t xml:space="preserve"> the aim of the new legislation is to tackle the human smuggling networks, and not to prohibit the activities of the NGOs.</w:t>
      </w:r>
    </w:p>
    <w:p w14:paraId="3180D789" w14:textId="77777777" w:rsidR="00087605" w:rsidRPr="003E3613" w:rsidRDefault="00087605" w:rsidP="00204696">
      <w:pPr>
        <w:spacing w:after="0"/>
        <w:jc w:val="both"/>
        <w:rPr>
          <w:rFonts w:ascii="Book Antiqua" w:hAnsi="Book Antiqua"/>
          <w:iCs/>
          <w:sz w:val="23"/>
          <w:szCs w:val="23"/>
          <w:lang w:val="en-GB"/>
        </w:rPr>
      </w:pPr>
    </w:p>
    <w:p w14:paraId="00C9528E" w14:textId="77777777" w:rsidR="00660031" w:rsidRDefault="008D1BAE" w:rsidP="00204696">
      <w:pPr>
        <w:spacing w:after="0"/>
        <w:jc w:val="both"/>
        <w:rPr>
          <w:rFonts w:ascii="Book Antiqua" w:hAnsi="Book Antiqua"/>
          <w:sz w:val="23"/>
          <w:szCs w:val="23"/>
          <w:lang w:val="en-GB"/>
        </w:rPr>
      </w:pPr>
      <w:r w:rsidRPr="003E3613">
        <w:rPr>
          <w:rFonts w:ascii="Book Antiqua" w:hAnsi="Book Antiqua"/>
          <w:iCs/>
          <w:sz w:val="23"/>
          <w:szCs w:val="23"/>
          <w:lang w:val="en-GB"/>
        </w:rPr>
        <w:t>Most importantly it should be emphasi</w:t>
      </w:r>
      <w:r w:rsidR="00FC194F" w:rsidRPr="003E3613">
        <w:rPr>
          <w:rFonts w:ascii="Book Antiqua" w:hAnsi="Book Antiqua"/>
          <w:iCs/>
          <w:sz w:val="23"/>
          <w:szCs w:val="23"/>
          <w:lang w:val="en-GB"/>
        </w:rPr>
        <w:t>s</w:t>
      </w:r>
      <w:r w:rsidRPr="003E3613">
        <w:rPr>
          <w:rFonts w:ascii="Book Antiqua" w:hAnsi="Book Antiqua"/>
          <w:iCs/>
          <w:sz w:val="23"/>
          <w:szCs w:val="23"/>
          <w:lang w:val="en-GB"/>
        </w:rPr>
        <w:t xml:space="preserve">ed </w:t>
      </w:r>
      <w:r w:rsidR="00860030" w:rsidRPr="003E3613">
        <w:rPr>
          <w:rFonts w:ascii="Book Antiqua" w:hAnsi="Book Antiqua"/>
          <w:sz w:val="23"/>
          <w:szCs w:val="23"/>
          <w:lang w:val="en-GB"/>
        </w:rPr>
        <w:t>t</w:t>
      </w:r>
      <w:r w:rsidR="00E05369" w:rsidRPr="003E3613">
        <w:rPr>
          <w:rFonts w:ascii="Book Antiqua" w:hAnsi="Book Antiqua"/>
          <w:sz w:val="23"/>
          <w:szCs w:val="23"/>
          <w:lang w:val="en-GB"/>
        </w:rPr>
        <w:t>hat in its Decision No 3/2019</w:t>
      </w:r>
      <w:r w:rsidR="00860030" w:rsidRPr="003E3613">
        <w:rPr>
          <w:rFonts w:ascii="Book Antiqua" w:hAnsi="Book Antiqua"/>
          <w:sz w:val="23"/>
          <w:szCs w:val="23"/>
          <w:lang w:val="en-GB"/>
        </w:rPr>
        <w:t xml:space="preserve"> (III. 7.) the Hungarian Constitutional Court has declared that with appropriate judicial interpretation the criminal offence of facilitating illegal immigration shall not be considered realised if the aim of the activity is limited to the mitigation of the sufferings of those in need and to the humanitarian treatment of such persons. To reinforce this, the </w:t>
      </w:r>
    </w:p>
    <w:p w14:paraId="6F5EA752" w14:textId="77777777" w:rsidR="00660031" w:rsidRDefault="00660031">
      <w:pPr>
        <w:rPr>
          <w:rFonts w:ascii="Book Antiqua" w:hAnsi="Book Antiqua"/>
          <w:sz w:val="23"/>
          <w:szCs w:val="23"/>
          <w:lang w:val="en-GB"/>
        </w:rPr>
      </w:pPr>
      <w:r>
        <w:rPr>
          <w:rFonts w:ascii="Book Antiqua" w:hAnsi="Book Antiqua"/>
          <w:sz w:val="23"/>
          <w:szCs w:val="23"/>
          <w:lang w:val="en-GB"/>
        </w:rPr>
        <w:br w:type="page"/>
      </w:r>
    </w:p>
    <w:p w14:paraId="36D9781D" w14:textId="4670C5BC" w:rsidR="008D1BAE" w:rsidRPr="003E3613" w:rsidRDefault="00860030" w:rsidP="00204696">
      <w:pPr>
        <w:spacing w:after="0"/>
        <w:jc w:val="both"/>
        <w:rPr>
          <w:rFonts w:ascii="Book Antiqua" w:hAnsi="Book Antiqua"/>
          <w:iCs/>
          <w:sz w:val="23"/>
          <w:szCs w:val="23"/>
          <w:lang w:val="en-GB"/>
        </w:rPr>
      </w:pPr>
      <w:r w:rsidRPr="003E3613">
        <w:rPr>
          <w:rFonts w:ascii="Book Antiqua" w:hAnsi="Book Antiqua"/>
          <w:sz w:val="23"/>
          <w:szCs w:val="23"/>
          <w:lang w:val="en-GB"/>
        </w:rPr>
        <w:lastRenderedPageBreak/>
        <w:t>Constitutional Court laid down as a constitutional requirement that the new statutory definition shall not be applicable to the altruistic conducts that perform the obligation of helping the vulnerable and the poor</w:t>
      </w:r>
      <w:r w:rsidR="008D1BAE" w:rsidRPr="003E3613">
        <w:rPr>
          <w:rFonts w:ascii="Book Antiqua" w:hAnsi="Book Antiqua"/>
          <w:iCs/>
          <w:sz w:val="23"/>
          <w:szCs w:val="23"/>
          <w:lang w:val="en-GB"/>
        </w:rPr>
        <w:t>.</w:t>
      </w:r>
    </w:p>
    <w:p w14:paraId="4FE1C61A" w14:textId="77777777" w:rsidR="008D1BAE" w:rsidRPr="003E3613" w:rsidRDefault="008D1BAE" w:rsidP="00204696">
      <w:pPr>
        <w:spacing w:after="0"/>
        <w:jc w:val="both"/>
        <w:rPr>
          <w:rFonts w:ascii="Book Antiqua" w:hAnsi="Book Antiqua"/>
          <w:iCs/>
          <w:sz w:val="23"/>
          <w:szCs w:val="23"/>
          <w:lang w:val="en-GB"/>
        </w:rPr>
      </w:pPr>
    </w:p>
    <w:p w14:paraId="2379BDEC" w14:textId="1A0817F1" w:rsidR="00D976A7" w:rsidRPr="003E3613" w:rsidRDefault="00BA3979" w:rsidP="00204696">
      <w:pPr>
        <w:autoSpaceDE w:val="0"/>
        <w:autoSpaceDN w:val="0"/>
        <w:adjustRightInd w:val="0"/>
        <w:spacing w:after="0"/>
        <w:jc w:val="both"/>
        <w:rPr>
          <w:rFonts w:ascii="Book Antiqua" w:hAnsi="Book Antiqua"/>
          <w:sz w:val="23"/>
          <w:szCs w:val="23"/>
          <w:lang w:val="en-GB"/>
        </w:rPr>
      </w:pPr>
      <w:r w:rsidRPr="003E3613">
        <w:rPr>
          <w:rFonts w:ascii="Book Antiqua" w:hAnsi="Book Antiqua"/>
          <w:sz w:val="23"/>
          <w:szCs w:val="23"/>
          <w:lang w:val="en-GB"/>
        </w:rPr>
        <w:t xml:space="preserve">On 20 July 2018, the European Commission initiated an infringement procedure by sending a letter of formal notice to the Hungarian </w:t>
      </w:r>
      <w:r w:rsidR="00F0067E" w:rsidRPr="003E3613">
        <w:rPr>
          <w:rFonts w:ascii="Book Antiqua" w:hAnsi="Book Antiqua"/>
          <w:sz w:val="23"/>
          <w:szCs w:val="23"/>
          <w:lang w:val="en-GB"/>
        </w:rPr>
        <w:t>G</w:t>
      </w:r>
      <w:r w:rsidRPr="003E3613">
        <w:rPr>
          <w:rFonts w:ascii="Book Antiqua" w:hAnsi="Book Antiqua"/>
          <w:sz w:val="23"/>
          <w:szCs w:val="23"/>
          <w:lang w:val="en-GB"/>
        </w:rPr>
        <w:t xml:space="preserve">overment. </w:t>
      </w:r>
      <w:r w:rsidR="00284335" w:rsidRPr="003E3613">
        <w:rPr>
          <w:rFonts w:ascii="Book Antiqua" w:hAnsi="Book Antiqua"/>
          <w:iCs/>
          <w:sz w:val="23"/>
          <w:szCs w:val="23"/>
          <w:lang w:val="en-GB"/>
        </w:rPr>
        <w:t>The Commission found that the new Hungarian legislation raise</w:t>
      </w:r>
      <w:r w:rsidR="00FC194F" w:rsidRPr="003E3613">
        <w:rPr>
          <w:rFonts w:ascii="Book Antiqua" w:hAnsi="Book Antiqua"/>
          <w:iCs/>
          <w:sz w:val="23"/>
          <w:szCs w:val="23"/>
          <w:lang w:val="en-GB"/>
        </w:rPr>
        <w:t>d</w:t>
      </w:r>
      <w:r w:rsidR="00284335" w:rsidRPr="003E3613">
        <w:rPr>
          <w:rFonts w:ascii="Book Antiqua" w:hAnsi="Book Antiqua"/>
          <w:iCs/>
          <w:sz w:val="23"/>
          <w:szCs w:val="23"/>
          <w:lang w:val="en-GB"/>
        </w:rPr>
        <w:t xml:space="preserve"> concerns as regards its compatibility with EU law, more precisely with the asylum acquis, free movement rights of EU citizens and with the Charter of Fundamental Rights.</w:t>
      </w:r>
      <w:r w:rsidR="00D976A7" w:rsidRPr="003E3613">
        <w:rPr>
          <w:rFonts w:ascii="Book Antiqua" w:hAnsi="Book Antiqua"/>
          <w:iCs/>
          <w:sz w:val="23"/>
          <w:szCs w:val="23"/>
          <w:lang w:val="en-GB"/>
        </w:rPr>
        <w:t xml:space="preserve"> </w:t>
      </w:r>
      <w:r w:rsidR="00D976A7" w:rsidRPr="003E3613">
        <w:rPr>
          <w:rFonts w:ascii="Book Antiqua" w:hAnsi="Book Antiqua"/>
          <w:sz w:val="23"/>
          <w:szCs w:val="23"/>
          <w:lang w:val="en-GB"/>
        </w:rPr>
        <w:t>On 19 September 2018, the Government</w:t>
      </w:r>
      <w:r w:rsidR="008D3349" w:rsidRPr="003E3613">
        <w:rPr>
          <w:rFonts w:ascii="Book Antiqua" w:hAnsi="Book Antiqua"/>
          <w:sz w:val="23"/>
          <w:szCs w:val="23"/>
          <w:lang w:val="en-GB"/>
        </w:rPr>
        <w:t xml:space="preserve"> sent a reply to the Commission’</w:t>
      </w:r>
      <w:r w:rsidR="00D976A7" w:rsidRPr="003E3613">
        <w:rPr>
          <w:rFonts w:ascii="Book Antiqua" w:hAnsi="Book Antiqua"/>
          <w:sz w:val="23"/>
          <w:szCs w:val="23"/>
          <w:lang w:val="en-GB"/>
        </w:rPr>
        <w:t>s formal request, explaining in detail the invalidi</w:t>
      </w:r>
      <w:r w:rsidR="008D3349" w:rsidRPr="003E3613">
        <w:rPr>
          <w:rFonts w:ascii="Book Antiqua" w:hAnsi="Book Antiqua"/>
          <w:sz w:val="23"/>
          <w:szCs w:val="23"/>
          <w:lang w:val="en-GB"/>
        </w:rPr>
        <w:t>ty of the Commission’</w:t>
      </w:r>
      <w:r w:rsidR="00D976A7" w:rsidRPr="003E3613">
        <w:rPr>
          <w:rFonts w:ascii="Book Antiqua" w:hAnsi="Book Antiqua"/>
          <w:sz w:val="23"/>
          <w:szCs w:val="23"/>
          <w:lang w:val="en-GB"/>
        </w:rPr>
        <w:t>s arguments. On 9 November 2018 the Government informed the Commission that it had submitted a request to the Constitutional Court asking for an interpretation of Article XIV of the Fundamental Law which is a prerequisite in establishing the G</w:t>
      </w:r>
      <w:r w:rsidR="008D3349" w:rsidRPr="003E3613">
        <w:rPr>
          <w:rFonts w:ascii="Book Antiqua" w:hAnsi="Book Antiqua"/>
          <w:sz w:val="23"/>
          <w:szCs w:val="23"/>
          <w:lang w:val="en-GB"/>
        </w:rPr>
        <w:t>overnment’</w:t>
      </w:r>
      <w:r w:rsidR="00D976A7" w:rsidRPr="003E3613">
        <w:rPr>
          <w:rFonts w:ascii="Book Antiqua" w:hAnsi="Book Antiqua"/>
          <w:sz w:val="23"/>
          <w:szCs w:val="23"/>
          <w:lang w:val="en-GB"/>
        </w:rPr>
        <w:t>s argument in the infringement proceedings. Nonetheless the Commission continued the procedure and sent its reasoned opinion on 25 Januar</w:t>
      </w:r>
      <w:r w:rsidR="008D3349" w:rsidRPr="003E3613">
        <w:rPr>
          <w:rFonts w:ascii="Book Antiqua" w:hAnsi="Book Antiqua"/>
          <w:sz w:val="23"/>
          <w:szCs w:val="23"/>
          <w:lang w:val="en-GB"/>
        </w:rPr>
        <w:t>y 2019, to which the Government’</w:t>
      </w:r>
      <w:r w:rsidR="00D976A7" w:rsidRPr="003E3613">
        <w:rPr>
          <w:rFonts w:ascii="Book Antiqua" w:hAnsi="Book Antiqua"/>
          <w:sz w:val="23"/>
          <w:szCs w:val="23"/>
          <w:lang w:val="en-GB"/>
        </w:rPr>
        <w:t>s reply has been sent on 25 March 2019. Ultimately on 25 July 2019 the Commission decided to refer the case to the Court of Justice.</w:t>
      </w:r>
    </w:p>
    <w:p w14:paraId="1077BE7C" w14:textId="77777777" w:rsidR="00D976A7" w:rsidRPr="003E3613" w:rsidRDefault="00D976A7" w:rsidP="00204696">
      <w:pPr>
        <w:autoSpaceDE w:val="0"/>
        <w:autoSpaceDN w:val="0"/>
        <w:adjustRightInd w:val="0"/>
        <w:spacing w:after="0"/>
        <w:jc w:val="both"/>
        <w:rPr>
          <w:rFonts w:ascii="Book Antiqua" w:hAnsi="Book Antiqua"/>
          <w:sz w:val="23"/>
          <w:szCs w:val="23"/>
          <w:lang w:val="en-GB"/>
        </w:rPr>
      </w:pPr>
    </w:p>
    <w:p w14:paraId="5CD353EB" w14:textId="77777777" w:rsidR="0036045A" w:rsidRPr="003E3613" w:rsidRDefault="00D976A7" w:rsidP="00204696">
      <w:pPr>
        <w:spacing w:after="0"/>
        <w:jc w:val="both"/>
        <w:rPr>
          <w:rFonts w:ascii="Book Antiqua" w:hAnsi="Book Antiqua"/>
          <w:iCs/>
          <w:sz w:val="23"/>
          <w:szCs w:val="23"/>
          <w:lang w:val="en-GB"/>
        </w:rPr>
      </w:pPr>
      <w:r w:rsidRPr="003E3613">
        <w:rPr>
          <w:rFonts w:ascii="Book Antiqua" w:hAnsi="Book Antiqua"/>
          <w:iCs/>
          <w:sz w:val="23"/>
          <w:szCs w:val="23"/>
          <w:lang w:val="en-GB"/>
        </w:rPr>
        <w:t>The Hungarian Government’s position is that a</w:t>
      </w:r>
      <w:r w:rsidR="0036045A" w:rsidRPr="003E3613">
        <w:rPr>
          <w:rFonts w:ascii="Book Antiqua" w:eastAsia="Times New Roman" w:hAnsi="Book Antiqua"/>
          <w:sz w:val="23"/>
          <w:szCs w:val="23"/>
          <w:lang w:val="en-GB"/>
        </w:rPr>
        <w:t>s a Member State with a Schengen external border, Hungary has a particularly high burden and responsibility to stem illegal migration, and the Hungarian people are also right to expect the Hungarian Government to take all measures against illegal migration and the promotion of it. In recent years, it has been shown that organizing migration is an activity which seems to be legal but weake</w:t>
      </w:r>
      <w:r w:rsidR="0068338C" w:rsidRPr="003E3613">
        <w:rPr>
          <w:rFonts w:ascii="Book Antiqua" w:eastAsia="Times New Roman" w:hAnsi="Book Antiqua"/>
          <w:sz w:val="23"/>
          <w:szCs w:val="23"/>
          <w:lang w:val="en-GB"/>
        </w:rPr>
        <w:t>n</w:t>
      </w:r>
      <w:r w:rsidR="00E43B5C" w:rsidRPr="003E3613">
        <w:rPr>
          <w:rFonts w:ascii="Book Antiqua" w:eastAsia="Times New Roman" w:hAnsi="Book Antiqua"/>
          <w:sz w:val="23"/>
          <w:szCs w:val="23"/>
          <w:lang w:val="en-GB"/>
        </w:rPr>
        <w:t>s</w:t>
      </w:r>
      <w:r w:rsidR="0036045A" w:rsidRPr="003E3613">
        <w:rPr>
          <w:rFonts w:ascii="Book Antiqua" w:eastAsia="Times New Roman" w:hAnsi="Book Antiqua"/>
          <w:sz w:val="23"/>
          <w:szCs w:val="23"/>
          <w:lang w:val="en-GB"/>
        </w:rPr>
        <w:t xml:space="preserve"> state sovereignty</w:t>
      </w:r>
      <w:r w:rsidR="00430EB8" w:rsidRPr="003E3613">
        <w:rPr>
          <w:rFonts w:ascii="Book Antiqua" w:eastAsia="Times New Roman" w:hAnsi="Book Antiqua"/>
          <w:sz w:val="23"/>
          <w:szCs w:val="23"/>
          <w:lang w:val="en-GB"/>
        </w:rPr>
        <w:t>,</w:t>
      </w:r>
      <w:r w:rsidR="007D394C" w:rsidRPr="003E3613">
        <w:rPr>
          <w:rFonts w:ascii="Book Antiqua" w:eastAsia="Times New Roman" w:hAnsi="Book Antiqua"/>
          <w:sz w:val="23"/>
          <w:szCs w:val="23"/>
          <w:lang w:val="en-GB"/>
        </w:rPr>
        <w:t xml:space="preserve"> </w:t>
      </w:r>
      <w:r w:rsidR="00430EB8" w:rsidRPr="003E3613">
        <w:rPr>
          <w:rFonts w:ascii="Book Antiqua" w:eastAsia="Times New Roman" w:hAnsi="Book Antiqua"/>
          <w:sz w:val="23"/>
          <w:szCs w:val="23"/>
          <w:lang w:val="en-GB"/>
        </w:rPr>
        <w:t xml:space="preserve">and </w:t>
      </w:r>
      <w:r w:rsidR="007D394C" w:rsidRPr="003E3613">
        <w:rPr>
          <w:rFonts w:ascii="Book Antiqua" w:eastAsia="Times New Roman" w:hAnsi="Book Antiqua"/>
          <w:sz w:val="23"/>
          <w:szCs w:val="23"/>
          <w:lang w:val="en-GB"/>
        </w:rPr>
        <w:t>the activity of smugglers and certain NGOs threaten</w:t>
      </w:r>
      <w:r w:rsidR="0036045A" w:rsidRPr="003E3613">
        <w:rPr>
          <w:rFonts w:ascii="Book Antiqua" w:eastAsia="Times New Roman" w:hAnsi="Book Antiqua"/>
          <w:sz w:val="23"/>
          <w:szCs w:val="23"/>
          <w:lang w:val="en-GB"/>
        </w:rPr>
        <w:t xml:space="preserve"> </w:t>
      </w:r>
      <w:r w:rsidR="00430EB8" w:rsidRPr="003E3613">
        <w:rPr>
          <w:rFonts w:ascii="Book Antiqua" w:eastAsia="Times New Roman" w:hAnsi="Book Antiqua"/>
          <w:sz w:val="23"/>
          <w:szCs w:val="23"/>
          <w:lang w:val="en-GB"/>
        </w:rPr>
        <w:t xml:space="preserve">the </w:t>
      </w:r>
      <w:r w:rsidR="0036045A" w:rsidRPr="003E3613">
        <w:rPr>
          <w:rFonts w:ascii="Book Antiqua" w:eastAsia="Times New Roman" w:hAnsi="Book Antiqua"/>
          <w:sz w:val="23"/>
          <w:szCs w:val="23"/>
          <w:lang w:val="en-GB"/>
        </w:rPr>
        <w:t>public order and public security. The organizers consciously build on the fact that expulsion of people or their forced return to their home countries is carried out only in few cases even if these persons are not granted the right for international protection in asylum procedures. Since their countries of origin do not cooperate in this regard even with economically and diplomatically strong European countries this task becomes extremely difficult.</w:t>
      </w:r>
    </w:p>
    <w:p w14:paraId="3247330B" w14:textId="77777777" w:rsidR="00AC21EC" w:rsidRPr="003E3613" w:rsidRDefault="00AC21EC" w:rsidP="00204696">
      <w:pPr>
        <w:autoSpaceDE w:val="0"/>
        <w:autoSpaceDN w:val="0"/>
        <w:adjustRightInd w:val="0"/>
        <w:spacing w:after="0"/>
        <w:jc w:val="both"/>
        <w:rPr>
          <w:rFonts w:ascii="Book Antiqua" w:eastAsia="Times New Roman" w:hAnsi="Book Antiqua"/>
          <w:sz w:val="23"/>
          <w:szCs w:val="23"/>
          <w:lang w:val="en-GB"/>
        </w:rPr>
      </w:pPr>
    </w:p>
    <w:p w14:paraId="707DEA36" w14:textId="77777777" w:rsidR="00AC21EC" w:rsidRPr="003E3613" w:rsidRDefault="00AC21EC"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The Hungarian Government considers democracy and sovereignty of people not only as theoretic principles but also applies them in its everyday practice as its guiding values. This is reflected in the decision of the Government to survey the voters’ opinion on illegal migration</w:t>
      </w:r>
      <w:r w:rsidR="0068338C" w:rsidRPr="003E3613">
        <w:rPr>
          <w:rFonts w:ascii="Book Antiqua" w:hAnsi="Book Antiqua" w:cs="Times New Roman"/>
          <w:sz w:val="23"/>
          <w:szCs w:val="23"/>
          <w:lang w:val="en-GB"/>
        </w:rPr>
        <w:t xml:space="preserve"> as well, whereby</w:t>
      </w:r>
      <w:r w:rsidRPr="003E3613">
        <w:rPr>
          <w:rFonts w:ascii="Book Antiqua" w:hAnsi="Book Antiqua" w:cs="Times New Roman"/>
          <w:sz w:val="23"/>
          <w:szCs w:val="23"/>
          <w:lang w:val="en-GB"/>
        </w:rPr>
        <w:t xml:space="preserve"> Hungarian people rejected both illegal immigration and the mandatory relocation quotas and articulated their wish for an enhanced external border protection scheme.</w:t>
      </w:r>
    </w:p>
    <w:p w14:paraId="298F02D1" w14:textId="77777777" w:rsidR="003C0E12" w:rsidRPr="003E3613" w:rsidRDefault="003C0E12" w:rsidP="00204696">
      <w:pPr>
        <w:spacing w:after="0"/>
        <w:jc w:val="both"/>
        <w:rPr>
          <w:rFonts w:ascii="Book Antiqua" w:hAnsi="Book Antiqua" w:cs="Times New Roman"/>
          <w:sz w:val="23"/>
          <w:szCs w:val="23"/>
          <w:lang w:val="en-GB"/>
        </w:rPr>
      </w:pPr>
    </w:p>
    <w:p w14:paraId="5608D9E5" w14:textId="77777777" w:rsidR="00660031" w:rsidRDefault="00AC21EC" w:rsidP="00204696">
      <w:pPr>
        <w:autoSpaceDE w:val="0"/>
        <w:autoSpaceDN w:val="0"/>
        <w:adjustRightInd w:val="0"/>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The comprehensive aim of the legislati</w:t>
      </w:r>
      <w:r w:rsidR="0068338C" w:rsidRPr="003E3613">
        <w:rPr>
          <w:rFonts w:ascii="Book Antiqua" w:hAnsi="Book Antiqua" w:cs="Times New Roman"/>
          <w:sz w:val="23"/>
          <w:szCs w:val="23"/>
          <w:lang w:val="en-GB"/>
        </w:rPr>
        <w:t xml:space="preserve">ve </w:t>
      </w:r>
      <w:r w:rsidRPr="003E3613">
        <w:rPr>
          <w:rFonts w:ascii="Book Antiqua" w:hAnsi="Book Antiqua" w:cs="Times New Roman"/>
          <w:sz w:val="23"/>
          <w:szCs w:val="23"/>
          <w:lang w:val="en-GB"/>
        </w:rPr>
        <w:t xml:space="preserve">package is to </w:t>
      </w:r>
      <w:r w:rsidR="0068338C" w:rsidRPr="003E3613">
        <w:rPr>
          <w:rFonts w:ascii="Book Antiqua" w:hAnsi="Book Antiqua" w:cs="Times New Roman"/>
          <w:sz w:val="23"/>
          <w:szCs w:val="23"/>
          <w:lang w:val="en-GB"/>
        </w:rPr>
        <w:t xml:space="preserve">combat </w:t>
      </w:r>
      <w:r w:rsidR="00BD0A8B" w:rsidRPr="003E3613">
        <w:rPr>
          <w:rFonts w:ascii="Book Antiqua" w:hAnsi="Book Antiqua" w:cs="Times New Roman"/>
          <w:sz w:val="23"/>
          <w:szCs w:val="23"/>
          <w:lang w:val="en-GB"/>
        </w:rPr>
        <w:t>organisation</w:t>
      </w:r>
      <w:r w:rsidR="0068338C" w:rsidRPr="003E3613">
        <w:rPr>
          <w:rFonts w:ascii="Book Antiqua" w:hAnsi="Book Antiqua" w:cs="Times New Roman"/>
          <w:sz w:val="23"/>
          <w:szCs w:val="23"/>
          <w:lang w:val="en-GB"/>
        </w:rPr>
        <w:t xml:space="preserve">al activities the aim of which is </w:t>
      </w:r>
      <w:r w:rsidR="0068338C" w:rsidRPr="003E3613">
        <w:rPr>
          <w:rFonts w:ascii="Book Antiqua" w:hAnsi="Book Antiqua"/>
          <w:iCs/>
          <w:sz w:val="23"/>
          <w:szCs w:val="23"/>
          <w:lang w:val="en-GB"/>
        </w:rPr>
        <w:t xml:space="preserve">aiding illegal </w:t>
      </w:r>
      <w:r w:rsidR="0068338C" w:rsidRPr="003E3613">
        <w:rPr>
          <w:rFonts w:ascii="Book Antiqua" w:hAnsi="Book Antiqua" w:cs="Times New Roman"/>
          <w:iCs/>
          <w:sz w:val="23"/>
          <w:szCs w:val="23"/>
          <w:lang w:val="en-GB"/>
        </w:rPr>
        <w:t>immigration</w:t>
      </w:r>
      <w:r w:rsidR="0068338C" w:rsidRPr="003E3613">
        <w:rPr>
          <w:rFonts w:ascii="Book Antiqua" w:hAnsi="Book Antiqua" w:cs="Times New Roman"/>
          <w:sz w:val="23"/>
          <w:szCs w:val="23"/>
          <w:lang w:val="en-GB"/>
        </w:rPr>
        <w:t xml:space="preserve">. This aim is identical to what is defined in Preamble (1) and (2) of Council Directive 2002/90/EC on defining the facilitation of unauthorised entry, transit and residence: ‘(1) One of the objectives of the European </w:t>
      </w:r>
    </w:p>
    <w:p w14:paraId="7B5D5AAC" w14:textId="77777777" w:rsidR="00660031" w:rsidRDefault="00660031">
      <w:pPr>
        <w:rPr>
          <w:rFonts w:ascii="Book Antiqua" w:hAnsi="Book Antiqua" w:cs="Times New Roman"/>
          <w:sz w:val="23"/>
          <w:szCs w:val="23"/>
          <w:lang w:val="en-GB"/>
        </w:rPr>
      </w:pPr>
      <w:r>
        <w:rPr>
          <w:rFonts w:ascii="Book Antiqua" w:hAnsi="Book Antiqua" w:cs="Times New Roman"/>
          <w:sz w:val="23"/>
          <w:szCs w:val="23"/>
          <w:lang w:val="en-GB"/>
        </w:rPr>
        <w:br w:type="page"/>
      </w:r>
    </w:p>
    <w:p w14:paraId="6E6BE6A9" w14:textId="2C9C184F" w:rsidR="00AC21EC" w:rsidRPr="003E3613" w:rsidRDefault="0068338C" w:rsidP="00204696">
      <w:pPr>
        <w:autoSpaceDE w:val="0"/>
        <w:autoSpaceDN w:val="0"/>
        <w:adjustRightInd w:val="0"/>
        <w:spacing w:after="0"/>
        <w:jc w:val="both"/>
        <w:rPr>
          <w:rFonts w:ascii="Book Antiqua" w:eastAsia="Times New Roman" w:hAnsi="Book Antiqua"/>
          <w:sz w:val="23"/>
          <w:szCs w:val="23"/>
          <w:lang w:val="en-GB"/>
        </w:rPr>
      </w:pPr>
      <w:r w:rsidRPr="003E3613">
        <w:rPr>
          <w:rFonts w:ascii="Book Antiqua" w:hAnsi="Book Antiqua" w:cs="Times New Roman"/>
          <w:sz w:val="23"/>
          <w:szCs w:val="23"/>
          <w:lang w:val="en-GB"/>
        </w:rPr>
        <w:lastRenderedPageBreak/>
        <w:t xml:space="preserve">Union is the gradual creation of an area of freedom, security and justice, which means, inter alia, that </w:t>
      </w:r>
      <w:r w:rsidRPr="003E3613">
        <w:rPr>
          <w:rFonts w:ascii="Book Antiqua" w:hAnsi="Book Antiqua" w:cs="Times New Roman"/>
          <w:i/>
          <w:sz w:val="23"/>
          <w:szCs w:val="23"/>
          <w:lang w:val="en-GB"/>
        </w:rPr>
        <w:t>illegal immigration must be combated</w:t>
      </w:r>
      <w:r w:rsidRPr="003E3613">
        <w:rPr>
          <w:rFonts w:ascii="Book Antiqua" w:hAnsi="Book Antiqua" w:cs="Times New Roman"/>
          <w:sz w:val="23"/>
          <w:szCs w:val="23"/>
          <w:lang w:val="en-GB"/>
        </w:rPr>
        <w:t xml:space="preserve">. (2) Consequently, </w:t>
      </w:r>
      <w:r w:rsidRPr="003E3613">
        <w:rPr>
          <w:rFonts w:ascii="Book Antiqua" w:hAnsi="Book Antiqua" w:cs="Times New Roman"/>
          <w:i/>
          <w:sz w:val="23"/>
          <w:szCs w:val="23"/>
          <w:lang w:val="en-GB"/>
        </w:rPr>
        <w:t>measures should be taken to combat the aiding of illegal immigration</w:t>
      </w:r>
      <w:r w:rsidRPr="003E3613">
        <w:rPr>
          <w:rFonts w:ascii="Book Antiqua" w:hAnsi="Book Antiqua" w:cs="Times New Roman"/>
          <w:sz w:val="23"/>
          <w:szCs w:val="23"/>
          <w:lang w:val="en-GB"/>
        </w:rPr>
        <w:t xml:space="preserve"> both in connection with unauthorised crossing of the border in the strict sense and for the purpose of sustaining networks which exploit human beings.</w:t>
      </w:r>
      <w:r w:rsidR="00430EB8" w:rsidRPr="003E3613">
        <w:rPr>
          <w:rFonts w:ascii="Book Antiqua" w:hAnsi="Book Antiqua" w:cs="Times New Roman"/>
          <w:sz w:val="23"/>
          <w:szCs w:val="23"/>
          <w:lang w:val="en-GB"/>
        </w:rPr>
        <w:t xml:space="preserve">’ </w:t>
      </w:r>
      <w:r w:rsidR="00AC21EC" w:rsidRPr="003E3613">
        <w:rPr>
          <w:rFonts w:ascii="Book Antiqua" w:hAnsi="Book Antiqua" w:cs="Times New Roman"/>
          <w:sz w:val="23"/>
          <w:szCs w:val="23"/>
          <w:lang w:val="en-GB"/>
        </w:rPr>
        <w:t xml:space="preserve">This is the purpose of the legislation-package, which enables the courts to </w:t>
      </w:r>
      <w:bookmarkStart w:id="47" w:name="_Hlk520632570"/>
      <w:r w:rsidR="00AC21EC" w:rsidRPr="003E3613">
        <w:rPr>
          <w:rFonts w:ascii="Book Antiqua" w:hAnsi="Book Antiqua" w:cs="Times New Roman"/>
          <w:sz w:val="23"/>
          <w:szCs w:val="23"/>
          <w:lang w:val="en-GB"/>
        </w:rPr>
        <w:t xml:space="preserve">penalize </w:t>
      </w:r>
      <w:bookmarkEnd w:id="47"/>
      <w:r w:rsidR="00AC21EC" w:rsidRPr="003E3613">
        <w:rPr>
          <w:rFonts w:ascii="Book Antiqua" w:hAnsi="Book Antiqua" w:cs="Times New Roman"/>
          <w:sz w:val="23"/>
          <w:szCs w:val="23"/>
          <w:lang w:val="en-GB"/>
        </w:rPr>
        <w:t xml:space="preserve">the organisation of illegal migration. The regulation offers a complex solution, and </w:t>
      </w:r>
      <w:r w:rsidRPr="003E3613">
        <w:rPr>
          <w:rFonts w:ascii="Book Antiqua" w:eastAsia="Times New Roman" w:hAnsi="Book Antiqua"/>
          <w:sz w:val="23"/>
          <w:szCs w:val="23"/>
          <w:lang w:val="en-GB"/>
        </w:rPr>
        <w:t>t</w:t>
      </w:r>
      <w:r w:rsidR="0036045A" w:rsidRPr="003E3613">
        <w:rPr>
          <w:rFonts w:ascii="Book Antiqua" w:eastAsia="Times New Roman" w:hAnsi="Book Antiqua"/>
          <w:sz w:val="23"/>
          <w:szCs w:val="23"/>
          <w:lang w:val="en-GB"/>
        </w:rPr>
        <w:t xml:space="preserve">o achieve this, the State will have effective means to act against the organizers of illegal migration by establishing a criminal offence, strengthening the state border regime and extending </w:t>
      </w:r>
      <w:r w:rsidRPr="003E3613">
        <w:rPr>
          <w:rFonts w:ascii="Book Antiqua" w:eastAsia="Times New Roman" w:hAnsi="Book Antiqua"/>
          <w:sz w:val="23"/>
          <w:szCs w:val="23"/>
          <w:lang w:val="en-GB"/>
        </w:rPr>
        <w:t xml:space="preserve">the scope of relevant </w:t>
      </w:r>
      <w:r w:rsidR="0036045A" w:rsidRPr="003E3613">
        <w:rPr>
          <w:rFonts w:ascii="Book Antiqua" w:eastAsia="Times New Roman" w:hAnsi="Book Antiqua"/>
          <w:sz w:val="23"/>
          <w:szCs w:val="23"/>
          <w:lang w:val="en-GB"/>
        </w:rPr>
        <w:t>police measures.</w:t>
      </w:r>
    </w:p>
    <w:p w14:paraId="3C7CE053" w14:textId="77777777" w:rsidR="00AC21EC" w:rsidRPr="003E3613" w:rsidRDefault="00AC21EC" w:rsidP="00204696">
      <w:pPr>
        <w:autoSpaceDE w:val="0"/>
        <w:autoSpaceDN w:val="0"/>
        <w:adjustRightInd w:val="0"/>
        <w:spacing w:after="0"/>
        <w:jc w:val="both"/>
        <w:rPr>
          <w:rFonts w:ascii="Book Antiqua" w:eastAsia="Times New Roman" w:hAnsi="Book Antiqua"/>
          <w:sz w:val="23"/>
          <w:szCs w:val="23"/>
          <w:lang w:val="en-GB"/>
        </w:rPr>
      </w:pPr>
    </w:p>
    <w:p w14:paraId="1DB69E9B" w14:textId="7BA381BF" w:rsidR="0036045A" w:rsidRPr="003E3613" w:rsidRDefault="0036045A" w:rsidP="00204696">
      <w:pPr>
        <w:autoSpaceDE w:val="0"/>
        <w:autoSpaceDN w:val="0"/>
        <w:adjustRightInd w:val="0"/>
        <w:spacing w:after="0"/>
        <w:jc w:val="both"/>
        <w:rPr>
          <w:rFonts w:ascii="Book Antiqua" w:eastAsia="Times New Roman" w:hAnsi="Book Antiqua"/>
          <w:sz w:val="23"/>
          <w:szCs w:val="23"/>
          <w:lang w:val="en-GB"/>
        </w:rPr>
      </w:pPr>
      <w:r w:rsidRPr="003E3613">
        <w:rPr>
          <w:rFonts w:ascii="Book Antiqua" w:eastAsia="Times New Roman" w:hAnsi="Book Antiqua"/>
          <w:sz w:val="23"/>
          <w:szCs w:val="23"/>
          <w:lang w:val="en-GB"/>
        </w:rPr>
        <w:t>As a precondition of the legislati</w:t>
      </w:r>
      <w:r w:rsidR="0068338C" w:rsidRPr="003E3613">
        <w:rPr>
          <w:rFonts w:ascii="Book Antiqua" w:eastAsia="Times New Roman" w:hAnsi="Book Antiqua"/>
          <w:sz w:val="23"/>
          <w:szCs w:val="23"/>
          <w:lang w:val="en-GB"/>
        </w:rPr>
        <w:t xml:space="preserve">ve </w:t>
      </w:r>
      <w:r w:rsidRPr="003E3613">
        <w:rPr>
          <w:rFonts w:ascii="Book Antiqua" w:eastAsia="Times New Roman" w:hAnsi="Book Antiqua"/>
          <w:sz w:val="23"/>
          <w:szCs w:val="23"/>
          <w:lang w:val="en-GB"/>
        </w:rPr>
        <w:t>package, the Fundamental Law was modified, by which Hungary, among other</w:t>
      </w:r>
      <w:r w:rsidR="00430EB8" w:rsidRPr="003E3613">
        <w:rPr>
          <w:rFonts w:ascii="Book Antiqua" w:eastAsia="Times New Roman" w:hAnsi="Book Antiqua"/>
          <w:sz w:val="23"/>
          <w:szCs w:val="23"/>
          <w:lang w:val="en-GB"/>
        </w:rPr>
        <w:t xml:space="preserve"> Member State</w:t>
      </w:r>
      <w:r w:rsidRPr="003E3613">
        <w:rPr>
          <w:rFonts w:ascii="Book Antiqua" w:eastAsia="Times New Roman" w:hAnsi="Book Antiqua"/>
          <w:sz w:val="23"/>
          <w:szCs w:val="23"/>
          <w:lang w:val="en-GB"/>
        </w:rPr>
        <w:t xml:space="preserve">s, raised the principle to the constitutional level that says </w:t>
      </w:r>
      <w:r w:rsidR="009E7263" w:rsidRPr="003E3613">
        <w:rPr>
          <w:rFonts w:ascii="Book Antiqua" w:eastAsia="Times New Roman" w:hAnsi="Book Antiqua"/>
          <w:sz w:val="23"/>
          <w:szCs w:val="23"/>
          <w:lang w:val="en-GB"/>
        </w:rPr>
        <w:t xml:space="preserve">that </w:t>
      </w:r>
      <w:r w:rsidR="00AC21EC" w:rsidRPr="003E3613">
        <w:rPr>
          <w:rFonts w:ascii="Book Antiqua" w:eastAsia="Times New Roman" w:hAnsi="Book Antiqua"/>
          <w:sz w:val="23"/>
          <w:szCs w:val="23"/>
          <w:lang w:val="en-GB"/>
        </w:rPr>
        <w:t>“</w:t>
      </w:r>
      <w:r w:rsidRPr="003E3613">
        <w:rPr>
          <w:rFonts w:ascii="Book Antiqua" w:eastAsia="Times New Roman" w:hAnsi="Book Antiqua"/>
          <w:sz w:val="23"/>
          <w:szCs w:val="23"/>
          <w:lang w:val="en-GB"/>
        </w:rPr>
        <w:t>a State has the right to determine the conditions according to which aliens are allowed to enter its territory”.</w:t>
      </w:r>
      <w:r w:rsidR="00A92393" w:rsidRPr="003E3613">
        <w:rPr>
          <w:rFonts w:ascii="Book Antiqua" w:eastAsia="Times New Roman" w:hAnsi="Book Antiqua"/>
          <w:sz w:val="23"/>
          <w:szCs w:val="23"/>
          <w:lang w:val="en-GB"/>
        </w:rPr>
        <w:t xml:space="preserve"> This practice can be identified in</w:t>
      </w:r>
      <w:r w:rsidR="003E3E0C" w:rsidRPr="003E3613">
        <w:rPr>
          <w:rFonts w:ascii="Book Antiqua" w:eastAsia="Times New Roman" w:hAnsi="Book Antiqua"/>
          <w:sz w:val="23"/>
          <w:szCs w:val="23"/>
          <w:lang w:val="en-GB"/>
        </w:rPr>
        <w:t xml:space="preserve"> one of</w:t>
      </w:r>
      <w:r w:rsidR="00A92393" w:rsidRPr="003E3613">
        <w:rPr>
          <w:rFonts w:ascii="Book Antiqua" w:eastAsia="Times New Roman" w:hAnsi="Book Antiqua"/>
          <w:sz w:val="23"/>
          <w:szCs w:val="23"/>
          <w:lang w:val="en-GB"/>
        </w:rPr>
        <w:t xml:space="preserve"> the </w:t>
      </w:r>
      <w:r w:rsidR="003E3E0C" w:rsidRPr="003E3613">
        <w:rPr>
          <w:rFonts w:ascii="Book Antiqua" w:eastAsia="Times New Roman" w:hAnsi="Book Antiqua"/>
          <w:sz w:val="23"/>
          <w:szCs w:val="23"/>
          <w:lang w:val="en-GB"/>
        </w:rPr>
        <w:t xml:space="preserve">Member States’ Fundamental </w:t>
      </w:r>
      <w:r w:rsidR="00A92393" w:rsidRPr="003E3613">
        <w:rPr>
          <w:rFonts w:ascii="Book Antiqua" w:eastAsia="Times New Roman" w:hAnsi="Book Antiqua"/>
          <w:sz w:val="23"/>
          <w:szCs w:val="23"/>
          <w:lang w:val="en-GB"/>
        </w:rPr>
        <w:t xml:space="preserve">Law as well: the right of asylum may not be invoked by a person who enters the federal territory from a </w:t>
      </w:r>
      <w:r w:rsidR="003E3E0C" w:rsidRPr="003E3613">
        <w:rPr>
          <w:rFonts w:ascii="Book Antiqua" w:eastAsia="Times New Roman" w:hAnsi="Book Antiqua"/>
          <w:sz w:val="23"/>
          <w:szCs w:val="23"/>
          <w:lang w:val="en-GB"/>
        </w:rPr>
        <w:t>M</w:t>
      </w:r>
      <w:r w:rsidR="00A92393" w:rsidRPr="003E3613">
        <w:rPr>
          <w:rFonts w:ascii="Book Antiqua" w:eastAsia="Times New Roman" w:hAnsi="Book Antiqua"/>
          <w:sz w:val="23"/>
          <w:szCs w:val="23"/>
          <w:lang w:val="en-GB"/>
        </w:rPr>
        <w:t xml:space="preserve">ember </w:t>
      </w:r>
      <w:r w:rsidR="003E3E0C" w:rsidRPr="003E3613">
        <w:rPr>
          <w:rFonts w:ascii="Book Antiqua" w:eastAsia="Times New Roman" w:hAnsi="Book Antiqua"/>
          <w:sz w:val="23"/>
          <w:szCs w:val="23"/>
          <w:lang w:val="en-GB"/>
        </w:rPr>
        <w:t>S</w:t>
      </w:r>
      <w:r w:rsidR="00A92393" w:rsidRPr="003E3613">
        <w:rPr>
          <w:rFonts w:ascii="Book Antiqua" w:eastAsia="Times New Roman" w:hAnsi="Book Antiqua"/>
          <w:sz w:val="23"/>
          <w:szCs w:val="23"/>
          <w:lang w:val="en-GB"/>
        </w:rPr>
        <w:t>tate of the European Communities or from another third state in which application of the Convention Relating to the Status of Refugees and of the Convention for the Protection</w:t>
      </w:r>
      <w:r w:rsidR="001C73C8" w:rsidRPr="003E3613">
        <w:rPr>
          <w:rFonts w:ascii="Book Antiqua" w:eastAsia="Times New Roman" w:hAnsi="Book Antiqua"/>
          <w:sz w:val="23"/>
          <w:szCs w:val="23"/>
          <w:lang w:val="en-GB"/>
        </w:rPr>
        <w:t xml:space="preserve"> of Human Rights and Fundamental Freedoms is assured</w:t>
      </w:r>
      <w:r w:rsidR="00A92393" w:rsidRPr="003E3613">
        <w:rPr>
          <w:rFonts w:ascii="Book Antiqua" w:eastAsia="Times New Roman" w:hAnsi="Book Antiqua"/>
          <w:sz w:val="23"/>
          <w:szCs w:val="23"/>
          <w:lang w:val="en-GB"/>
        </w:rPr>
        <w:t>.</w:t>
      </w:r>
      <w:r w:rsidRPr="003E3613">
        <w:rPr>
          <w:rFonts w:ascii="Book Antiqua" w:eastAsia="Times New Roman" w:hAnsi="Book Antiqua"/>
          <w:sz w:val="23"/>
          <w:szCs w:val="23"/>
          <w:lang w:val="en-GB"/>
        </w:rPr>
        <w:t xml:space="preserve"> This principle is accepted by international customary law and is proven by the practice of the states, and it is also set in the draft proposal of the United Nations International Law Commission on the rules of expulsion of aliens under international law. It evidently follows from the foregoing that the sovereignty of the State immanently incorporates the unalienable right of authorizing the entry of foreigners to the State’s territory.</w:t>
      </w:r>
    </w:p>
    <w:p w14:paraId="01EF5A9B" w14:textId="77777777" w:rsidR="0036045A" w:rsidRPr="003E3613" w:rsidRDefault="0036045A" w:rsidP="00204696">
      <w:pPr>
        <w:autoSpaceDE w:val="0"/>
        <w:autoSpaceDN w:val="0"/>
        <w:adjustRightInd w:val="0"/>
        <w:spacing w:after="0"/>
        <w:jc w:val="both"/>
        <w:rPr>
          <w:rFonts w:ascii="Book Antiqua" w:eastAsia="Times New Roman" w:hAnsi="Book Antiqua"/>
          <w:sz w:val="23"/>
          <w:szCs w:val="23"/>
          <w:lang w:val="en-GB"/>
        </w:rPr>
      </w:pPr>
    </w:p>
    <w:p w14:paraId="5673ABEC" w14:textId="77777777" w:rsidR="0036045A" w:rsidRPr="003E3613" w:rsidRDefault="0036045A" w:rsidP="00204696">
      <w:pPr>
        <w:autoSpaceDE w:val="0"/>
        <w:autoSpaceDN w:val="0"/>
        <w:adjustRightInd w:val="0"/>
        <w:spacing w:after="0"/>
        <w:jc w:val="both"/>
        <w:rPr>
          <w:rFonts w:ascii="Book Antiqua" w:eastAsia="Times New Roman" w:hAnsi="Book Antiqua"/>
          <w:sz w:val="23"/>
          <w:szCs w:val="23"/>
          <w:lang w:val="en-GB"/>
        </w:rPr>
      </w:pPr>
      <w:r w:rsidRPr="003E3613">
        <w:rPr>
          <w:rFonts w:ascii="Book Antiqua" w:eastAsia="Times New Roman" w:hAnsi="Book Antiqua"/>
          <w:sz w:val="23"/>
          <w:szCs w:val="23"/>
          <w:lang w:val="en-GB"/>
        </w:rPr>
        <w:t xml:space="preserve">According to the new criminal offence, the perpetrator </w:t>
      </w:r>
      <w:r w:rsidR="0068338C" w:rsidRPr="003E3613">
        <w:rPr>
          <w:rFonts w:ascii="Book Antiqua" w:eastAsia="Times New Roman" w:hAnsi="Book Antiqua"/>
          <w:sz w:val="23"/>
          <w:szCs w:val="23"/>
          <w:lang w:val="en-GB"/>
        </w:rPr>
        <w:t xml:space="preserve">organizes </w:t>
      </w:r>
      <w:r w:rsidRPr="003E3613">
        <w:rPr>
          <w:rFonts w:ascii="Book Antiqua" w:eastAsia="Times New Roman" w:hAnsi="Book Antiqua"/>
          <w:sz w:val="23"/>
          <w:szCs w:val="23"/>
          <w:lang w:val="en-GB"/>
        </w:rPr>
        <w:t>assistance to a person</w:t>
      </w:r>
      <w:r w:rsidR="0068338C" w:rsidRPr="003E3613">
        <w:rPr>
          <w:rFonts w:ascii="Book Antiqua" w:eastAsia="Times New Roman" w:hAnsi="Book Antiqua"/>
          <w:sz w:val="23"/>
          <w:szCs w:val="23"/>
          <w:lang w:val="en-GB"/>
        </w:rPr>
        <w:t xml:space="preserve">, whom they know at the time of the perpetration that the person </w:t>
      </w:r>
      <w:r w:rsidR="003E3E0C" w:rsidRPr="003E3613">
        <w:rPr>
          <w:rFonts w:ascii="Book Antiqua" w:eastAsia="Times New Roman" w:hAnsi="Book Antiqua"/>
          <w:sz w:val="23"/>
          <w:szCs w:val="23"/>
          <w:lang w:val="en-GB"/>
        </w:rPr>
        <w:t xml:space="preserve">concerned </w:t>
      </w:r>
      <w:r w:rsidR="0068338C" w:rsidRPr="003E3613">
        <w:rPr>
          <w:rFonts w:ascii="Book Antiqua" w:eastAsia="Times New Roman" w:hAnsi="Book Antiqua"/>
          <w:sz w:val="23"/>
          <w:szCs w:val="23"/>
          <w:lang w:val="en-GB"/>
        </w:rPr>
        <w:t xml:space="preserve">is not entitled for asylum, </w:t>
      </w:r>
      <w:r w:rsidRPr="003E3613">
        <w:rPr>
          <w:rFonts w:ascii="Book Antiqua" w:eastAsia="Times New Roman" w:hAnsi="Book Antiqua"/>
          <w:sz w:val="23"/>
          <w:szCs w:val="23"/>
          <w:lang w:val="en-GB"/>
        </w:rPr>
        <w:t xml:space="preserve">in order to obtain international protection in Hungary or consenting to the </w:t>
      </w:r>
      <w:r w:rsidR="0068338C" w:rsidRPr="003E3613">
        <w:rPr>
          <w:rFonts w:ascii="Book Antiqua" w:eastAsia="Times New Roman" w:hAnsi="Book Antiqua"/>
          <w:sz w:val="23"/>
          <w:szCs w:val="23"/>
          <w:lang w:val="en-GB"/>
        </w:rPr>
        <w:t xml:space="preserve">acquisition </w:t>
      </w:r>
      <w:r w:rsidRPr="003E3613">
        <w:rPr>
          <w:rFonts w:ascii="Book Antiqua" w:eastAsia="Times New Roman" w:hAnsi="Book Antiqua"/>
          <w:sz w:val="23"/>
          <w:szCs w:val="23"/>
          <w:lang w:val="en-GB"/>
        </w:rPr>
        <w:t>of a residence permit for a person illegally entering or illegally staying in Hungary. The legislation is in line with Article 31 (1) of the Geneva Convention, which protects only those who come directly from a territory where their lives or their freedom are at risk. In this regard, it has to be highlighted that according to the statement of the Venice Commission, the criminalization of such behaviours which incite migrants to circumvent the legislation of a country on immigration is not contrary to the international standards of human rights, as it aspires to achieve the aim set out in Paragraph 2 of Article 11 of the European Convention on Human Rights.</w:t>
      </w:r>
    </w:p>
    <w:p w14:paraId="2E975EBF" w14:textId="77777777" w:rsidR="0036045A" w:rsidRPr="003E3613" w:rsidRDefault="0036045A" w:rsidP="00204696">
      <w:pPr>
        <w:autoSpaceDE w:val="0"/>
        <w:autoSpaceDN w:val="0"/>
        <w:adjustRightInd w:val="0"/>
        <w:spacing w:after="0"/>
        <w:jc w:val="both"/>
        <w:rPr>
          <w:rFonts w:ascii="Book Antiqua" w:eastAsia="Times New Roman" w:hAnsi="Book Antiqua"/>
          <w:sz w:val="23"/>
          <w:szCs w:val="23"/>
          <w:lang w:val="en-GB"/>
        </w:rPr>
      </w:pPr>
    </w:p>
    <w:p w14:paraId="001A7FFC" w14:textId="77777777" w:rsidR="0036045A" w:rsidRPr="003E3613" w:rsidRDefault="0036045A" w:rsidP="00204696">
      <w:pPr>
        <w:autoSpaceDE w:val="0"/>
        <w:autoSpaceDN w:val="0"/>
        <w:adjustRightInd w:val="0"/>
        <w:spacing w:after="0"/>
        <w:jc w:val="both"/>
        <w:rPr>
          <w:rFonts w:ascii="Book Antiqua" w:eastAsia="Times New Roman" w:hAnsi="Book Antiqua"/>
          <w:sz w:val="23"/>
          <w:szCs w:val="23"/>
          <w:lang w:val="en-GB"/>
        </w:rPr>
      </w:pPr>
      <w:r w:rsidRPr="003E3613">
        <w:rPr>
          <w:rFonts w:ascii="Book Antiqua" w:eastAsia="Times New Roman" w:hAnsi="Book Antiqua"/>
          <w:sz w:val="23"/>
          <w:szCs w:val="23"/>
          <w:lang w:val="en-GB"/>
        </w:rPr>
        <w:t>The Venice Commission in its recommendation suggested that a criminal offen</w:t>
      </w:r>
      <w:r w:rsidR="00AE3084" w:rsidRPr="003E3613">
        <w:rPr>
          <w:rFonts w:ascii="Book Antiqua" w:eastAsia="Times New Roman" w:hAnsi="Book Antiqua"/>
          <w:sz w:val="23"/>
          <w:szCs w:val="23"/>
          <w:lang w:val="en-GB"/>
        </w:rPr>
        <w:t>c</w:t>
      </w:r>
      <w:r w:rsidRPr="003E3613">
        <w:rPr>
          <w:rFonts w:ascii="Book Antiqua" w:eastAsia="Times New Roman" w:hAnsi="Book Antiqua"/>
          <w:sz w:val="23"/>
          <w:szCs w:val="23"/>
          <w:lang w:val="en-GB"/>
        </w:rPr>
        <w:t xml:space="preserve">e should not threaten </w:t>
      </w:r>
      <w:bookmarkStart w:id="48" w:name="_Hlk520633544"/>
      <w:r w:rsidRPr="003E3613">
        <w:rPr>
          <w:rFonts w:ascii="Book Antiqua" w:eastAsia="Times New Roman" w:hAnsi="Book Antiqua"/>
          <w:sz w:val="23"/>
          <w:szCs w:val="23"/>
          <w:lang w:val="en-GB"/>
        </w:rPr>
        <w:t xml:space="preserve">the initiation of an asylum procedure with a sanction, if it is for a person who was not either prosecuted in their country of origin or was not directly persecuted there, either. This point of the recommendation is not acceptable, as according to the new criminal offence, the perpetrator </w:t>
      </w:r>
      <w:r w:rsidR="006A0406" w:rsidRPr="003E3613">
        <w:rPr>
          <w:rFonts w:ascii="Book Antiqua" w:eastAsia="Times New Roman" w:hAnsi="Book Antiqua"/>
          <w:sz w:val="23"/>
          <w:szCs w:val="23"/>
          <w:lang w:val="en-GB"/>
        </w:rPr>
        <w:t xml:space="preserve">supports or makes </w:t>
      </w:r>
      <w:r w:rsidRPr="003E3613">
        <w:rPr>
          <w:rFonts w:ascii="Book Antiqua" w:eastAsia="Times New Roman" w:hAnsi="Book Antiqua"/>
          <w:sz w:val="23"/>
          <w:szCs w:val="23"/>
          <w:lang w:val="en-GB"/>
        </w:rPr>
        <w:t>the illegal immigration of a person who has violated the Geneva Convention easier, thus, the threat of the legal consequences of the criminal offence is justified</w:t>
      </w:r>
      <w:bookmarkEnd w:id="48"/>
      <w:r w:rsidRPr="003E3613">
        <w:rPr>
          <w:rFonts w:ascii="Book Antiqua" w:eastAsia="Times New Roman" w:hAnsi="Book Antiqua"/>
          <w:sz w:val="23"/>
          <w:szCs w:val="23"/>
          <w:lang w:val="en-GB"/>
        </w:rPr>
        <w:t>.</w:t>
      </w:r>
    </w:p>
    <w:p w14:paraId="13AC9BAD" w14:textId="77777777" w:rsidR="0036045A" w:rsidRPr="003E3613" w:rsidRDefault="0036045A" w:rsidP="00204696">
      <w:pPr>
        <w:autoSpaceDE w:val="0"/>
        <w:autoSpaceDN w:val="0"/>
        <w:adjustRightInd w:val="0"/>
        <w:spacing w:after="0"/>
        <w:jc w:val="both"/>
        <w:rPr>
          <w:rFonts w:ascii="Book Antiqua" w:hAnsi="Book Antiqua"/>
          <w:sz w:val="23"/>
          <w:szCs w:val="23"/>
          <w:lang w:val="en-GB"/>
        </w:rPr>
      </w:pPr>
    </w:p>
    <w:p w14:paraId="5FDCE702" w14:textId="77777777" w:rsidR="0036045A" w:rsidRPr="003E3613" w:rsidRDefault="0036045A" w:rsidP="00204696">
      <w:pPr>
        <w:autoSpaceDE w:val="0"/>
        <w:autoSpaceDN w:val="0"/>
        <w:adjustRightInd w:val="0"/>
        <w:spacing w:after="0"/>
        <w:jc w:val="both"/>
        <w:rPr>
          <w:rFonts w:ascii="Book Antiqua" w:hAnsi="Book Antiqua"/>
          <w:sz w:val="23"/>
          <w:szCs w:val="23"/>
          <w:lang w:val="en-GB"/>
        </w:rPr>
      </w:pPr>
      <w:r w:rsidRPr="003E3613">
        <w:rPr>
          <w:rFonts w:ascii="Book Antiqua" w:hAnsi="Book Antiqua"/>
          <w:sz w:val="23"/>
          <w:szCs w:val="23"/>
          <w:lang w:val="en-GB"/>
        </w:rPr>
        <w:t xml:space="preserve">In order to </w:t>
      </w:r>
      <w:r w:rsidR="008B0D26" w:rsidRPr="003E3613">
        <w:rPr>
          <w:rFonts w:ascii="Book Antiqua" w:hAnsi="Book Antiqua"/>
          <w:sz w:val="23"/>
          <w:szCs w:val="23"/>
          <w:lang w:val="en-GB"/>
        </w:rPr>
        <w:t xml:space="preserve">clarify </w:t>
      </w:r>
      <w:r w:rsidRPr="003E3613">
        <w:rPr>
          <w:rFonts w:ascii="Book Antiqua" w:hAnsi="Book Antiqua"/>
          <w:sz w:val="23"/>
          <w:szCs w:val="23"/>
          <w:lang w:val="en-GB"/>
        </w:rPr>
        <w:t>the application of the new criminal offence, a definition is provided for the most typical organizing activities. Ultimately the court decides on penalties, following the thorough examination of all the circumstances of the individual case.</w:t>
      </w:r>
    </w:p>
    <w:p w14:paraId="3897118C" w14:textId="77777777" w:rsidR="0036045A" w:rsidRPr="003E3613" w:rsidRDefault="0036045A" w:rsidP="00204696">
      <w:pPr>
        <w:autoSpaceDE w:val="0"/>
        <w:autoSpaceDN w:val="0"/>
        <w:adjustRightInd w:val="0"/>
        <w:spacing w:after="0"/>
        <w:jc w:val="both"/>
        <w:rPr>
          <w:rFonts w:ascii="Book Antiqua" w:hAnsi="Book Antiqua"/>
          <w:sz w:val="23"/>
          <w:szCs w:val="23"/>
          <w:lang w:val="en-GB"/>
        </w:rPr>
      </w:pPr>
    </w:p>
    <w:p w14:paraId="16890167" w14:textId="77777777" w:rsidR="0036045A" w:rsidRPr="003E3613" w:rsidRDefault="0036045A" w:rsidP="00204696">
      <w:pPr>
        <w:autoSpaceDE w:val="0"/>
        <w:autoSpaceDN w:val="0"/>
        <w:adjustRightInd w:val="0"/>
        <w:spacing w:after="0"/>
        <w:jc w:val="both"/>
        <w:rPr>
          <w:rFonts w:ascii="Book Antiqua" w:hAnsi="Book Antiqua"/>
          <w:sz w:val="23"/>
          <w:szCs w:val="23"/>
          <w:lang w:val="en-GB"/>
        </w:rPr>
      </w:pPr>
      <w:r w:rsidRPr="003E3613">
        <w:rPr>
          <w:rFonts w:ascii="Book Antiqua" w:hAnsi="Book Antiqua"/>
          <w:sz w:val="23"/>
          <w:szCs w:val="23"/>
          <w:lang w:val="en-GB"/>
        </w:rPr>
        <w:t xml:space="preserve">According to the recommendation of the Venice Commission, the new criminal offence involves the possibility of prosecuting natural persons or organisations who lawfully provide support for asylum-seekers and foreign nationals. </w:t>
      </w:r>
      <w:r w:rsidRPr="003E3613">
        <w:rPr>
          <w:rFonts w:ascii="Book Antiqua" w:eastAsia="Times New Roman" w:hAnsi="Book Antiqua"/>
          <w:bCs/>
          <w:sz w:val="23"/>
          <w:szCs w:val="23"/>
          <w:lang w:val="en-GB"/>
        </w:rPr>
        <w:t xml:space="preserve">Although the law does not contain explicit exceptions, the concept of the </w:t>
      </w:r>
      <w:r w:rsidR="00BD0A8B" w:rsidRPr="003E3613">
        <w:rPr>
          <w:rFonts w:ascii="Book Antiqua" w:eastAsia="Times New Roman" w:hAnsi="Book Antiqua"/>
          <w:bCs/>
          <w:sz w:val="23"/>
          <w:szCs w:val="23"/>
          <w:lang w:val="en-GB"/>
        </w:rPr>
        <w:t>organisation</w:t>
      </w:r>
      <w:r w:rsidRPr="003E3613">
        <w:rPr>
          <w:rFonts w:ascii="Book Antiqua" w:eastAsia="Times New Roman" w:hAnsi="Book Antiqua"/>
          <w:bCs/>
          <w:sz w:val="23"/>
          <w:szCs w:val="23"/>
          <w:lang w:val="en-GB"/>
        </w:rPr>
        <w:t xml:space="preserve">al behaviour does not include representation, legal counselling, protection in asylum or criminal procedures, and, hence it does not impede civil society </w:t>
      </w:r>
      <w:r w:rsidR="00BD0A8B" w:rsidRPr="003E3613">
        <w:rPr>
          <w:rFonts w:ascii="Book Antiqua" w:eastAsia="Times New Roman" w:hAnsi="Book Antiqua"/>
          <w:bCs/>
          <w:sz w:val="23"/>
          <w:szCs w:val="23"/>
          <w:lang w:val="en-GB"/>
        </w:rPr>
        <w:t>organisation</w:t>
      </w:r>
      <w:r w:rsidRPr="003E3613">
        <w:rPr>
          <w:rFonts w:ascii="Book Antiqua" w:eastAsia="Times New Roman" w:hAnsi="Book Antiqua"/>
          <w:bCs/>
          <w:sz w:val="23"/>
          <w:szCs w:val="23"/>
          <w:lang w:val="en-GB"/>
        </w:rPr>
        <w:t xml:space="preserve">s with </w:t>
      </w:r>
      <w:r w:rsidR="00522CE5" w:rsidRPr="003E3613">
        <w:rPr>
          <w:rFonts w:ascii="Book Antiqua" w:eastAsia="Times New Roman" w:hAnsi="Book Antiqua"/>
          <w:bCs/>
          <w:sz w:val="23"/>
          <w:szCs w:val="23"/>
          <w:lang w:val="en-GB"/>
        </w:rPr>
        <w:t>legitimate</w:t>
      </w:r>
      <w:r w:rsidR="00301B11" w:rsidRPr="003E3613">
        <w:rPr>
          <w:rFonts w:ascii="Book Antiqua" w:eastAsia="Times New Roman" w:hAnsi="Book Antiqua"/>
          <w:bCs/>
          <w:sz w:val="23"/>
          <w:szCs w:val="23"/>
          <w:lang w:val="en-GB"/>
        </w:rPr>
        <w:t xml:space="preserve"> </w:t>
      </w:r>
      <w:r w:rsidRPr="003E3613">
        <w:rPr>
          <w:rFonts w:ascii="Book Antiqua" w:eastAsia="Times New Roman" w:hAnsi="Book Antiqua"/>
          <w:bCs/>
          <w:sz w:val="23"/>
          <w:szCs w:val="23"/>
          <w:lang w:val="en-GB"/>
        </w:rPr>
        <w:t>goals</w:t>
      </w:r>
      <w:r w:rsidR="0068338C" w:rsidRPr="003E3613">
        <w:rPr>
          <w:rFonts w:ascii="Book Antiqua" w:eastAsia="Times New Roman" w:hAnsi="Book Antiqua"/>
          <w:bCs/>
          <w:sz w:val="23"/>
          <w:szCs w:val="23"/>
          <w:lang w:val="en-GB"/>
        </w:rPr>
        <w:t>, especially the UNHCR which has a privileged status in Hungary</w:t>
      </w:r>
      <w:r w:rsidRPr="003E3613">
        <w:rPr>
          <w:rFonts w:ascii="Book Antiqua" w:eastAsia="Times New Roman" w:hAnsi="Book Antiqua"/>
          <w:bCs/>
          <w:sz w:val="23"/>
          <w:szCs w:val="23"/>
          <w:lang w:val="en-GB"/>
        </w:rPr>
        <w:t>.</w:t>
      </w:r>
    </w:p>
    <w:p w14:paraId="21078238" w14:textId="77777777" w:rsidR="0036045A" w:rsidRPr="003E3613" w:rsidRDefault="0036045A" w:rsidP="00204696">
      <w:pPr>
        <w:autoSpaceDE w:val="0"/>
        <w:autoSpaceDN w:val="0"/>
        <w:adjustRightInd w:val="0"/>
        <w:spacing w:after="0"/>
        <w:jc w:val="both"/>
        <w:rPr>
          <w:rFonts w:ascii="Book Antiqua" w:eastAsia="Times New Roman" w:hAnsi="Book Antiqua"/>
          <w:sz w:val="23"/>
          <w:szCs w:val="23"/>
          <w:lang w:val="en-GB"/>
        </w:rPr>
      </w:pPr>
    </w:p>
    <w:p w14:paraId="381B61DB" w14:textId="77777777" w:rsidR="0036045A" w:rsidRPr="003E3613" w:rsidRDefault="00301B11" w:rsidP="00204696">
      <w:pPr>
        <w:autoSpaceDE w:val="0"/>
        <w:autoSpaceDN w:val="0"/>
        <w:adjustRightInd w:val="0"/>
        <w:spacing w:after="0"/>
        <w:jc w:val="both"/>
        <w:rPr>
          <w:rFonts w:ascii="Book Antiqua" w:eastAsia="Times New Roman" w:hAnsi="Book Antiqua"/>
          <w:sz w:val="23"/>
          <w:szCs w:val="23"/>
          <w:lang w:val="en-GB"/>
        </w:rPr>
      </w:pPr>
      <w:r w:rsidRPr="003E3613">
        <w:rPr>
          <w:rFonts w:ascii="Book Antiqua" w:eastAsia="Times New Roman" w:hAnsi="Book Antiqua"/>
          <w:sz w:val="23"/>
          <w:szCs w:val="23"/>
          <w:lang w:val="en-GB"/>
        </w:rPr>
        <w:t xml:space="preserve">According to the disposition, this crime can only be </w:t>
      </w:r>
      <w:r w:rsidR="00522CE5" w:rsidRPr="003E3613">
        <w:rPr>
          <w:rFonts w:ascii="Book Antiqua" w:eastAsia="Times New Roman" w:hAnsi="Book Antiqua"/>
          <w:sz w:val="23"/>
          <w:szCs w:val="23"/>
          <w:lang w:val="en-GB"/>
        </w:rPr>
        <w:t>committed</w:t>
      </w:r>
      <w:r w:rsidRPr="003E3613">
        <w:rPr>
          <w:rFonts w:ascii="Book Antiqua" w:eastAsia="Times New Roman" w:hAnsi="Book Antiqua"/>
          <w:sz w:val="23"/>
          <w:szCs w:val="23"/>
          <w:lang w:val="en-GB"/>
        </w:rPr>
        <w:t xml:space="preserve"> intentionally. </w:t>
      </w:r>
      <w:r w:rsidR="0036045A" w:rsidRPr="003E3613">
        <w:rPr>
          <w:rFonts w:ascii="Book Antiqua" w:eastAsia="Times New Roman" w:hAnsi="Book Antiqua"/>
          <w:sz w:val="23"/>
          <w:szCs w:val="23"/>
          <w:lang w:val="en-GB"/>
        </w:rPr>
        <w:t>The offen</w:t>
      </w:r>
      <w:r w:rsidR="00AE3084" w:rsidRPr="003E3613">
        <w:rPr>
          <w:rFonts w:ascii="Book Antiqua" w:eastAsia="Times New Roman" w:hAnsi="Book Antiqua"/>
          <w:sz w:val="23"/>
          <w:szCs w:val="23"/>
          <w:lang w:val="en-GB"/>
        </w:rPr>
        <w:t>c</w:t>
      </w:r>
      <w:r w:rsidR="0036045A" w:rsidRPr="003E3613">
        <w:rPr>
          <w:rFonts w:ascii="Book Antiqua" w:eastAsia="Times New Roman" w:hAnsi="Book Antiqua"/>
          <w:sz w:val="23"/>
          <w:szCs w:val="23"/>
          <w:lang w:val="en-GB"/>
        </w:rPr>
        <w:t xml:space="preserve">e is </w:t>
      </w:r>
      <w:r w:rsidR="001A2731" w:rsidRPr="003E3613">
        <w:rPr>
          <w:rFonts w:ascii="Book Antiqua" w:eastAsia="Times New Roman" w:hAnsi="Book Antiqua"/>
          <w:sz w:val="23"/>
          <w:szCs w:val="23"/>
          <w:lang w:val="en-GB"/>
        </w:rPr>
        <w:t xml:space="preserve">an </w:t>
      </w:r>
      <w:r w:rsidR="0036045A" w:rsidRPr="003E3613">
        <w:rPr>
          <w:rFonts w:ascii="Book Antiqua" w:eastAsia="Times New Roman" w:hAnsi="Book Antiqua"/>
          <w:sz w:val="23"/>
          <w:szCs w:val="23"/>
          <w:lang w:val="en-GB"/>
        </w:rPr>
        <w:t xml:space="preserve">immaterial crime, </w:t>
      </w:r>
      <w:r w:rsidR="001A2731" w:rsidRPr="003E3613">
        <w:rPr>
          <w:rFonts w:ascii="Book Antiqua" w:eastAsia="Times New Roman" w:hAnsi="Book Antiqua"/>
          <w:sz w:val="23"/>
          <w:szCs w:val="23"/>
          <w:lang w:val="en-GB"/>
        </w:rPr>
        <w:t>the fact that the</w:t>
      </w:r>
      <w:r w:rsidR="001A2731" w:rsidRPr="003E3613" w:rsidDel="001A2731">
        <w:rPr>
          <w:rFonts w:ascii="Book Antiqua" w:eastAsia="Times New Roman" w:hAnsi="Book Antiqua"/>
          <w:sz w:val="23"/>
          <w:szCs w:val="23"/>
          <w:lang w:val="en-GB"/>
        </w:rPr>
        <w:t xml:space="preserve"> </w:t>
      </w:r>
      <w:r w:rsidR="0036045A" w:rsidRPr="003E3613">
        <w:rPr>
          <w:rFonts w:ascii="Book Antiqua" w:eastAsia="Times New Roman" w:hAnsi="Book Antiqua"/>
          <w:sz w:val="23"/>
          <w:szCs w:val="23"/>
          <w:lang w:val="en-GB"/>
        </w:rPr>
        <w:t xml:space="preserve">asylum </w:t>
      </w:r>
      <w:r w:rsidR="001A2731" w:rsidRPr="003E3613">
        <w:rPr>
          <w:rFonts w:ascii="Book Antiqua" w:eastAsia="Times New Roman" w:hAnsi="Book Antiqua"/>
          <w:sz w:val="23"/>
          <w:szCs w:val="23"/>
          <w:lang w:val="en-GB"/>
        </w:rPr>
        <w:t>application is refused by the authority is not a condition for the criminal offence to be founded</w:t>
      </w:r>
      <w:r w:rsidR="0036045A" w:rsidRPr="003E3613">
        <w:rPr>
          <w:rFonts w:ascii="Book Antiqua" w:eastAsia="Times New Roman" w:hAnsi="Book Antiqua"/>
          <w:sz w:val="23"/>
          <w:szCs w:val="23"/>
          <w:lang w:val="en-GB"/>
        </w:rPr>
        <w:t>. The subsidiary characteristic of the crime is important and it can only be established if a more serious offen</w:t>
      </w:r>
      <w:r w:rsidR="00AE3084" w:rsidRPr="003E3613">
        <w:rPr>
          <w:rFonts w:ascii="Book Antiqua" w:eastAsia="Times New Roman" w:hAnsi="Book Antiqua"/>
          <w:sz w:val="23"/>
          <w:szCs w:val="23"/>
          <w:lang w:val="en-GB"/>
        </w:rPr>
        <w:t>c</w:t>
      </w:r>
      <w:r w:rsidR="0036045A" w:rsidRPr="003E3613">
        <w:rPr>
          <w:rFonts w:ascii="Book Antiqua" w:eastAsia="Times New Roman" w:hAnsi="Book Antiqua"/>
          <w:sz w:val="23"/>
          <w:szCs w:val="23"/>
          <w:lang w:val="en-GB"/>
        </w:rPr>
        <w:t>e, such as smuggling of human beings, is not carried out by the perpetrator. It is a</w:t>
      </w:r>
      <w:r w:rsidR="00C817DD" w:rsidRPr="003E3613">
        <w:rPr>
          <w:rFonts w:ascii="Book Antiqua" w:eastAsia="Times New Roman" w:hAnsi="Book Antiqua"/>
          <w:sz w:val="23"/>
          <w:szCs w:val="23"/>
          <w:lang w:val="en-GB"/>
        </w:rPr>
        <w:t xml:space="preserve"> </w:t>
      </w:r>
      <w:r w:rsidR="001A2731" w:rsidRPr="003E3613">
        <w:rPr>
          <w:rFonts w:ascii="Book Antiqua" w:eastAsia="Times New Roman" w:hAnsi="Book Antiqua"/>
          <w:sz w:val="23"/>
          <w:szCs w:val="23"/>
          <w:lang w:val="en-GB"/>
        </w:rPr>
        <w:t xml:space="preserve">mitigating </w:t>
      </w:r>
      <w:r w:rsidR="00C817DD" w:rsidRPr="003E3613">
        <w:rPr>
          <w:rFonts w:ascii="Book Antiqua" w:eastAsia="Times New Roman" w:hAnsi="Book Antiqua"/>
          <w:sz w:val="23"/>
          <w:szCs w:val="23"/>
          <w:lang w:val="en-GB"/>
        </w:rPr>
        <w:t>circumstance</w:t>
      </w:r>
      <w:r w:rsidR="0036045A" w:rsidRPr="003E3613">
        <w:rPr>
          <w:rFonts w:ascii="Book Antiqua" w:eastAsia="Times New Roman" w:hAnsi="Book Antiqua"/>
          <w:sz w:val="23"/>
          <w:szCs w:val="23"/>
          <w:lang w:val="en-GB"/>
        </w:rPr>
        <w:t>, if the perpetrator unveils the circumstances of the criminal act before being committed. In these cases, the penalty may be reduced without limitation and in cases deserving special consideration, it can be dismissed.</w:t>
      </w:r>
    </w:p>
    <w:p w14:paraId="0D85DB4A" w14:textId="77777777" w:rsidR="008C36AC" w:rsidRPr="003E3613" w:rsidRDefault="008C36AC" w:rsidP="00204696">
      <w:pPr>
        <w:autoSpaceDE w:val="0"/>
        <w:autoSpaceDN w:val="0"/>
        <w:adjustRightInd w:val="0"/>
        <w:spacing w:after="0"/>
        <w:jc w:val="both"/>
        <w:rPr>
          <w:rFonts w:ascii="Book Antiqua" w:eastAsia="Times New Roman" w:hAnsi="Book Antiqua"/>
          <w:sz w:val="23"/>
          <w:szCs w:val="23"/>
          <w:lang w:val="en-GB"/>
        </w:rPr>
      </w:pPr>
    </w:p>
    <w:p w14:paraId="633A595B" w14:textId="77777777" w:rsidR="0036045A" w:rsidRPr="003E3613" w:rsidRDefault="0036045A" w:rsidP="00204696">
      <w:pPr>
        <w:autoSpaceDE w:val="0"/>
        <w:autoSpaceDN w:val="0"/>
        <w:adjustRightInd w:val="0"/>
        <w:spacing w:after="0"/>
        <w:jc w:val="both"/>
        <w:rPr>
          <w:rFonts w:ascii="Book Antiqua" w:hAnsi="Book Antiqua"/>
          <w:sz w:val="23"/>
          <w:szCs w:val="23"/>
          <w:lang w:val="en-GB"/>
        </w:rPr>
      </w:pPr>
      <w:bookmarkStart w:id="49" w:name="_Hlk520633048"/>
      <w:r w:rsidRPr="003E3613">
        <w:rPr>
          <w:rFonts w:ascii="Book Antiqua" w:hAnsi="Book Antiqua"/>
          <w:sz w:val="23"/>
          <w:szCs w:val="23"/>
          <w:lang w:val="en-GB"/>
        </w:rPr>
        <w:t>It is submitted that the new criminal offence is not applied to those who advocate for human rights and who exercise their right to a fair trial in official proceedings in a legal way</w:t>
      </w:r>
      <w:bookmarkEnd w:id="49"/>
      <w:r w:rsidRPr="003E3613">
        <w:rPr>
          <w:rFonts w:ascii="Book Antiqua" w:hAnsi="Book Antiqua"/>
          <w:sz w:val="23"/>
          <w:szCs w:val="23"/>
          <w:lang w:val="en-GB"/>
        </w:rPr>
        <w:t xml:space="preserve">. </w:t>
      </w:r>
    </w:p>
    <w:p w14:paraId="5082F018" w14:textId="77777777" w:rsidR="0036045A" w:rsidRPr="003E3613" w:rsidRDefault="0036045A" w:rsidP="00204696">
      <w:pPr>
        <w:autoSpaceDE w:val="0"/>
        <w:autoSpaceDN w:val="0"/>
        <w:adjustRightInd w:val="0"/>
        <w:spacing w:after="0"/>
        <w:jc w:val="both"/>
        <w:rPr>
          <w:rFonts w:ascii="Book Antiqua" w:hAnsi="Book Antiqua"/>
          <w:sz w:val="23"/>
          <w:szCs w:val="23"/>
          <w:lang w:val="en-GB"/>
        </w:rPr>
      </w:pPr>
    </w:p>
    <w:p w14:paraId="4A41A21C" w14:textId="77777777" w:rsidR="0036045A" w:rsidRPr="003E3613" w:rsidRDefault="0036045A" w:rsidP="00204696">
      <w:pPr>
        <w:spacing w:after="0"/>
        <w:jc w:val="both"/>
        <w:rPr>
          <w:rFonts w:ascii="Book Antiqua" w:hAnsi="Book Antiqua"/>
          <w:sz w:val="23"/>
          <w:szCs w:val="23"/>
          <w:lang w:val="en-GB"/>
        </w:rPr>
      </w:pPr>
      <w:r w:rsidRPr="003E3613">
        <w:rPr>
          <w:rFonts w:ascii="Book Antiqua" w:hAnsi="Book Antiqua"/>
          <w:sz w:val="23"/>
          <w:szCs w:val="23"/>
          <w:lang w:val="en-GB"/>
        </w:rPr>
        <w:t>The legislative package also amended the Act on the State Border and introduced a prohibition. According to this provision no one may stay within the 8 km range of the external state border or of the border sign specified in Point 2 of Article 2 of the Schengen Borders Code (hereinafter referred to as the territory defined by the Act on the State Border) if they are being prosecuted for committing a criminal offen</w:t>
      </w:r>
      <w:r w:rsidR="00AE3084" w:rsidRPr="003E3613">
        <w:rPr>
          <w:rFonts w:ascii="Book Antiqua" w:hAnsi="Book Antiqua"/>
          <w:sz w:val="23"/>
          <w:szCs w:val="23"/>
          <w:lang w:val="en-GB"/>
        </w:rPr>
        <w:t>c</w:t>
      </w:r>
      <w:r w:rsidRPr="003E3613">
        <w:rPr>
          <w:rFonts w:ascii="Book Antiqua" w:hAnsi="Book Antiqua"/>
          <w:sz w:val="23"/>
          <w:szCs w:val="23"/>
          <w:lang w:val="en-GB"/>
        </w:rPr>
        <w:t xml:space="preserve">e related to border security and the state border regime, unless this person has </w:t>
      </w:r>
      <w:r w:rsidR="001A2731" w:rsidRPr="003E3613">
        <w:rPr>
          <w:rFonts w:ascii="Book Antiqua" w:hAnsi="Book Antiqua"/>
          <w:sz w:val="23"/>
          <w:szCs w:val="23"/>
          <w:lang w:val="en-GB"/>
        </w:rPr>
        <w:t xml:space="preserve">an at least 5-year </w:t>
      </w:r>
      <w:r w:rsidRPr="003E3613">
        <w:rPr>
          <w:rFonts w:ascii="Book Antiqua" w:hAnsi="Book Antiqua"/>
          <w:sz w:val="23"/>
          <w:szCs w:val="23"/>
          <w:lang w:val="en-GB"/>
        </w:rPr>
        <w:t>valid address of residence within this area. Therefore, if the investigating authority informs a person of their well-founded suspicion that that person is involved in such a criminal offen</w:t>
      </w:r>
      <w:r w:rsidR="00AE3084" w:rsidRPr="003E3613">
        <w:rPr>
          <w:rFonts w:ascii="Book Antiqua" w:hAnsi="Book Antiqua"/>
          <w:sz w:val="23"/>
          <w:szCs w:val="23"/>
          <w:lang w:val="en-GB"/>
        </w:rPr>
        <w:t>c</w:t>
      </w:r>
      <w:r w:rsidRPr="003E3613">
        <w:rPr>
          <w:rFonts w:ascii="Book Antiqua" w:hAnsi="Book Antiqua"/>
          <w:sz w:val="23"/>
          <w:szCs w:val="23"/>
          <w:lang w:val="en-GB"/>
        </w:rPr>
        <w:t xml:space="preserve">e </w:t>
      </w:r>
      <w:r w:rsidR="001A2731" w:rsidRPr="003E3613">
        <w:rPr>
          <w:rFonts w:ascii="Book Antiqua" w:hAnsi="Book Antiqua"/>
          <w:sz w:val="23"/>
          <w:szCs w:val="23"/>
          <w:lang w:val="en-GB"/>
        </w:rPr>
        <w:t xml:space="preserve">(i.e. </w:t>
      </w:r>
      <w:r w:rsidR="00BD0A8B" w:rsidRPr="003E3613">
        <w:rPr>
          <w:rFonts w:ascii="Book Antiqua" w:hAnsi="Book Antiqua"/>
          <w:iCs/>
          <w:sz w:val="23"/>
          <w:szCs w:val="23"/>
          <w:lang w:val="en-GB"/>
        </w:rPr>
        <w:t>organisation</w:t>
      </w:r>
      <w:r w:rsidR="001A2731" w:rsidRPr="003E3613">
        <w:rPr>
          <w:rFonts w:ascii="Book Antiqua" w:hAnsi="Book Antiqua"/>
          <w:iCs/>
          <w:sz w:val="23"/>
          <w:szCs w:val="23"/>
          <w:lang w:val="en-GB"/>
        </w:rPr>
        <w:t>al activity aiding illegal immigration</w:t>
      </w:r>
      <w:r w:rsidR="001A2731" w:rsidRPr="003E3613">
        <w:rPr>
          <w:rFonts w:ascii="Book Antiqua" w:hAnsi="Book Antiqua"/>
          <w:sz w:val="23"/>
          <w:szCs w:val="23"/>
          <w:lang w:val="en-GB"/>
        </w:rPr>
        <w:t>)</w:t>
      </w:r>
      <w:r w:rsidRPr="003E3613">
        <w:rPr>
          <w:rFonts w:ascii="Book Antiqua" w:hAnsi="Book Antiqua"/>
          <w:sz w:val="23"/>
          <w:szCs w:val="23"/>
          <w:lang w:val="en-GB"/>
        </w:rPr>
        <w:t>, then that person becomes a suspect, and they cannot, from that moment on, be in the territory defined by the Act on State Border.</w:t>
      </w:r>
    </w:p>
    <w:p w14:paraId="52F4DA65" w14:textId="77777777" w:rsidR="0036045A" w:rsidRPr="003E3613" w:rsidRDefault="0036045A" w:rsidP="00204696">
      <w:pPr>
        <w:autoSpaceDE w:val="0"/>
        <w:autoSpaceDN w:val="0"/>
        <w:adjustRightInd w:val="0"/>
        <w:spacing w:after="0"/>
        <w:jc w:val="both"/>
        <w:rPr>
          <w:rFonts w:ascii="Book Antiqua" w:hAnsi="Book Antiqua"/>
          <w:sz w:val="23"/>
          <w:szCs w:val="23"/>
          <w:lang w:val="en-GB"/>
        </w:rPr>
      </w:pPr>
    </w:p>
    <w:p w14:paraId="47560D8F" w14:textId="77777777" w:rsidR="00660031" w:rsidRDefault="0036045A" w:rsidP="00204696">
      <w:pPr>
        <w:autoSpaceDE w:val="0"/>
        <w:autoSpaceDN w:val="0"/>
        <w:adjustRightInd w:val="0"/>
        <w:spacing w:after="0"/>
        <w:jc w:val="both"/>
        <w:rPr>
          <w:rFonts w:ascii="Book Antiqua" w:hAnsi="Book Antiqua"/>
          <w:sz w:val="23"/>
          <w:szCs w:val="23"/>
          <w:lang w:val="en-GB"/>
        </w:rPr>
      </w:pPr>
      <w:r w:rsidRPr="003E3613">
        <w:rPr>
          <w:rFonts w:ascii="Book Antiqua" w:hAnsi="Book Antiqua"/>
          <w:sz w:val="23"/>
          <w:szCs w:val="23"/>
          <w:lang w:val="en-GB"/>
        </w:rPr>
        <w:t xml:space="preserve">Act XXXIV of 1994 on the Police (hereinafter: Rtv.) was amended in order to provide the full range of actions with a new measure, called “restraining from border”. It assures that </w:t>
      </w:r>
    </w:p>
    <w:p w14:paraId="4D575444" w14:textId="77777777" w:rsidR="00660031" w:rsidRDefault="00660031">
      <w:pPr>
        <w:rPr>
          <w:rFonts w:ascii="Book Antiqua" w:hAnsi="Book Antiqua"/>
          <w:sz w:val="23"/>
          <w:szCs w:val="23"/>
          <w:lang w:val="en-GB"/>
        </w:rPr>
      </w:pPr>
      <w:r>
        <w:rPr>
          <w:rFonts w:ascii="Book Antiqua" w:hAnsi="Book Antiqua"/>
          <w:sz w:val="23"/>
          <w:szCs w:val="23"/>
          <w:lang w:val="en-GB"/>
        </w:rPr>
        <w:br w:type="page"/>
      </w:r>
    </w:p>
    <w:p w14:paraId="166B46CF" w14:textId="4B5314F2" w:rsidR="0036045A" w:rsidRPr="003E3613" w:rsidRDefault="0036045A" w:rsidP="00204696">
      <w:pPr>
        <w:autoSpaceDE w:val="0"/>
        <w:autoSpaceDN w:val="0"/>
        <w:adjustRightInd w:val="0"/>
        <w:spacing w:after="0"/>
        <w:jc w:val="both"/>
        <w:rPr>
          <w:rFonts w:ascii="Book Antiqua" w:hAnsi="Book Antiqua"/>
          <w:sz w:val="23"/>
          <w:szCs w:val="23"/>
          <w:lang w:val="en-GB"/>
        </w:rPr>
      </w:pPr>
      <w:r w:rsidRPr="003E3613">
        <w:rPr>
          <w:rFonts w:ascii="Book Antiqua" w:hAnsi="Book Antiqua"/>
          <w:sz w:val="23"/>
          <w:szCs w:val="23"/>
          <w:lang w:val="en-GB"/>
        </w:rPr>
        <w:lastRenderedPageBreak/>
        <w:t xml:space="preserve">on the one hand no one who is </w:t>
      </w:r>
      <w:r w:rsidR="001A2731" w:rsidRPr="003E3613">
        <w:rPr>
          <w:rFonts w:ascii="Book Antiqua" w:hAnsi="Book Antiqua"/>
          <w:sz w:val="23"/>
          <w:szCs w:val="23"/>
          <w:lang w:val="en-GB"/>
        </w:rPr>
        <w:t xml:space="preserve">subject to </w:t>
      </w:r>
      <w:r w:rsidRPr="003E3613">
        <w:rPr>
          <w:rFonts w:ascii="Book Antiqua" w:hAnsi="Book Antiqua"/>
          <w:sz w:val="23"/>
          <w:szCs w:val="23"/>
          <w:lang w:val="en-GB"/>
        </w:rPr>
        <w:t>a criminal procedure for criminal offences related to border security and the state border regime may enter the territory defined by the Act on the State Border and on the other hand, that such a person may be removed from that territory by the police.</w:t>
      </w:r>
    </w:p>
    <w:p w14:paraId="2C883F2E" w14:textId="77777777" w:rsidR="0036045A" w:rsidRPr="003E3613" w:rsidRDefault="0036045A" w:rsidP="00204696">
      <w:pPr>
        <w:autoSpaceDE w:val="0"/>
        <w:autoSpaceDN w:val="0"/>
        <w:adjustRightInd w:val="0"/>
        <w:spacing w:after="0"/>
        <w:jc w:val="both"/>
        <w:rPr>
          <w:rFonts w:ascii="Book Antiqua" w:hAnsi="Book Antiqua"/>
          <w:iCs/>
          <w:sz w:val="23"/>
          <w:szCs w:val="23"/>
          <w:lang w:val="en-GB"/>
        </w:rPr>
      </w:pPr>
    </w:p>
    <w:p w14:paraId="01EC823C" w14:textId="77777777" w:rsidR="0036045A" w:rsidRPr="003E3613" w:rsidRDefault="0036045A" w:rsidP="00204696">
      <w:pPr>
        <w:autoSpaceDE w:val="0"/>
        <w:autoSpaceDN w:val="0"/>
        <w:adjustRightInd w:val="0"/>
        <w:spacing w:after="0"/>
        <w:jc w:val="both"/>
        <w:rPr>
          <w:rFonts w:ascii="Book Antiqua" w:hAnsi="Book Antiqua"/>
          <w:sz w:val="23"/>
          <w:szCs w:val="23"/>
          <w:lang w:val="en-GB"/>
        </w:rPr>
      </w:pPr>
      <w:r w:rsidRPr="003E3613">
        <w:rPr>
          <w:rFonts w:ascii="Book Antiqua" w:hAnsi="Book Antiqua"/>
          <w:sz w:val="23"/>
          <w:szCs w:val="23"/>
          <w:lang w:val="en-GB"/>
        </w:rPr>
        <w:t xml:space="preserve">According to the new measure in Chapter V of the Rtv, the legal restrictions have to be necessary, proportionate and bound to the intended objective, hence the proportionality requirement of Section 15 is applicable. Section 15 provides that on the one hand, the measure selected must not cause any disadvantage, that is evidently </w:t>
      </w:r>
      <w:r w:rsidR="001A2731" w:rsidRPr="003E3613">
        <w:rPr>
          <w:rFonts w:ascii="Book Antiqua" w:hAnsi="Book Antiqua"/>
          <w:sz w:val="23"/>
          <w:szCs w:val="23"/>
          <w:lang w:val="en-GB"/>
        </w:rPr>
        <w:t>disproportionate</w:t>
      </w:r>
      <w:r w:rsidR="001A2731" w:rsidRPr="003E3613" w:rsidDel="00AC5618">
        <w:rPr>
          <w:rFonts w:ascii="Book Antiqua" w:hAnsi="Book Antiqua"/>
          <w:sz w:val="23"/>
          <w:szCs w:val="23"/>
          <w:lang w:val="en-GB"/>
        </w:rPr>
        <w:t xml:space="preserve"> </w:t>
      </w:r>
      <w:r w:rsidRPr="003E3613">
        <w:rPr>
          <w:rFonts w:ascii="Book Antiqua" w:hAnsi="Book Antiqua"/>
          <w:sz w:val="23"/>
          <w:szCs w:val="23"/>
          <w:lang w:val="en-GB"/>
        </w:rPr>
        <w:t>to the legitimate aim of the measure and on the other it prescribes that from the several possible and appropriate measures that one has to be chosen, which, while ensuring effectiveness, causes the least restriction, injury or damage to the person concerned. The right to appeal concerning the injunction of restraining from border is also provided. In case of violations of fundamental rights, the affected person may lodge a complaint to the Independent Police Complaints Board.</w:t>
      </w:r>
    </w:p>
    <w:p w14:paraId="694CE5F3" w14:textId="77777777" w:rsidR="0036045A" w:rsidRPr="003E3613" w:rsidRDefault="0036045A" w:rsidP="00204696">
      <w:pPr>
        <w:autoSpaceDE w:val="0"/>
        <w:autoSpaceDN w:val="0"/>
        <w:adjustRightInd w:val="0"/>
        <w:spacing w:after="0"/>
        <w:jc w:val="both"/>
        <w:rPr>
          <w:rFonts w:ascii="Book Antiqua" w:hAnsi="Book Antiqua"/>
          <w:sz w:val="23"/>
          <w:szCs w:val="23"/>
          <w:lang w:val="en-GB"/>
        </w:rPr>
      </w:pPr>
    </w:p>
    <w:p w14:paraId="461E9749" w14:textId="77777777" w:rsidR="0036045A" w:rsidRPr="003E3613" w:rsidRDefault="0036045A" w:rsidP="00204696">
      <w:pPr>
        <w:spacing w:after="0"/>
        <w:jc w:val="both"/>
        <w:rPr>
          <w:rFonts w:ascii="Book Antiqua" w:hAnsi="Book Antiqua"/>
          <w:sz w:val="23"/>
          <w:szCs w:val="23"/>
          <w:lang w:val="en-GB"/>
        </w:rPr>
      </w:pPr>
      <w:r w:rsidRPr="003E3613">
        <w:rPr>
          <w:rFonts w:ascii="Book Antiqua" w:hAnsi="Book Antiqua"/>
          <w:sz w:val="23"/>
          <w:szCs w:val="23"/>
          <w:lang w:val="en-GB"/>
        </w:rPr>
        <w:t>It should be highlighted that recently new ideas occurred both at Member States and at EU level. According to these ideas, in order to stem illegal migration and secondary movement, it is necessary to establish closed centres at the European Union's external borders and at the borders or on the territories of Member States. In these closed centres the competent authorities may examine the merits of individual cases and decide on the asylum applications, while avoiding that the asylum seekers leave these centres before the decisions are made. In our opinion, the abovementioned measures, both at Member States and at EU level show that the former criticisms against the Hungarian transit zones and applied procedures were not due to non-conformity with EU law.</w:t>
      </w:r>
    </w:p>
    <w:p w14:paraId="1E9EAD9A" w14:textId="77777777" w:rsidR="00531BDA" w:rsidRPr="003E3613" w:rsidRDefault="00531BDA" w:rsidP="00204696">
      <w:pPr>
        <w:spacing w:after="0"/>
        <w:jc w:val="both"/>
        <w:rPr>
          <w:rFonts w:ascii="Book Antiqua" w:hAnsi="Book Antiqua"/>
          <w:sz w:val="23"/>
          <w:szCs w:val="23"/>
          <w:lang w:val="en-GB"/>
        </w:rPr>
      </w:pPr>
    </w:p>
    <w:p w14:paraId="4876BDDE" w14:textId="77777777" w:rsidR="000D0F81" w:rsidRPr="003E3613" w:rsidRDefault="000D0F81" w:rsidP="00204696">
      <w:pPr>
        <w:spacing w:after="0"/>
        <w:jc w:val="both"/>
        <w:rPr>
          <w:rFonts w:ascii="Book Antiqua" w:hAnsi="Book Antiqua"/>
          <w:b/>
          <w:sz w:val="23"/>
          <w:szCs w:val="23"/>
          <w:lang w:val="en-GB"/>
        </w:rPr>
      </w:pPr>
      <w:r w:rsidRPr="003E3613">
        <w:rPr>
          <w:rFonts w:ascii="Book Antiqua" w:hAnsi="Book Antiqua"/>
          <w:b/>
          <w:sz w:val="23"/>
          <w:szCs w:val="23"/>
          <w:lang w:val="en-GB"/>
        </w:rPr>
        <w:t>Hungary guarantees the fundamental human rights enshrined both in international treaties and in its Fundamental Law for all of its citizens, including human rights defenders. Furthermore, the Act on NGOs does not prohibit funding from abroad and does not aggravate the operation of NGOs, it merely makes foreign founding transparent. Therefore, it is not justified to mention the elements of recitals 40-45 in a reasoned proposal requesting the Council to determine, pursuant to Article 7(1) of the Treaty on European Union, the existence of a clear risk of a serious breach by Hungary of the values on which the Union is founded.</w:t>
      </w:r>
    </w:p>
    <w:p w14:paraId="6614CCB3" w14:textId="77777777" w:rsidR="00EF0F7D" w:rsidRPr="003E3613" w:rsidRDefault="00EF0F7D" w:rsidP="00204696">
      <w:pPr>
        <w:rPr>
          <w:rFonts w:ascii="Book Antiqua" w:eastAsiaTheme="majorEastAsia" w:hAnsi="Book Antiqua" w:cstheme="majorBidi"/>
          <w:b/>
          <w:bCs/>
          <w:sz w:val="23"/>
          <w:szCs w:val="23"/>
          <w:lang w:val="en-GB" w:eastAsia="en-US"/>
        </w:rPr>
      </w:pPr>
      <w:r w:rsidRPr="003E3613">
        <w:rPr>
          <w:rFonts w:ascii="Book Antiqua" w:hAnsi="Book Antiqua"/>
          <w:sz w:val="23"/>
          <w:szCs w:val="23"/>
          <w:lang w:val="en-GB"/>
        </w:rPr>
        <w:br w:type="page"/>
      </w:r>
    </w:p>
    <w:p w14:paraId="46FDDD66" w14:textId="77777777" w:rsidR="00B9677E" w:rsidRPr="003E3613" w:rsidRDefault="00B9677E" w:rsidP="00204696">
      <w:pPr>
        <w:pStyle w:val="Heading1"/>
        <w:keepNext w:val="0"/>
        <w:keepLines w:val="0"/>
        <w:pBdr>
          <w:top w:val="single" w:sz="4" w:space="1" w:color="auto"/>
          <w:left w:val="single" w:sz="4" w:space="4" w:color="auto"/>
          <w:bottom w:val="single" w:sz="4" w:space="1" w:color="auto"/>
          <w:right w:val="single" w:sz="4" w:space="4" w:color="auto"/>
        </w:pBdr>
        <w:shd w:val="clear" w:color="auto" w:fill="C6D9F1" w:themeFill="text2" w:themeFillTint="33"/>
        <w:spacing w:before="0"/>
        <w:rPr>
          <w:rFonts w:ascii="Book Antiqua" w:hAnsi="Book Antiqua"/>
          <w:color w:val="auto"/>
          <w:sz w:val="23"/>
          <w:szCs w:val="23"/>
          <w:lang w:val="en-GB"/>
        </w:rPr>
      </w:pPr>
      <w:bookmarkStart w:id="50" w:name="_Toc19120808"/>
      <w:r w:rsidRPr="003E3613">
        <w:rPr>
          <w:rFonts w:ascii="Book Antiqua" w:hAnsi="Book Antiqua"/>
          <w:color w:val="auto"/>
          <w:sz w:val="23"/>
          <w:szCs w:val="23"/>
          <w:lang w:val="en-GB"/>
        </w:rPr>
        <w:lastRenderedPageBreak/>
        <w:t>Right to equal treatment</w:t>
      </w:r>
      <w:bookmarkEnd w:id="50"/>
    </w:p>
    <w:p w14:paraId="14235AE3" w14:textId="77777777" w:rsidR="00B9677E" w:rsidRPr="003E3613" w:rsidRDefault="00B9677E" w:rsidP="00204696">
      <w:pPr>
        <w:spacing w:after="0"/>
        <w:jc w:val="both"/>
        <w:rPr>
          <w:rFonts w:ascii="Book Antiqua" w:hAnsi="Book Antiqua"/>
          <w:i/>
          <w:sz w:val="23"/>
          <w:szCs w:val="23"/>
          <w:lang w:val="en-GB"/>
        </w:rPr>
      </w:pPr>
    </w:p>
    <w:p w14:paraId="2B627F39" w14:textId="77777777" w:rsidR="00CB5279" w:rsidRDefault="00B13176" w:rsidP="00204696">
      <w:pPr>
        <w:jc w:val="both"/>
        <w:rPr>
          <w:rFonts w:ascii="Book Antiqua" w:eastAsiaTheme="minorHAnsi" w:hAnsi="Book Antiqua" w:cs="Book Antiqua"/>
          <w:color w:val="000000"/>
          <w:sz w:val="23"/>
          <w:szCs w:val="23"/>
          <w:lang w:val="en-GB" w:eastAsia="en-US"/>
        </w:rPr>
      </w:pPr>
      <w:r w:rsidRPr="003E3613">
        <w:rPr>
          <w:rFonts w:ascii="Book Antiqua" w:eastAsiaTheme="minorHAnsi" w:hAnsi="Book Antiqua" w:cs="Book Antiqua"/>
          <w:color w:val="000000"/>
          <w:sz w:val="23"/>
          <w:szCs w:val="23"/>
          <w:lang w:val="en-GB" w:eastAsia="en-US"/>
        </w:rPr>
        <w:t xml:space="preserve">The Government rejects the artificial confrontation of families and women’s rights. We have several programs to support employees in striking the balance between work and family life. The Government spends 4.7% of the GDP (EUR 3 billion) on financial support for families, compared to an EU average of 2.5%. In 2019 the budget will be increased to EUR 6.2 billion. Hungarian law also provides strong protection for women against violence, the Criminal Code punishes these actions more severely than before. As regards the working conditions for pregnant workers, the safety of pregnant and nursing workers, equal treatment </w:t>
      </w:r>
      <w:r w:rsidR="00CB5279" w:rsidRPr="003E3613">
        <w:rPr>
          <w:rFonts w:ascii="Book Antiqua" w:eastAsiaTheme="minorHAnsi" w:hAnsi="Book Antiqua" w:cs="Book Antiqua"/>
          <w:color w:val="000000"/>
          <w:sz w:val="23"/>
          <w:szCs w:val="23"/>
          <w:lang w:val="en-GB" w:eastAsia="en-US"/>
        </w:rPr>
        <w:t xml:space="preserve">also </w:t>
      </w:r>
      <w:r w:rsidRPr="003E3613">
        <w:rPr>
          <w:rFonts w:ascii="Book Antiqua" w:eastAsiaTheme="minorHAnsi" w:hAnsi="Book Antiqua" w:cs="Book Antiqua"/>
          <w:color w:val="000000"/>
          <w:sz w:val="23"/>
          <w:szCs w:val="23"/>
          <w:lang w:val="en-GB" w:eastAsia="en-US"/>
        </w:rPr>
        <w:t xml:space="preserve">in </w:t>
      </w:r>
      <w:r w:rsidR="00CB5279" w:rsidRPr="003E3613">
        <w:rPr>
          <w:rFonts w:ascii="Book Antiqua" w:eastAsiaTheme="minorHAnsi" w:hAnsi="Book Antiqua" w:cs="Book Antiqua"/>
          <w:color w:val="000000"/>
          <w:sz w:val="23"/>
          <w:szCs w:val="23"/>
          <w:lang w:val="en-GB" w:eastAsia="en-US"/>
        </w:rPr>
        <w:t xml:space="preserve">the world of employment </w:t>
      </w:r>
      <w:r w:rsidRPr="003E3613">
        <w:rPr>
          <w:rFonts w:ascii="Book Antiqua" w:eastAsiaTheme="minorHAnsi" w:hAnsi="Book Antiqua" w:cs="Book Antiqua"/>
          <w:color w:val="000000"/>
          <w:sz w:val="23"/>
          <w:szCs w:val="23"/>
          <w:lang w:val="en-GB" w:eastAsia="en-US"/>
        </w:rPr>
        <w:t>is one of the top priorities of the Hungarian Government’s employment policies.</w:t>
      </w:r>
    </w:p>
    <w:p w14:paraId="1E3E4CB2" w14:textId="77777777" w:rsidR="008A404D" w:rsidRPr="008A404D" w:rsidRDefault="008A404D" w:rsidP="008A404D">
      <w:pPr>
        <w:jc w:val="both"/>
        <w:rPr>
          <w:rFonts w:ascii="Book Antiqua" w:eastAsiaTheme="minorHAnsi" w:hAnsi="Book Antiqua" w:cs="Book Antiqua"/>
          <w:color w:val="000000"/>
          <w:sz w:val="23"/>
          <w:szCs w:val="23"/>
          <w:lang w:val="en-GB" w:eastAsia="en-US"/>
        </w:rPr>
      </w:pPr>
      <w:r w:rsidRPr="008A404D">
        <w:rPr>
          <w:rFonts w:ascii="Book Antiqua" w:eastAsiaTheme="minorHAnsi" w:hAnsi="Book Antiqua" w:cs="Book Antiqua"/>
          <w:color w:val="000000"/>
          <w:sz w:val="23"/>
          <w:szCs w:val="23"/>
          <w:lang w:val="en-GB" w:eastAsia="en-US"/>
        </w:rPr>
        <w:t>As far as the institutional structure is concerned, the Government set up the Equal Treatment Authority and the Human Rights Working Group.</w:t>
      </w:r>
    </w:p>
    <w:p w14:paraId="5710F9E4" w14:textId="77777777" w:rsidR="008A404D" w:rsidRPr="008A404D" w:rsidRDefault="008A404D" w:rsidP="008A404D">
      <w:pPr>
        <w:jc w:val="both"/>
        <w:rPr>
          <w:rFonts w:ascii="Book Antiqua" w:eastAsiaTheme="minorHAnsi" w:hAnsi="Book Antiqua" w:cs="Book Antiqua"/>
          <w:color w:val="000000"/>
          <w:sz w:val="23"/>
          <w:szCs w:val="23"/>
          <w:lang w:val="en-GB" w:eastAsia="en-US"/>
        </w:rPr>
      </w:pPr>
      <w:r w:rsidRPr="008A404D">
        <w:rPr>
          <w:rFonts w:ascii="Book Antiqua" w:eastAsiaTheme="minorHAnsi" w:hAnsi="Book Antiqua" w:cs="Book Antiqua"/>
          <w:color w:val="000000"/>
          <w:sz w:val="23"/>
          <w:szCs w:val="23"/>
          <w:lang w:val="en-GB" w:eastAsia="en-US"/>
        </w:rPr>
        <w:t xml:space="preserve">The Equal Treatment Authority: Article XV Paragraph (2) of the Fundamental Law stipulates that “Hungary shall guarantee the fundamental rights to everyone without discrimination based on any ground such as race, color, sex, disability, language, religion, political or any other opinion, ethnic or social origin, wealth, birth or any other circumstance whatsoever.” Act CXXV of 2003 on Equal Treatment and the Promotion of Equal Opportunities (hereinafter: Equal Treatment Act) states in its Section 1 that all persons in the territory of Hungary must be treated with the same respect. According to Section 8 any difference in treatment based on, inter alia, race, colour, ethnicity or belonging to an ethnicity, language, social status or any other status, attribution or characteristic resulting in a less favourable treatment of these persons is to be considered direct discrimination and is prohibited by law. </w:t>
      </w:r>
    </w:p>
    <w:p w14:paraId="414F86A1" w14:textId="77777777" w:rsidR="008A404D" w:rsidRPr="008A404D" w:rsidRDefault="008A404D" w:rsidP="008A404D">
      <w:pPr>
        <w:jc w:val="both"/>
        <w:rPr>
          <w:rFonts w:ascii="Book Antiqua" w:eastAsiaTheme="minorHAnsi" w:hAnsi="Book Antiqua" w:cs="Book Antiqua"/>
          <w:color w:val="000000"/>
          <w:sz w:val="23"/>
          <w:szCs w:val="23"/>
          <w:lang w:val="en-GB" w:eastAsia="en-US"/>
        </w:rPr>
      </w:pPr>
      <w:r w:rsidRPr="008A404D">
        <w:rPr>
          <w:rFonts w:ascii="Book Antiqua" w:eastAsiaTheme="minorHAnsi" w:hAnsi="Book Antiqua" w:cs="Book Antiqua"/>
          <w:color w:val="000000"/>
          <w:sz w:val="23"/>
          <w:szCs w:val="23"/>
          <w:lang w:val="en-GB" w:eastAsia="en-US"/>
        </w:rPr>
        <w:t xml:space="preserve">The Equal Treatment Authority is responsible for investigating complaints filed for the violation of the principle of equal treatment and for implementing the principle. The investigation covers all types of discrimination mentioned in EU directives and also covers all fields from education to employment. The Authority strives to reach a settlement between the parties, and in the end, it may impose a fine up to HUF 6 million (approx. EUR 18 000) on the subject of the investigation. </w:t>
      </w:r>
    </w:p>
    <w:p w14:paraId="22ECB06C" w14:textId="77777777" w:rsidR="008A404D" w:rsidRPr="008A404D" w:rsidRDefault="008A404D" w:rsidP="008A404D">
      <w:pPr>
        <w:jc w:val="both"/>
        <w:rPr>
          <w:rFonts w:ascii="Book Antiqua" w:eastAsiaTheme="minorHAnsi" w:hAnsi="Book Antiqua" w:cs="Book Antiqua"/>
          <w:color w:val="000000"/>
          <w:sz w:val="23"/>
          <w:szCs w:val="23"/>
          <w:lang w:val="en-GB" w:eastAsia="en-US"/>
        </w:rPr>
      </w:pPr>
      <w:r w:rsidRPr="008A404D">
        <w:rPr>
          <w:rFonts w:ascii="Book Antiqua" w:eastAsiaTheme="minorHAnsi" w:hAnsi="Book Antiqua" w:cs="Book Antiqua"/>
          <w:color w:val="000000"/>
          <w:sz w:val="23"/>
          <w:szCs w:val="23"/>
          <w:lang w:val="en-GB" w:eastAsia="en-US"/>
        </w:rPr>
        <w:t xml:space="preserve">The Authority’s legal staff handled almost 1,000 complaints in 2018 and the EBH rendered 315 public administration decisions. Sanctionable infringements of the principle of equal treatment were found in 36 cases. </w:t>
      </w:r>
    </w:p>
    <w:p w14:paraId="5C3B967A" w14:textId="1B0BAAF5" w:rsidR="008A404D" w:rsidRPr="003E3613" w:rsidRDefault="008A404D" w:rsidP="00204696">
      <w:pPr>
        <w:jc w:val="both"/>
        <w:rPr>
          <w:lang w:val="en-GB" w:eastAsia="en-US"/>
        </w:rPr>
      </w:pPr>
      <w:r w:rsidRPr="008A404D">
        <w:rPr>
          <w:rFonts w:ascii="Book Antiqua" w:eastAsiaTheme="minorHAnsi" w:hAnsi="Book Antiqua" w:cs="Book Antiqua"/>
          <w:color w:val="000000"/>
          <w:sz w:val="23"/>
          <w:szCs w:val="23"/>
          <w:lang w:val="en-GB" w:eastAsia="en-US"/>
        </w:rPr>
        <w:t xml:space="preserve">The Human Rights Working Group: The Government established the Human Rights Working Group in 2012 with the purpose of monitoring the implementation of human rights in Hungary, conducting consultations with civil society organisations, representative associations and other professional and constitutional bodies. The Working Group monitors the implementation of the recommendations of the United Nations, Human Rights Council, Universal Periodic Review (UPR) Working Group and the enforcement of human rights conventions and agreements – and it makes recommendations to the Government. The forum </w:t>
      </w:r>
      <w:r w:rsidRPr="008A404D">
        <w:rPr>
          <w:rFonts w:ascii="Book Antiqua" w:eastAsiaTheme="minorHAnsi" w:hAnsi="Book Antiqua" w:cs="Book Antiqua"/>
          <w:color w:val="000000"/>
          <w:sz w:val="23"/>
          <w:szCs w:val="23"/>
          <w:lang w:val="en-GB" w:eastAsia="en-US"/>
        </w:rPr>
        <w:lastRenderedPageBreak/>
        <w:t>for dialogue with civil society is the Human Rights Roundtable, which currently operates with 73 civil organisation members and further 40 organisations take part in the activities of the thematic working groups with consultative status. The Roundtable holds its meetings in 11 thematic working groups; each of them is intended to deal separately with legal and practical problems of and sectoral political proposals for vulnerable groups of society (such as women’s rights, children’s rights, rights of roma, national minorities etc.).</w:t>
      </w:r>
    </w:p>
    <w:p w14:paraId="7CB76F7E" w14:textId="77777777" w:rsidR="00CC567C" w:rsidRPr="003E3613" w:rsidRDefault="00CC567C" w:rsidP="00204696">
      <w:pPr>
        <w:pStyle w:val="Heading2"/>
        <w:keepNext w:val="0"/>
        <w:keepLines w:val="0"/>
        <w:spacing w:before="0"/>
        <w:rPr>
          <w:rFonts w:ascii="Book Antiqua" w:hAnsi="Book Antiqua"/>
          <w:color w:val="auto"/>
          <w:sz w:val="23"/>
          <w:szCs w:val="23"/>
          <w:lang w:val="en-GB"/>
        </w:rPr>
      </w:pPr>
      <w:bookmarkStart w:id="51" w:name="_Toc19120809"/>
      <w:r w:rsidRPr="003E3613">
        <w:rPr>
          <w:rFonts w:ascii="Book Antiqua" w:hAnsi="Book Antiqua"/>
          <w:color w:val="auto"/>
          <w:sz w:val="23"/>
          <w:szCs w:val="23"/>
          <w:lang w:val="en-GB"/>
        </w:rPr>
        <w:t>Uneven balance between the protection of families and women’s rights</w:t>
      </w:r>
      <w:bookmarkEnd w:id="51"/>
    </w:p>
    <w:p w14:paraId="243D210C" w14:textId="77777777" w:rsidR="00CC567C" w:rsidRPr="003E3613" w:rsidRDefault="00CC567C" w:rsidP="00204696">
      <w:pPr>
        <w:spacing w:after="0"/>
        <w:jc w:val="both"/>
        <w:rPr>
          <w:rFonts w:ascii="Book Antiqua" w:hAnsi="Book Antiqua"/>
          <w:i/>
          <w:sz w:val="23"/>
          <w:szCs w:val="23"/>
          <w:lang w:val="en-GB"/>
        </w:rPr>
      </w:pPr>
    </w:p>
    <w:p w14:paraId="58298EF7"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52045A" w:rsidRPr="003E3613">
        <w:rPr>
          <w:rFonts w:ascii="Book Antiqua" w:hAnsi="Book Antiqua"/>
          <w:i/>
          <w:sz w:val="23"/>
          <w:szCs w:val="23"/>
          <w:lang w:val="en-GB"/>
        </w:rPr>
        <w:t>4</w:t>
      </w:r>
      <w:r w:rsidR="00423A8E" w:rsidRPr="003E3613">
        <w:rPr>
          <w:rFonts w:ascii="Book Antiqua" w:hAnsi="Book Antiqua"/>
          <w:i/>
          <w:sz w:val="23"/>
          <w:szCs w:val="23"/>
          <w:lang w:val="en-GB"/>
        </w:rPr>
        <w:t>6</w:t>
      </w:r>
      <w:r w:rsidRPr="003E3613">
        <w:rPr>
          <w:rFonts w:ascii="Book Antiqua" w:hAnsi="Book Antiqua"/>
          <w:i/>
          <w:sz w:val="23"/>
          <w:szCs w:val="23"/>
          <w:lang w:val="en-GB"/>
        </w:rPr>
        <w:t>) On 17-27 May 2016, the UN Working Group on discrimination against women in law and in practice visited Hungary. In its report, the Working Group indicated that a conservative form of family, whose protection is guaranteed as essential to national survival, should not be put in an uneven balance with women’s political, economic and social rights and the empowerment of women. The Working Group also pointed out that a woman’s right to equality cannot be seen merely in the light of protection of vulnerable groups alongside children, the elderly and the disabled, as they are an integral part of all such groups.</w:t>
      </w:r>
      <w:r w:rsidR="0052045A" w:rsidRPr="003E3613">
        <w:rPr>
          <w:rFonts w:ascii="Book Antiqua" w:hAnsi="Book Antiqua"/>
          <w:i/>
          <w:sz w:val="23"/>
          <w:szCs w:val="23"/>
          <w:lang w:val="en-GB"/>
        </w:rPr>
        <w:t xml:space="preserve"> New school books still contain gender stereotypes, depicting women as primarily mothers and wives and, in some cases, depicting mothers as less intelligent than fathers. On the other hand, the Working Party acknowledged the efforts of the Hungarian Government to strengthen the reconciliation of work and family life by introducing generous provisions in the family support system and in relation to early childhood education and </w:t>
      </w:r>
      <w:r w:rsidR="00522CE5" w:rsidRPr="003E3613">
        <w:rPr>
          <w:rFonts w:ascii="Book Antiqua" w:hAnsi="Book Antiqua"/>
          <w:i/>
          <w:sz w:val="23"/>
          <w:szCs w:val="23"/>
          <w:lang w:val="en-GB"/>
        </w:rPr>
        <w:t>care. In</w:t>
      </w:r>
      <w:r w:rsidR="007A7825" w:rsidRPr="003E3613">
        <w:rPr>
          <w:rFonts w:ascii="Book Antiqua" w:hAnsi="Book Antiqua"/>
          <w:i/>
          <w:sz w:val="23"/>
          <w:szCs w:val="23"/>
          <w:lang w:val="en-GB"/>
        </w:rPr>
        <w:t xml:space="preserve"> its report adopted on 27 June 2018, the limited election observation mission of the OSCE Office for Democratic Institutions and Human Rights for the 2018 Hungarian parliamentary elections stated that women are underrepresented in political life and there are no legal requirements to promote gender equality in elections</w:t>
      </w:r>
      <w:r w:rsidR="0052045A" w:rsidRPr="003E3613">
        <w:rPr>
          <w:rFonts w:ascii="Book Antiqua" w:hAnsi="Book Antiqua"/>
          <w:i/>
          <w:sz w:val="23"/>
          <w:szCs w:val="23"/>
          <w:lang w:val="en-GB"/>
        </w:rPr>
        <w:t>. Although one major party placed a woman at the top of the national list and some parties addressed gender-related issues in their programmes, empowerment of women received scant attention as a campaign issue, including in the media.</w:t>
      </w:r>
    </w:p>
    <w:p w14:paraId="4D5E901E" w14:textId="77777777" w:rsidR="00F80BB4" w:rsidRPr="003E3613" w:rsidRDefault="00F80BB4" w:rsidP="00204696">
      <w:pPr>
        <w:spacing w:after="0"/>
        <w:jc w:val="both"/>
        <w:rPr>
          <w:rFonts w:ascii="Book Antiqua" w:eastAsia="Times New Roman" w:hAnsi="Book Antiqua" w:cs="Open Sans"/>
          <w:sz w:val="23"/>
          <w:szCs w:val="23"/>
          <w:lang w:val="en-GB"/>
        </w:rPr>
      </w:pPr>
    </w:p>
    <w:p w14:paraId="0C6098B2" w14:textId="77777777" w:rsidR="00660031" w:rsidRDefault="00096091" w:rsidP="00204696">
      <w:pPr>
        <w:spacing w:after="0"/>
        <w:jc w:val="both"/>
        <w:rPr>
          <w:rFonts w:ascii="Book Antiqua" w:hAnsi="Book Antiqua" w:cs="Times New Roman"/>
          <w:sz w:val="23"/>
          <w:szCs w:val="23"/>
          <w:lang w:val="en-GB"/>
        </w:rPr>
      </w:pPr>
      <w:r w:rsidRPr="003E3613">
        <w:rPr>
          <w:rFonts w:ascii="Book Antiqua" w:eastAsia="Times New Roman" w:hAnsi="Book Antiqua" w:cs="Open Sans"/>
          <w:sz w:val="23"/>
          <w:szCs w:val="23"/>
          <w:lang w:val="en-GB"/>
        </w:rPr>
        <w:t>The Hungarian Government rejects the artificial confrontation of families and women’s rights</w:t>
      </w:r>
      <w:r w:rsidR="00D55B46" w:rsidRPr="003E3613">
        <w:rPr>
          <w:rFonts w:ascii="Book Antiqua" w:eastAsia="Times New Roman" w:hAnsi="Book Antiqua" w:cs="Open Sans"/>
          <w:sz w:val="23"/>
          <w:szCs w:val="23"/>
          <w:lang w:val="en-GB"/>
        </w:rPr>
        <w:t xml:space="preserve"> and supports the strategic principle of gender equality between women and men. At the same time, as the Fundamental Law also specifies the protection of families, the issue of gender equality for women and men is substantially approached from the perspective of the family, especially since the gap is not primarily coming from the biological sex of women or men, but the fact that because of raising children, women are disadvantaged on the labour market and in many other areas</w:t>
      </w:r>
      <w:r w:rsidRPr="003E3613">
        <w:rPr>
          <w:rFonts w:ascii="Book Antiqua" w:eastAsia="Times New Roman" w:hAnsi="Book Antiqua" w:cs="Open Sans"/>
          <w:sz w:val="23"/>
          <w:szCs w:val="23"/>
          <w:lang w:val="en-GB"/>
        </w:rPr>
        <w:t xml:space="preserve">. </w:t>
      </w:r>
      <w:r w:rsidRPr="003E3613">
        <w:rPr>
          <w:rFonts w:ascii="Book Antiqua" w:hAnsi="Book Antiqua" w:cs="Times New Roman"/>
          <w:sz w:val="23"/>
          <w:szCs w:val="23"/>
          <w:lang w:val="en-GB"/>
        </w:rPr>
        <w:t xml:space="preserve">The Hungarian Government is committed to empower women to decide on their own lives and provide them the freedom of choice whether they wish to have children. </w:t>
      </w:r>
      <w:r w:rsidR="003E3E0C" w:rsidRPr="003E3613">
        <w:rPr>
          <w:rFonts w:ascii="Book Antiqua" w:hAnsi="Book Antiqua" w:cs="Times New Roman"/>
          <w:sz w:val="23"/>
          <w:szCs w:val="23"/>
          <w:lang w:val="en-GB"/>
        </w:rPr>
        <w:t xml:space="preserve">In </w:t>
      </w:r>
      <w:r w:rsidR="005467CC" w:rsidRPr="003E3613">
        <w:rPr>
          <w:rFonts w:ascii="Book Antiqua" w:hAnsi="Book Antiqua" w:cs="Times New Roman"/>
          <w:sz w:val="23"/>
          <w:szCs w:val="23"/>
          <w:lang w:val="en-GB"/>
        </w:rPr>
        <w:t>November</w:t>
      </w:r>
      <w:r w:rsidR="00D55B46" w:rsidRPr="003E3613">
        <w:rPr>
          <w:rFonts w:ascii="Book Antiqua" w:hAnsi="Book Antiqua" w:cs="Times New Roman"/>
          <w:sz w:val="23"/>
          <w:szCs w:val="23"/>
          <w:lang w:val="en-GB"/>
        </w:rPr>
        <w:t xml:space="preserve"> 2018</w:t>
      </w:r>
      <w:r w:rsidR="003E3E0C" w:rsidRPr="003E3613">
        <w:rPr>
          <w:rFonts w:ascii="Book Antiqua" w:hAnsi="Book Antiqua" w:cs="Times New Roman"/>
          <w:sz w:val="23"/>
          <w:szCs w:val="23"/>
          <w:lang w:val="en-GB"/>
        </w:rPr>
        <w:t>, the Government</w:t>
      </w:r>
      <w:r w:rsidR="005467CC" w:rsidRPr="003E3613">
        <w:rPr>
          <w:rFonts w:ascii="Book Antiqua" w:hAnsi="Book Antiqua" w:cs="Times New Roman"/>
          <w:sz w:val="23"/>
          <w:szCs w:val="23"/>
          <w:lang w:val="en-GB"/>
        </w:rPr>
        <w:t xml:space="preserve"> launch</w:t>
      </w:r>
      <w:r w:rsidR="003E3E0C" w:rsidRPr="003E3613">
        <w:rPr>
          <w:rFonts w:ascii="Book Antiqua" w:hAnsi="Book Antiqua" w:cs="Times New Roman"/>
          <w:sz w:val="23"/>
          <w:szCs w:val="23"/>
          <w:lang w:val="en-GB"/>
        </w:rPr>
        <w:t>ed</w:t>
      </w:r>
      <w:r w:rsidR="005467CC" w:rsidRPr="003E3613">
        <w:rPr>
          <w:rFonts w:ascii="Book Antiqua" w:hAnsi="Book Antiqua" w:cs="Times New Roman"/>
          <w:sz w:val="23"/>
          <w:szCs w:val="23"/>
          <w:lang w:val="en-GB"/>
        </w:rPr>
        <w:t xml:space="preserve"> </w:t>
      </w:r>
      <w:r w:rsidR="001C73C8" w:rsidRPr="003E3613">
        <w:rPr>
          <w:rFonts w:ascii="Book Antiqua" w:hAnsi="Book Antiqua" w:cs="Times New Roman"/>
          <w:sz w:val="23"/>
          <w:szCs w:val="23"/>
          <w:lang w:val="en-GB"/>
        </w:rPr>
        <w:t>a</w:t>
      </w:r>
      <w:r w:rsidR="005467CC" w:rsidRPr="003E3613">
        <w:rPr>
          <w:rFonts w:ascii="Book Antiqua" w:hAnsi="Book Antiqua" w:cs="Times New Roman"/>
          <w:sz w:val="23"/>
          <w:szCs w:val="23"/>
          <w:lang w:val="en-GB"/>
        </w:rPr>
        <w:t xml:space="preserve"> Citizens’ Consultation on the protection of families. </w:t>
      </w:r>
      <w:r w:rsidR="003E3E0C" w:rsidRPr="003E3613">
        <w:rPr>
          <w:rFonts w:ascii="Book Antiqua" w:hAnsi="Book Antiqua" w:cs="Times New Roman"/>
          <w:sz w:val="23"/>
          <w:szCs w:val="23"/>
          <w:lang w:val="en-GB"/>
        </w:rPr>
        <w:t>T</w:t>
      </w:r>
      <w:r w:rsidR="006447F5" w:rsidRPr="003E3613">
        <w:rPr>
          <w:rFonts w:ascii="Book Antiqua" w:hAnsi="Book Antiqua" w:cs="Times New Roman"/>
          <w:sz w:val="23"/>
          <w:szCs w:val="23"/>
          <w:lang w:val="en-GB"/>
        </w:rPr>
        <w:t xml:space="preserve">opics </w:t>
      </w:r>
      <w:r w:rsidR="005467CC" w:rsidRPr="003E3613">
        <w:rPr>
          <w:rFonts w:ascii="Book Antiqua" w:hAnsi="Book Antiqua" w:cs="Times New Roman"/>
          <w:sz w:val="23"/>
          <w:szCs w:val="23"/>
          <w:lang w:val="en-GB"/>
        </w:rPr>
        <w:t>feature possible measures to</w:t>
      </w:r>
      <w:r w:rsidR="006447F5" w:rsidRPr="003E3613">
        <w:rPr>
          <w:rFonts w:ascii="Book Antiqua" w:hAnsi="Book Antiqua" w:cs="Times New Roman"/>
          <w:sz w:val="23"/>
          <w:szCs w:val="23"/>
          <w:lang w:val="en-GB"/>
        </w:rPr>
        <w:t xml:space="preserve"> support young married couples </w:t>
      </w:r>
      <w:r w:rsidR="005467CC" w:rsidRPr="003E3613">
        <w:rPr>
          <w:rFonts w:ascii="Book Antiqua" w:hAnsi="Book Antiqua" w:cs="Times New Roman"/>
          <w:sz w:val="23"/>
          <w:szCs w:val="23"/>
          <w:lang w:val="en-GB"/>
        </w:rPr>
        <w:t>and providing women raising kids with more flexible employment options.</w:t>
      </w:r>
      <w:r w:rsidR="006447F5" w:rsidRPr="003E3613">
        <w:rPr>
          <w:rFonts w:ascii="Book Antiqua" w:hAnsi="Book Antiqua" w:cs="Arial"/>
          <w:color w:val="646464"/>
          <w:sz w:val="23"/>
          <w:szCs w:val="23"/>
          <w:shd w:val="clear" w:color="auto" w:fill="FFFFFF"/>
          <w:lang w:val="en-GB"/>
        </w:rPr>
        <w:t xml:space="preserve"> </w:t>
      </w:r>
      <w:r w:rsidRPr="003E3613">
        <w:rPr>
          <w:rFonts w:ascii="Book Antiqua" w:hAnsi="Book Antiqua" w:cs="Times New Roman"/>
          <w:sz w:val="23"/>
          <w:szCs w:val="23"/>
          <w:lang w:val="en-GB"/>
        </w:rPr>
        <w:t xml:space="preserve">Exactly for the sake of such a freedom it </w:t>
      </w:r>
      <w:r w:rsidR="00F223BC" w:rsidRPr="003E3613">
        <w:rPr>
          <w:rFonts w:ascii="Book Antiqua" w:hAnsi="Book Antiqua" w:cs="Times New Roman"/>
          <w:sz w:val="23"/>
          <w:szCs w:val="23"/>
          <w:lang w:val="en-GB"/>
        </w:rPr>
        <w:t xml:space="preserve">is </w:t>
      </w:r>
      <w:r w:rsidRPr="003E3613">
        <w:rPr>
          <w:rFonts w:ascii="Book Antiqua" w:hAnsi="Book Antiqua" w:cs="Times New Roman"/>
          <w:sz w:val="23"/>
          <w:szCs w:val="23"/>
          <w:lang w:val="en-GB"/>
        </w:rPr>
        <w:t xml:space="preserve">necessary to build a family-friendly country and establish the necessary </w:t>
      </w:r>
    </w:p>
    <w:p w14:paraId="3E930710" w14:textId="77777777" w:rsidR="00660031" w:rsidRDefault="00660031">
      <w:pPr>
        <w:rPr>
          <w:rFonts w:ascii="Book Antiqua" w:hAnsi="Book Antiqua" w:cs="Times New Roman"/>
          <w:sz w:val="23"/>
          <w:szCs w:val="23"/>
          <w:lang w:val="en-GB"/>
        </w:rPr>
      </w:pPr>
      <w:r>
        <w:rPr>
          <w:rFonts w:ascii="Book Antiqua" w:hAnsi="Book Antiqua" w:cs="Times New Roman"/>
          <w:sz w:val="23"/>
          <w:szCs w:val="23"/>
          <w:lang w:val="en-GB"/>
        </w:rPr>
        <w:br w:type="page"/>
      </w:r>
    </w:p>
    <w:p w14:paraId="3FCBA870" w14:textId="70CE8A0D" w:rsidR="00AC6807" w:rsidRPr="003E3613" w:rsidRDefault="00096091"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lastRenderedPageBreak/>
        <w:t xml:space="preserve">conditions. Family policy and women’s rights policy are also inseparable due to the societal realities of Hungary: 77.68 % of all women between 25 and 59 years of age are mothers according to the latest Hungarian statistics of 2016. </w:t>
      </w:r>
      <w:r w:rsidR="000B6036" w:rsidRPr="003E3613">
        <w:rPr>
          <w:rFonts w:ascii="Book Antiqua" w:hAnsi="Book Antiqua" w:cs="Times New Roman"/>
          <w:sz w:val="23"/>
          <w:szCs w:val="23"/>
          <w:lang w:val="en-GB"/>
        </w:rPr>
        <w:t>Furthermore, 91% of women between 40 and 45 years of age – at the end of the fertile life period – have given birth to one or more children. Thus, it is not the government’s issue to regard women as primarily mothers, for it is a fact that almost each of them voluntarily chooses to be a mother.</w:t>
      </w:r>
    </w:p>
    <w:p w14:paraId="0309ACDA" w14:textId="77777777" w:rsidR="00AC6807" w:rsidRPr="003E3613" w:rsidRDefault="00AC6807" w:rsidP="00204696">
      <w:pPr>
        <w:spacing w:after="0"/>
        <w:jc w:val="both"/>
        <w:rPr>
          <w:rFonts w:ascii="Book Antiqua" w:hAnsi="Book Antiqua" w:cs="Times New Roman"/>
          <w:sz w:val="23"/>
          <w:szCs w:val="23"/>
          <w:lang w:val="en-GB"/>
        </w:rPr>
      </w:pPr>
    </w:p>
    <w:p w14:paraId="2538EAB5" w14:textId="5AA89E4B" w:rsidR="00096091" w:rsidRPr="003E3613" w:rsidRDefault="00096091" w:rsidP="00204696">
      <w:pPr>
        <w:spacing w:after="0"/>
        <w:jc w:val="both"/>
        <w:rPr>
          <w:rFonts w:ascii="Book Antiqua" w:hAnsi="Book Antiqua" w:cs="Times New Roman"/>
          <w:sz w:val="23"/>
          <w:szCs w:val="23"/>
          <w:lang w:val="en-GB"/>
        </w:rPr>
      </w:pPr>
      <w:r w:rsidRPr="003E3613">
        <w:rPr>
          <w:rFonts w:ascii="Book Antiqua" w:eastAsia="Times New Roman" w:hAnsi="Book Antiqua" w:cs="Open Sans"/>
          <w:sz w:val="23"/>
          <w:szCs w:val="23"/>
          <w:lang w:val="en-GB"/>
        </w:rPr>
        <w:t xml:space="preserve">To this end, the </w:t>
      </w:r>
      <w:r w:rsidR="000D719C" w:rsidRPr="003E3613">
        <w:rPr>
          <w:rFonts w:ascii="Book Antiqua" w:eastAsia="Times New Roman" w:hAnsi="Book Antiqua" w:cs="Open Sans"/>
          <w:sz w:val="23"/>
          <w:szCs w:val="23"/>
          <w:lang w:val="en-GB"/>
        </w:rPr>
        <w:t>G</w:t>
      </w:r>
      <w:r w:rsidRPr="003E3613">
        <w:rPr>
          <w:rFonts w:ascii="Book Antiqua" w:eastAsia="Times New Roman" w:hAnsi="Book Antiqua" w:cs="Open Sans"/>
          <w:sz w:val="23"/>
          <w:szCs w:val="23"/>
          <w:lang w:val="en-GB"/>
        </w:rPr>
        <w:t>overnment has taken a number of important and effective measures to create the proper balance between family and work in recent years.</w:t>
      </w:r>
      <w:r w:rsidR="00FD7B29" w:rsidRPr="003E3613">
        <w:rPr>
          <w:rFonts w:ascii="Book Antiqua" w:eastAsia="Times New Roman" w:hAnsi="Book Antiqua" w:cs="Open Sans"/>
          <w:sz w:val="23"/>
          <w:szCs w:val="23"/>
          <w:lang w:val="en-GB"/>
        </w:rPr>
        <w:t xml:space="preserve"> </w:t>
      </w:r>
      <w:r w:rsidR="000B6036" w:rsidRPr="003E3613">
        <w:rPr>
          <w:rFonts w:ascii="Book Antiqua" w:eastAsia="Times New Roman" w:hAnsi="Book Antiqua" w:cs="Open Sans"/>
          <w:sz w:val="23"/>
          <w:szCs w:val="23"/>
          <w:lang w:val="en-GB"/>
        </w:rPr>
        <w:t>These efforts should be considered as quite</w:t>
      </w:r>
      <w:r w:rsidR="00554D9C" w:rsidRPr="003E3613">
        <w:rPr>
          <w:rFonts w:ascii="Book Antiqua" w:eastAsia="Times New Roman" w:hAnsi="Book Antiqua" w:cs="Open Sans"/>
          <w:sz w:val="23"/>
          <w:szCs w:val="23"/>
          <w:lang w:val="en-GB"/>
        </w:rPr>
        <w:t xml:space="preserve"> </w:t>
      </w:r>
      <w:r w:rsidR="003E3E0C" w:rsidRPr="003E3613">
        <w:rPr>
          <w:rFonts w:ascii="Book Antiqua" w:eastAsia="Times New Roman" w:hAnsi="Book Antiqua" w:cs="Open Sans"/>
          <w:sz w:val="23"/>
          <w:szCs w:val="23"/>
          <w:lang w:val="en-GB"/>
        </w:rPr>
        <w:t xml:space="preserve">a </w:t>
      </w:r>
      <w:r w:rsidR="000B6036" w:rsidRPr="003E3613">
        <w:rPr>
          <w:rFonts w:ascii="Book Antiqua" w:eastAsia="Times New Roman" w:hAnsi="Book Antiqua" w:cs="Open Sans"/>
          <w:sz w:val="23"/>
          <w:szCs w:val="23"/>
          <w:lang w:val="en-GB"/>
        </w:rPr>
        <w:t xml:space="preserve">strong evidence against the </w:t>
      </w:r>
      <w:r w:rsidR="009419DF" w:rsidRPr="003E3613">
        <w:rPr>
          <w:rFonts w:ascii="Book Antiqua" w:eastAsia="Times New Roman" w:hAnsi="Book Antiqua" w:cs="Open Sans"/>
          <w:sz w:val="23"/>
          <w:szCs w:val="23"/>
          <w:lang w:val="en-GB"/>
        </w:rPr>
        <w:t>reasoned proposal</w:t>
      </w:r>
      <w:r w:rsidR="000B6036" w:rsidRPr="003E3613">
        <w:rPr>
          <w:rFonts w:ascii="Book Antiqua" w:eastAsia="Times New Roman" w:hAnsi="Book Antiqua" w:cs="Open Sans"/>
          <w:sz w:val="23"/>
          <w:szCs w:val="23"/>
          <w:lang w:val="en-GB"/>
        </w:rPr>
        <w:t xml:space="preserve">’s statements regarding the Hungarian </w:t>
      </w:r>
      <w:r w:rsidR="00315399" w:rsidRPr="003E3613">
        <w:rPr>
          <w:rFonts w:ascii="Book Antiqua" w:eastAsia="Times New Roman" w:hAnsi="Book Antiqua" w:cs="Open Sans"/>
          <w:sz w:val="23"/>
          <w:szCs w:val="23"/>
          <w:lang w:val="en-GB"/>
        </w:rPr>
        <w:t>G</w:t>
      </w:r>
      <w:r w:rsidR="000B6036" w:rsidRPr="003E3613">
        <w:rPr>
          <w:rFonts w:ascii="Book Antiqua" w:eastAsia="Times New Roman" w:hAnsi="Book Antiqua" w:cs="Open Sans"/>
          <w:sz w:val="23"/>
          <w:szCs w:val="23"/>
          <w:lang w:val="en-GB"/>
        </w:rPr>
        <w:t>overnment’s alleged prejudices about ‘emancip</w:t>
      </w:r>
      <w:r w:rsidR="00642E6A" w:rsidRPr="003E3613">
        <w:rPr>
          <w:rFonts w:ascii="Book Antiqua" w:eastAsia="Times New Roman" w:hAnsi="Book Antiqua" w:cs="Open Sans"/>
          <w:sz w:val="23"/>
          <w:szCs w:val="23"/>
          <w:lang w:val="en-GB"/>
        </w:rPr>
        <w:t>at</w:t>
      </w:r>
      <w:r w:rsidR="000B6036" w:rsidRPr="003E3613">
        <w:rPr>
          <w:rFonts w:ascii="Book Antiqua" w:eastAsia="Times New Roman" w:hAnsi="Book Antiqua" w:cs="Open Sans"/>
          <w:sz w:val="23"/>
          <w:szCs w:val="23"/>
          <w:lang w:val="en-GB"/>
        </w:rPr>
        <w:t>ed’ women.</w:t>
      </w:r>
      <w:r w:rsidR="000B6036" w:rsidRPr="003E3613">
        <w:rPr>
          <w:rFonts w:ascii="Book Antiqua" w:eastAsia="Times New Roman" w:hAnsi="Book Antiqua" w:cs="Open Sans"/>
          <w:i/>
          <w:sz w:val="23"/>
          <w:szCs w:val="23"/>
          <w:lang w:val="en-GB"/>
        </w:rPr>
        <w:t xml:space="preserve"> </w:t>
      </w:r>
      <w:r w:rsidR="00FD7B29" w:rsidRPr="003E3613">
        <w:rPr>
          <w:rFonts w:ascii="Book Antiqua" w:eastAsia="Times New Roman" w:hAnsi="Book Antiqua" w:cs="Open Sans"/>
          <w:sz w:val="23"/>
          <w:szCs w:val="23"/>
          <w:lang w:val="en-GB"/>
        </w:rPr>
        <w:t>Representing its dedication to the reconciliation of work and family life, the Hungarian Government spen</w:t>
      </w:r>
      <w:r w:rsidR="00194315" w:rsidRPr="003E3613">
        <w:rPr>
          <w:rFonts w:ascii="Book Antiqua" w:eastAsia="Times New Roman" w:hAnsi="Book Antiqua" w:cs="Open Sans"/>
          <w:sz w:val="23"/>
          <w:szCs w:val="23"/>
          <w:lang w:val="en-GB"/>
        </w:rPr>
        <w:t>t</w:t>
      </w:r>
      <w:r w:rsidR="00FD7B29" w:rsidRPr="003E3613">
        <w:rPr>
          <w:rFonts w:ascii="Book Antiqua" w:eastAsia="Times New Roman" w:hAnsi="Book Antiqua" w:cs="Open Sans"/>
          <w:sz w:val="23"/>
          <w:szCs w:val="23"/>
          <w:lang w:val="en-GB"/>
        </w:rPr>
        <w:t xml:space="preserve"> a</w:t>
      </w:r>
      <w:r w:rsidR="00194315" w:rsidRPr="003E3613">
        <w:rPr>
          <w:rFonts w:ascii="Book Antiqua" w:eastAsia="Times New Roman" w:hAnsi="Book Antiqua" w:cs="Open Sans"/>
          <w:sz w:val="23"/>
          <w:szCs w:val="23"/>
          <w:lang w:val="en-GB"/>
        </w:rPr>
        <w:t>round</w:t>
      </w:r>
      <w:r w:rsidR="00FD7B29" w:rsidRPr="003E3613">
        <w:rPr>
          <w:rFonts w:ascii="Book Antiqua" w:eastAsia="Times New Roman" w:hAnsi="Book Antiqua" w:cs="Open Sans"/>
          <w:sz w:val="23"/>
          <w:szCs w:val="23"/>
          <w:lang w:val="en-GB"/>
        </w:rPr>
        <w:t xml:space="preserve"> 4.7 percent of GDP (</w:t>
      </w:r>
      <w:r w:rsidR="001C73C8" w:rsidRPr="003E3613">
        <w:rPr>
          <w:rFonts w:ascii="Book Antiqua" w:eastAsia="Times New Roman" w:hAnsi="Book Antiqua" w:cs="Open Sans"/>
          <w:sz w:val="23"/>
          <w:szCs w:val="23"/>
          <w:lang w:val="en-GB"/>
        </w:rPr>
        <w:t>3</w:t>
      </w:r>
      <w:r w:rsidR="00FD7B29" w:rsidRPr="003E3613">
        <w:rPr>
          <w:rFonts w:ascii="Book Antiqua" w:eastAsia="Times New Roman" w:hAnsi="Book Antiqua" w:cs="Open Sans"/>
          <w:sz w:val="23"/>
          <w:szCs w:val="23"/>
          <w:lang w:val="en-GB"/>
        </w:rPr>
        <w:t xml:space="preserve"> billion </w:t>
      </w:r>
      <w:r w:rsidR="00642E6A" w:rsidRPr="003E3613">
        <w:rPr>
          <w:rFonts w:ascii="Book Antiqua" w:eastAsia="Times New Roman" w:hAnsi="Book Antiqua" w:cs="Open Sans"/>
          <w:sz w:val="23"/>
          <w:szCs w:val="23"/>
          <w:lang w:val="en-GB"/>
        </w:rPr>
        <w:t>EUR</w:t>
      </w:r>
      <w:r w:rsidR="00FD7B29" w:rsidRPr="003E3613">
        <w:rPr>
          <w:rFonts w:ascii="Book Antiqua" w:eastAsia="Times New Roman" w:hAnsi="Book Antiqua" w:cs="Open Sans"/>
          <w:sz w:val="23"/>
          <w:szCs w:val="23"/>
          <w:lang w:val="en-GB"/>
        </w:rPr>
        <w:t xml:space="preserve"> in 201</w:t>
      </w:r>
      <w:r w:rsidR="00EA40C7" w:rsidRPr="003E3613">
        <w:rPr>
          <w:rFonts w:ascii="Book Antiqua" w:eastAsia="Times New Roman" w:hAnsi="Book Antiqua" w:cs="Open Sans"/>
          <w:sz w:val="23"/>
          <w:szCs w:val="23"/>
          <w:lang w:val="en-GB"/>
        </w:rPr>
        <w:t>8</w:t>
      </w:r>
      <w:r w:rsidR="00FD7B29" w:rsidRPr="003E3613">
        <w:rPr>
          <w:rFonts w:ascii="Book Antiqua" w:eastAsia="Times New Roman" w:hAnsi="Book Antiqua" w:cs="Open Sans"/>
          <w:sz w:val="23"/>
          <w:szCs w:val="23"/>
          <w:lang w:val="en-GB"/>
        </w:rPr>
        <w:t xml:space="preserve">) on financial support for families, compared to an average of 2.5 percent among the 28 Member States of the European Union. In 2019 the budget for family policy measures will be increased to </w:t>
      </w:r>
      <w:r w:rsidR="00194315" w:rsidRPr="003E3613">
        <w:rPr>
          <w:rFonts w:ascii="Book Antiqua" w:eastAsia="Times New Roman" w:hAnsi="Book Antiqua" w:cs="Open Sans"/>
          <w:sz w:val="23"/>
          <w:szCs w:val="23"/>
          <w:lang w:val="en-GB"/>
        </w:rPr>
        <w:t xml:space="preserve">more than </w:t>
      </w:r>
      <w:r w:rsidR="00FD7B29" w:rsidRPr="003E3613">
        <w:rPr>
          <w:rFonts w:ascii="Book Antiqua" w:eastAsia="Times New Roman" w:hAnsi="Book Antiqua" w:cs="Open Sans"/>
          <w:sz w:val="23"/>
          <w:szCs w:val="23"/>
          <w:lang w:val="en-GB"/>
        </w:rPr>
        <w:t>2 000 billion HUF (approximately 6</w:t>
      </w:r>
      <w:r w:rsidR="00194315" w:rsidRPr="003E3613">
        <w:rPr>
          <w:rFonts w:ascii="Book Antiqua" w:eastAsia="Times New Roman" w:hAnsi="Book Antiqua" w:cs="Open Sans"/>
          <w:sz w:val="23"/>
          <w:szCs w:val="23"/>
          <w:lang w:val="en-GB"/>
        </w:rPr>
        <w:t>.</w:t>
      </w:r>
      <w:r w:rsidR="00FD7B29" w:rsidRPr="003E3613">
        <w:rPr>
          <w:rFonts w:ascii="Book Antiqua" w:eastAsia="Times New Roman" w:hAnsi="Book Antiqua" w:cs="Open Sans"/>
          <w:sz w:val="23"/>
          <w:szCs w:val="23"/>
          <w:lang w:val="en-GB"/>
        </w:rPr>
        <w:t xml:space="preserve">2 billion </w:t>
      </w:r>
      <w:r w:rsidR="00642E6A" w:rsidRPr="003E3613">
        <w:rPr>
          <w:rFonts w:ascii="Book Antiqua" w:eastAsia="Times New Roman" w:hAnsi="Book Antiqua" w:cs="Open Sans"/>
          <w:sz w:val="23"/>
          <w:szCs w:val="23"/>
          <w:lang w:val="en-GB"/>
        </w:rPr>
        <w:t>EUR).</w:t>
      </w:r>
    </w:p>
    <w:p w14:paraId="1390EE7C" w14:textId="77777777" w:rsidR="00096091" w:rsidRPr="003E3613" w:rsidRDefault="00096091" w:rsidP="00204696">
      <w:pPr>
        <w:spacing w:after="0"/>
        <w:jc w:val="both"/>
        <w:rPr>
          <w:rFonts w:ascii="Book Antiqua" w:eastAsia="Times New Roman" w:hAnsi="Book Antiqua" w:cs="Open Sans"/>
          <w:sz w:val="23"/>
          <w:szCs w:val="23"/>
          <w:lang w:val="en-GB"/>
        </w:rPr>
      </w:pPr>
    </w:p>
    <w:p w14:paraId="3A19D587" w14:textId="77777777" w:rsidR="002F4FFE" w:rsidRPr="003E3613" w:rsidRDefault="002F4FFE"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w:t>
      </w:r>
      <w:r w:rsidR="000D719C" w:rsidRPr="003E3613">
        <w:rPr>
          <w:rFonts w:ascii="Book Antiqua" w:hAnsi="Book Antiqua"/>
          <w:sz w:val="23"/>
          <w:szCs w:val="23"/>
          <w:lang w:val="en-GB"/>
        </w:rPr>
        <w:t xml:space="preserve">Extra </w:t>
      </w:r>
      <w:r w:rsidRPr="003E3613">
        <w:rPr>
          <w:rFonts w:ascii="Book Antiqua" w:hAnsi="Book Antiqua"/>
          <w:sz w:val="23"/>
          <w:szCs w:val="23"/>
          <w:lang w:val="en-GB"/>
        </w:rPr>
        <w:t xml:space="preserve">Child Care Allowance </w:t>
      </w:r>
      <w:r w:rsidR="000217B0" w:rsidRPr="003E3613">
        <w:rPr>
          <w:rFonts w:ascii="Book Antiqua" w:hAnsi="Book Antiqua"/>
          <w:sz w:val="23"/>
          <w:szCs w:val="23"/>
          <w:lang w:val="en-GB"/>
        </w:rPr>
        <w:t xml:space="preserve">Programme </w:t>
      </w:r>
      <w:r w:rsidRPr="003E3613">
        <w:rPr>
          <w:rFonts w:ascii="Book Antiqua" w:hAnsi="Book Antiqua"/>
          <w:sz w:val="23"/>
          <w:szCs w:val="23"/>
          <w:lang w:val="en-GB"/>
        </w:rPr>
        <w:t>(GYED Extra) provides the free choice for women with dependent children and supports</w:t>
      </w:r>
      <w:r w:rsidR="00194315" w:rsidRPr="003E3613">
        <w:rPr>
          <w:rFonts w:ascii="Book Antiqua" w:hAnsi="Book Antiqua"/>
          <w:sz w:val="23"/>
          <w:szCs w:val="23"/>
          <w:lang w:val="en-GB"/>
        </w:rPr>
        <w:t xml:space="preserve"> either</w:t>
      </w:r>
      <w:r w:rsidRPr="003E3613">
        <w:rPr>
          <w:rFonts w:ascii="Book Antiqua" w:hAnsi="Book Antiqua"/>
          <w:sz w:val="23"/>
          <w:szCs w:val="23"/>
          <w:lang w:val="en-GB"/>
        </w:rPr>
        <w:t xml:space="preserve"> those who decide to stay at home with their children or those who wish to work besides raising their children. As of 2016, beyond the age of 6 months of the child, employment becomes available </w:t>
      </w:r>
      <w:r w:rsidR="00096091" w:rsidRPr="003E3613">
        <w:rPr>
          <w:rFonts w:ascii="Book Antiqua" w:hAnsi="Book Antiqua"/>
          <w:sz w:val="23"/>
          <w:szCs w:val="23"/>
          <w:lang w:val="en-GB"/>
        </w:rPr>
        <w:t xml:space="preserve">along with the use of benefits. </w:t>
      </w:r>
      <w:r w:rsidRPr="003E3613">
        <w:rPr>
          <w:rFonts w:ascii="Book Antiqua" w:hAnsi="Book Antiqua"/>
          <w:sz w:val="23"/>
          <w:szCs w:val="23"/>
          <w:lang w:val="en-GB"/>
        </w:rPr>
        <w:t xml:space="preserve">Between 2010 and </w:t>
      </w:r>
      <w:r w:rsidR="003528D2" w:rsidRPr="003E3613">
        <w:rPr>
          <w:rFonts w:ascii="Book Antiqua" w:hAnsi="Book Antiqua"/>
          <w:sz w:val="23"/>
          <w:szCs w:val="23"/>
          <w:lang w:val="en-GB"/>
        </w:rPr>
        <w:t>July 2019</w:t>
      </w:r>
      <w:r w:rsidRPr="003E3613">
        <w:rPr>
          <w:rFonts w:ascii="Book Antiqua" w:hAnsi="Book Antiqua"/>
          <w:sz w:val="23"/>
          <w:szCs w:val="23"/>
          <w:lang w:val="en-GB"/>
        </w:rPr>
        <w:t xml:space="preserve"> the </w:t>
      </w:r>
      <w:r w:rsidR="000D719C" w:rsidRPr="003E3613">
        <w:rPr>
          <w:rFonts w:ascii="Book Antiqua" w:hAnsi="Book Antiqua"/>
          <w:sz w:val="23"/>
          <w:szCs w:val="23"/>
          <w:lang w:val="en-GB"/>
        </w:rPr>
        <w:t xml:space="preserve">number of placements available </w:t>
      </w:r>
      <w:r w:rsidRPr="003E3613">
        <w:rPr>
          <w:rFonts w:ascii="Book Antiqua" w:hAnsi="Book Antiqua"/>
          <w:sz w:val="23"/>
          <w:szCs w:val="23"/>
          <w:lang w:val="en-GB"/>
        </w:rPr>
        <w:t xml:space="preserve">in nurseries increased by </w:t>
      </w:r>
      <w:r w:rsidR="003528D2" w:rsidRPr="003E3613">
        <w:rPr>
          <w:rFonts w:ascii="Book Antiqua" w:hAnsi="Book Antiqua"/>
          <w:sz w:val="23"/>
          <w:szCs w:val="23"/>
          <w:lang w:val="en-GB"/>
        </w:rPr>
        <w:t xml:space="preserve">more than </w:t>
      </w:r>
      <w:r w:rsidR="00EA40C7" w:rsidRPr="003E3613">
        <w:rPr>
          <w:rFonts w:ascii="Book Antiqua" w:hAnsi="Book Antiqua"/>
          <w:sz w:val="23"/>
          <w:szCs w:val="23"/>
          <w:lang w:val="en-GB"/>
        </w:rPr>
        <w:t>50</w:t>
      </w:r>
      <w:r w:rsidRPr="003E3613">
        <w:rPr>
          <w:rFonts w:ascii="Book Antiqua" w:hAnsi="Book Antiqua"/>
          <w:sz w:val="23"/>
          <w:szCs w:val="23"/>
          <w:lang w:val="en-GB"/>
        </w:rPr>
        <w:t>%</w:t>
      </w:r>
      <w:r w:rsidR="0001455F" w:rsidRPr="003E3613">
        <w:rPr>
          <w:rFonts w:ascii="Book Antiqua" w:hAnsi="Book Antiqua"/>
          <w:sz w:val="23"/>
          <w:szCs w:val="23"/>
          <w:lang w:val="en-GB"/>
        </w:rPr>
        <w:t xml:space="preserve"> (from 32</w:t>
      </w:r>
      <w:r w:rsidR="00FC194F" w:rsidRPr="003E3613">
        <w:rPr>
          <w:rFonts w:ascii="Book Antiqua" w:hAnsi="Book Antiqua"/>
          <w:sz w:val="23"/>
          <w:szCs w:val="23"/>
          <w:lang w:val="en-GB"/>
        </w:rPr>
        <w:t xml:space="preserve"> 000 </w:t>
      </w:r>
      <w:r w:rsidR="0001455F" w:rsidRPr="003E3613">
        <w:rPr>
          <w:rFonts w:ascii="Book Antiqua" w:hAnsi="Book Antiqua"/>
          <w:sz w:val="23"/>
          <w:szCs w:val="23"/>
          <w:lang w:val="en-GB"/>
        </w:rPr>
        <w:t xml:space="preserve">to nearly 50 </w:t>
      </w:r>
      <w:r w:rsidR="00FC194F" w:rsidRPr="003E3613">
        <w:rPr>
          <w:rFonts w:ascii="Book Antiqua" w:hAnsi="Book Antiqua"/>
          <w:sz w:val="23"/>
          <w:szCs w:val="23"/>
          <w:lang w:val="en-GB"/>
        </w:rPr>
        <w:t>000</w:t>
      </w:r>
      <w:r w:rsidR="0001455F" w:rsidRPr="003E3613">
        <w:rPr>
          <w:rFonts w:ascii="Book Antiqua" w:hAnsi="Book Antiqua"/>
          <w:sz w:val="23"/>
          <w:szCs w:val="23"/>
          <w:lang w:val="en-GB"/>
        </w:rPr>
        <w:t>)</w:t>
      </w:r>
      <w:r w:rsidRPr="003E3613">
        <w:rPr>
          <w:rFonts w:ascii="Book Antiqua" w:hAnsi="Book Antiqua"/>
          <w:sz w:val="23"/>
          <w:szCs w:val="23"/>
          <w:lang w:val="en-GB"/>
        </w:rPr>
        <w:t>. As of 2017, Hungary has introduced a new and more flexible nursery system that aligns better with local circumstances. From 201</w:t>
      </w:r>
      <w:r w:rsidR="00194315" w:rsidRPr="003E3613">
        <w:rPr>
          <w:rFonts w:ascii="Book Antiqua" w:hAnsi="Book Antiqua"/>
          <w:sz w:val="23"/>
          <w:szCs w:val="23"/>
          <w:lang w:val="en-GB"/>
        </w:rPr>
        <w:t>9</w:t>
      </w:r>
      <w:r w:rsidRPr="003E3613">
        <w:rPr>
          <w:rFonts w:ascii="Book Antiqua" w:hAnsi="Book Antiqua"/>
          <w:sz w:val="23"/>
          <w:szCs w:val="23"/>
          <w:lang w:val="en-GB"/>
        </w:rPr>
        <w:t xml:space="preserve"> local governments sh</w:t>
      </w:r>
      <w:r w:rsidR="002C1328" w:rsidRPr="003E3613">
        <w:rPr>
          <w:rFonts w:ascii="Book Antiqua" w:hAnsi="Book Antiqua"/>
          <w:sz w:val="23"/>
          <w:szCs w:val="23"/>
          <w:lang w:val="en-GB"/>
        </w:rPr>
        <w:t>ou</w:t>
      </w:r>
      <w:r w:rsidRPr="003E3613">
        <w:rPr>
          <w:rFonts w:ascii="Book Antiqua" w:hAnsi="Book Antiqua"/>
          <w:sz w:val="23"/>
          <w:szCs w:val="23"/>
          <w:lang w:val="en-GB"/>
        </w:rPr>
        <w:t>l</w:t>
      </w:r>
      <w:r w:rsidR="002C1328" w:rsidRPr="003E3613">
        <w:rPr>
          <w:rFonts w:ascii="Book Antiqua" w:hAnsi="Book Antiqua"/>
          <w:sz w:val="23"/>
          <w:szCs w:val="23"/>
          <w:lang w:val="en-GB"/>
        </w:rPr>
        <w:t>d</w:t>
      </w:r>
      <w:r w:rsidRPr="003E3613">
        <w:rPr>
          <w:rFonts w:ascii="Book Antiqua" w:hAnsi="Book Antiqua"/>
          <w:sz w:val="23"/>
          <w:szCs w:val="23"/>
          <w:lang w:val="en-GB"/>
        </w:rPr>
        <w:t xml:space="preserve"> provide day-care provisions for small children living in settlements with a population </w:t>
      </w:r>
      <w:r w:rsidR="00EA40C7" w:rsidRPr="003E3613">
        <w:rPr>
          <w:rFonts w:ascii="Book Antiqua" w:hAnsi="Book Antiqua"/>
          <w:sz w:val="23"/>
          <w:szCs w:val="23"/>
          <w:lang w:val="en-GB"/>
        </w:rPr>
        <w:t xml:space="preserve">over </w:t>
      </w:r>
      <w:r w:rsidRPr="003E3613">
        <w:rPr>
          <w:rFonts w:ascii="Book Antiqua" w:hAnsi="Book Antiqua"/>
          <w:sz w:val="23"/>
          <w:szCs w:val="23"/>
          <w:lang w:val="en-GB"/>
        </w:rPr>
        <w:t>10</w:t>
      </w:r>
      <w:r w:rsidR="00AE3084" w:rsidRPr="003E3613">
        <w:rPr>
          <w:rFonts w:ascii="Book Antiqua" w:hAnsi="Book Antiqua"/>
          <w:sz w:val="23"/>
          <w:szCs w:val="23"/>
          <w:lang w:val="en-GB"/>
        </w:rPr>
        <w:t> </w:t>
      </w:r>
      <w:r w:rsidRPr="003E3613">
        <w:rPr>
          <w:rFonts w:ascii="Book Antiqua" w:hAnsi="Book Antiqua"/>
          <w:sz w:val="23"/>
          <w:szCs w:val="23"/>
          <w:lang w:val="en-GB"/>
        </w:rPr>
        <w:t>000</w:t>
      </w:r>
      <w:r w:rsidR="00AE3084" w:rsidRPr="003E3613">
        <w:rPr>
          <w:rFonts w:ascii="Book Antiqua" w:hAnsi="Book Antiqua"/>
          <w:sz w:val="23"/>
          <w:szCs w:val="23"/>
          <w:lang w:val="en-GB"/>
        </w:rPr>
        <w:t>,</w:t>
      </w:r>
      <w:r w:rsidR="00B53A04" w:rsidRPr="003E3613">
        <w:rPr>
          <w:rFonts w:ascii="Book Antiqua" w:hAnsi="Book Antiqua"/>
          <w:sz w:val="23"/>
          <w:szCs w:val="23"/>
          <w:lang w:val="en-GB"/>
        </w:rPr>
        <w:t xml:space="preserve"> and also in settlements with a population </w:t>
      </w:r>
      <w:r w:rsidRPr="003E3613">
        <w:rPr>
          <w:rFonts w:ascii="Book Antiqua" w:hAnsi="Book Antiqua"/>
          <w:sz w:val="23"/>
          <w:szCs w:val="23"/>
          <w:lang w:val="en-GB"/>
        </w:rPr>
        <w:t>where the number of small children under the age of 3 exceeds 40, or if this number is less, but at least 5 parents with dependent children indicate their need.</w:t>
      </w:r>
      <w:r w:rsidR="00554D9C" w:rsidRPr="003E3613">
        <w:rPr>
          <w:rFonts w:ascii="Book Antiqua" w:hAnsi="Book Antiqua"/>
          <w:sz w:val="23"/>
          <w:szCs w:val="23"/>
          <w:lang w:val="en-GB"/>
        </w:rPr>
        <w:t xml:space="preserve"> </w:t>
      </w:r>
    </w:p>
    <w:p w14:paraId="0C2164A7" w14:textId="77777777" w:rsidR="002F4FFE" w:rsidRPr="003E3613" w:rsidRDefault="002F4FFE" w:rsidP="00204696">
      <w:pPr>
        <w:spacing w:after="0"/>
        <w:jc w:val="both"/>
        <w:rPr>
          <w:rFonts w:ascii="Book Antiqua" w:hAnsi="Book Antiqua"/>
          <w:sz w:val="23"/>
          <w:szCs w:val="23"/>
          <w:lang w:val="en-GB"/>
        </w:rPr>
      </w:pPr>
    </w:p>
    <w:p w14:paraId="1B508053" w14:textId="77777777" w:rsidR="00660031" w:rsidRDefault="002F4FFE" w:rsidP="00204696">
      <w:pPr>
        <w:spacing w:after="0"/>
        <w:jc w:val="both"/>
        <w:rPr>
          <w:rFonts w:ascii="Book Antiqua" w:hAnsi="Book Antiqua"/>
          <w:sz w:val="23"/>
          <w:szCs w:val="23"/>
          <w:lang w:val="en-GB"/>
        </w:rPr>
      </w:pPr>
      <w:r w:rsidRPr="003E3613">
        <w:rPr>
          <w:rFonts w:ascii="Book Antiqua" w:hAnsi="Book Antiqua"/>
          <w:sz w:val="23"/>
          <w:szCs w:val="23"/>
          <w:lang w:val="en-GB"/>
        </w:rPr>
        <w:t>The expansion of part-time employment opportunities, in the field of women’s policy, is of paramount importance. If a mother with a dependent child needs a part-time employment then her employer shall ensure this opportunity for her up to the age of 3 of her child, or up to the age of 5 of the youngest child in case of a large family.</w:t>
      </w:r>
      <w:r w:rsidR="00096091" w:rsidRPr="003E3613">
        <w:rPr>
          <w:rFonts w:ascii="Book Antiqua" w:hAnsi="Book Antiqua"/>
          <w:sz w:val="23"/>
          <w:szCs w:val="23"/>
          <w:lang w:val="en-GB"/>
        </w:rPr>
        <w:t xml:space="preserve"> </w:t>
      </w:r>
      <w:r w:rsidRPr="003E3613">
        <w:rPr>
          <w:rFonts w:ascii="Book Antiqua" w:hAnsi="Book Antiqua"/>
          <w:sz w:val="23"/>
          <w:szCs w:val="23"/>
          <w:lang w:val="en-GB"/>
        </w:rPr>
        <w:t>The ‘Family-friendly Workplace’ tender is annually published as from 2011. In 201</w:t>
      </w:r>
      <w:r w:rsidR="00EA40C7" w:rsidRPr="003E3613">
        <w:rPr>
          <w:rFonts w:ascii="Book Antiqua" w:hAnsi="Book Antiqua"/>
          <w:sz w:val="23"/>
          <w:szCs w:val="23"/>
          <w:lang w:val="en-GB"/>
        </w:rPr>
        <w:t>8</w:t>
      </w:r>
      <w:r w:rsidRPr="003E3613">
        <w:rPr>
          <w:rFonts w:ascii="Book Antiqua" w:hAnsi="Book Antiqua"/>
          <w:sz w:val="23"/>
          <w:szCs w:val="23"/>
          <w:lang w:val="en-GB"/>
        </w:rPr>
        <w:t xml:space="preserve"> </w:t>
      </w:r>
      <w:r w:rsidR="00194315" w:rsidRPr="003E3613">
        <w:rPr>
          <w:rFonts w:ascii="Book Antiqua" w:hAnsi="Book Antiqua"/>
          <w:sz w:val="23"/>
          <w:szCs w:val="23"/>
          <w:lang w:val="en-GB"/>
        </w:rPr>
        <w:t>in the framework of the Family</w:t>
      </w:r>
      <w:r w:rsidR="001E7D2B" w:rsidRPr="003E3613">
        <w:rPr>
          <w:rFonts w:ascii="Book Antiqua" w:hAnsi="Book Antiqua"/>
          <w:sz w:val="23"/>
          <w:szCs w:val="23"/>
          <w:lang w:val="en-GB"/>
        </w:rPr>
        <w:t>-</w:t>
      </w:r>
      <w:r w:rsidR="00194315" w:rsidRPr="003E3613">
        <w:rPr>
          <w:rFonts w:ascii="Book Antiqua" w:hAnsi="Book Antiqua"/>
          <w:sz w:val="23"/>
          <w:szCs w:val="23"/>
          <w:lang w:val="en-GB"/>
        </w:rPr>
        <w:t xml:space="preserve">Friendly Workplace Award </w:t>
      </w:r>
      <w:r w:rsidRPr="003E3613">
        <w:rPr>
          <w:rFonts w:ascii="Book Antiqua" w:hAnsi="Book Antiqua"/>
          <w:sz w:val="23"/>
          <w:szCs w:val="23"/>
          <w:lang w:val="en-GB"/>
        </w:rPr>
        <w:t>the Ministry of Human Capacities provided a funding of</w:t>
      </w:r>
      <w:r w:rsidR="00194315" w:rsidRPr="003E3613">
        <w:rPr>
          <w:rFonts w:ascii="Book Antiqua" w:hAnsi="Book Antiqua"/>
          <w:sz w:val="23"/>
          <w:szCs w:val="23"/>
          <w:lang w:val="en-GB"/>
        </w:rPr>
        <w:t xml:space="preserve"> a total of </w:t>
      </w:r>
      <w:r w:rsidR="009A0676">
        <w:rPr>
          <w:rFonts w:ascii="Book Antiqua" w:hAnsi="Book Antiqua"/>
          <w:sz w:val="23"/>
          <w:szCs w:val="23"/>
          <w:lang w:val="en-GB"/>
        </w:rPr>
        <w:t xml:space="preserve">EUR </w:t>
      </w:r>
      <w:r w:rsidR="00EA40C7" w:rsidRPr="003E3613">
        <w:rPr>
          <w:rFonts w:ascii="Book Antiqua" w:hAnsi="Book Antiqua"/>
          <w:sz w:val="23"/>
          <w:szCs w:val="23"/>
          <w:lang w:val="en-GB"/>
        </w:rPr>
        <w:t xml:space="preserve">240 000 </w:t>
      </w:r>
      <w:r w:rsidR="00194315" w:rsidRPr="003E3613">
        <w:rPr>
          <w:rFonts w:ascii="Book Antiqua" w:hAnsi="Book Antiqua"/>
          <w:sz w:val="23"/>
          <w:szCs w:val="23"/>
          <w:lang w:val="en-GB"/>
        </w:rPr>
        <w:t>for</w:t>
      </w:r>
      <w:r w:rsidR="009B562C" w:rsidRPr="003E3613">
        <w:rPr>
          <w:rFonts w:ascii="Book Antiqua" w:hAnsi="Book Antiqua"/>
          <w:sz w:val="23"/>
          <w:szCs w:val="23"/>
          <w:lang w:val="en-GB"/>
        </w:rPr>
        <w:t xml:space="preserve"> workplace</w:t>
      </w:r>
      <w:r w:rsidR="00194315" w:rsidRPr="003E3613">
        <w:rPr>
          <w:rFonts w:ascii="Book Antiqua" w:hAnsi="Book Antiqua"/>
          <w:sz w:val="23"/>
          <w:szCs w:val="23"/>
          <w:lang w:val="en-GB"/>
        </w:rPr>
        <w:t>s</w:t>
      </w:r>
      <w:r w:rsidRPr="003E3613">
        <w:rPr>
          <w:rFonts w:ascii="Book Antiqua" w:hAnsi="Book Antiqua"/>
          <w:sz w:val="23"/>
          <w:szCs w:val="23"/>
          <w:lang w:val="en-GB"/>
        </w:rPr>
        <w:t xml:space="preserve"> for developing family-friendly work environments and support</w:t>
      </w:r>
      <w:r w:rsidR="00194315" w:rsidRPr="003E3613">
        <w:rPr>
          <w:rFonts w:ascii="Book Antiqua" w:hAnsi="Book Antiqua"/>
          <w:sz w:val="23"/>
          <w:szCs w:val="23"/>
          <w:lang w:val="en-GB"/>
        </w:rPr>
        <w:t>ing</w:t>
      </w:r>
      <w:r w:rsidRPr="003E3613">
        <w:rPr>
          <w:rFonts w:ascii="Book Antiqua" w:hAnsi="Book Antiqua"/>
          <w:sz w:val="23"/>
          <w:szCs w:val="23"/>
          <w:lang w:val="en-GB"/>
        </w:rPr>
        <w:t xml:space="preserve"> employees in striking the balance between work and family life. The objective of the ‘Extending flexible employment in convergence regions’ tender is to introduce flexible, family-friendly employment opportunities at workplaces for which a non-reimbursable subsidy of </w:t>
      </w:r>
      <w:r w:rsidR="009A0676">
        <w:rPr>
          <w:rFonts w:ascii="Book Antiqua" w:hAnsi="Book Antiqua"/>
          <w:sz w:val="23"/>
          <w:szCs w:val="23"/>
          <w:lang w:val="en-GB"/>
        </w:rPr>
        <w:t xml:space="preserve">EUR </w:t>
      </w:r>
      <w:r w:rsidR="00EA40C7" w:rsidRPr="003E3613">
        <w:rPr>
          <w:rFonts w:ascii="Book Antiqua" w:hAnsi="Book Antiqua"/>
          <w:sz w:val="23"/>
          <w:szCs w:val="23"/>
          <w:lang w:val="en-GB"/>
        </w:rPr>
        <w:t>10</w:t>
      </w:r>
      <w:r w:rsidR="00642E6A" w:rsidRPr="003E3613">
        <w:rPr>
          <w:rFonts w:ascii="Book Antiqua" w:hAnsi="Book Antiqua"/>
          <w:sz w:val="23"/>
          <w:szCs w:val="23"/>
          <w:lang w:val="en-GB"/>
        </w:rPr>
        <w:t xml:space="preserve"> 000</w:t>
      </w:r>
      <w:r w:rsidR="00EA40C7" w:rsidRPr="003E3613">
        <w:rPr>
          <w:rFonts w:ascii="Book Antiqua" w:hAnsi="Book Antiqua"/>
          <w:sz w:val="23"/>
          <w:szCs w:val="23"/>
          <w:lang w:val="en-GB"/>
        </w:rPr>
        <w:t xml:space="preserve"> to </w:t>
      </w:r>
    </w:p>
    <w:p w14:paraId="13BC34A8" w14:textId="77777777" w:rsidR="00660031" w:rsidRDefault="00660031">
      <w:pPr>
        <w:rPr>
          <w:rFonts w:ascii="Book Antiqua" w:hAnsi="Book Antiqua"/>
          <w:sz w:val="23"/>
          <w:szCs w:val="23"/>
          <w:lang w:val="en-GB"/>
        </w:rPr>
      </w:pPr>
      <w:r>
        <w:rPr>
          <w:rFonts w:ascii="Book Antiqua" w:hAnsi="Book Antiqua"/>
          <w:sz w:val="23"/>
          <w:szCs w:val="23"/>
          <w:lang w:val="en-GB"/>
        </w:rPr>
        <w:br w:type="page"/>
      </w:r>
    </w:p>
    <w:p w14:paraId="781F0E84" w14:textId="7A57C20C" w:rsidR="002F4FFE" w:rsidRPr="003E3613" w:rsidRDefault="00EA40C7"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 xml:space="preserve">48 000 </w:t>
      </w:r>
      <w:r w:rsidR="002F4FFE" w:rsidRPr="003E3613">
        <w:rPr>
          <w:rFonts w:ascii="Book Antiqua" w:hAnsi="Book Antiqua"/>
          <w:sz w:val="23"/>
          <w:szCs w:val="23"/>
          <w:lang w:val="en-GB"/>
        </w:rPr>
        <w:t>was allocated. The purpose of the project ‘Women in families and at work’, published in June 2017 is to</w:t>
      </w:r>
      <w:r w:rsidR="002F4FFE" w:rsidRPr="003E3613">
        <w:rPr>
          <w:rFonts w:ascii="Book Antiqua" w:hAnsi="Book Antiqua"/>
          <w:b/>
          <w:bCs/>
          <w:sz w:val="23"/>
          <w:szCs w:val="23"/>
          <w:lang w:val="en-GB"/>
        </w:rPr>
        <w:t xml:space="preserve"> </w:t>
      </w:r>
      <w:r w:rsidR="002F4FFE" w:rsidRPr="003E3613">
        <w:rPr>
          <w:rFonts w:ascii="Book Antiqua" w:hAnsi="Book Antiqua"/>
          <w:sz w:val="23"/>
          <w:szCs w:val="23"/>
          <w:lang w:val="en-GB"/>
        </w:rPr>
        <w:t xml:space="preserve">improve the situation of women in the labour market as well as that of striking the balance between family life and work. </w:t>
      </w:r>
      <w:r w:rsidRPr="003E3613">
        <w:rPr>
          <w:rFonts w:ascii="Book Antiqua" w:hAnsi="Book Antiqua"/>
          <w:sz w:val="23"/>
          <w:szCs w:val="23"/>
          <w:lang w:val="en-GB"/>
        </w:rPr>
        <w:t xml:space="preserve">71 Family and Career Points opened their doors in 2018 with the aim of providing </w:t>
      </w:r>
      <w:r w:rsidR="00AD1670" w:rsidRPr="003E3613">
        <w:rPr>
          <w:rFonts w:ascii="Book Antiqua" w:hAnsi="Book Antiqua"/>
          <w:sz w:val="23"/>
          <w:szCs w:val="23"/>
          <w:lang w:val="en-GB"/>
        </w:rPr>
        <w:t>training, coaching and mentoring programmes for the employment of women</w:t>
      </w:r>
      <w:r w:rsidRPr="003E3613">
        <w:rPr>
          <w:rFonts w:ascii="Book Antiqua" w:hAnsi="Book Antiqua"/>
          <w:sz w:val="23"/>
          <w:szCs w:val="23"/>
          <w:lang w:val="en-GB"/>
        </w:rPr>
        <w:t xml:space="preserve">. </w:t>
      </w:r>
      <w:r w:rsidR="002F4FFE" w:rsidRPr="003E3613">
        <w:rPr>
          <w:rFonts w:ascii="Book Antiqua" w:hAnsi="Book Antiqua"/>
          <w:sz w:val="23"/>
          <w:szCs w:val="23"/>
          <w:lang w:val="en-GB"/>
        </w:rPr>
        <w:t>The Government allocated a funding of 14 billion HUF</w:t>
      </w:r>
      <w:r w:rsidR="00E03499" w:rsidRPr="003E3613">
        <w:rPr>
          <w:rFonts w:ascii="Book Antiqua" w:hAnsi="Book Antiqua"/>
          <w:sz w:val="23"/>
          <w:szCs w:val="23"/>
          <w:lang w:val="en-GB"/>
        </w:rPr>
        <w:t xml:space="preserve"> (</w:t>
      </w:r>
      <w:r w:rsidR="00522CE5" w:rsidRPr="003E3613">
        <w:rPr>
          <w:rFonts w:ascii="Book Antiqua" w:hAnsi="Book Antiqua"/>
          <w:sz w:val="23"/>
          <w:szCs w:val="23"/>
          <w:lang w:val="en-GB"/>
        </w:rPr>
        <w:t>approx.</w:t>
      </w:r>
      <w:r w:rsidR="00E03499" w:rsidRPr="003E3613">
        <w:rPr>
          <w:rFonts w:ascii="Book Antiqua" w:hAnsi="Book Antiqua"/>
          <w:sz w:val="23"/>
          <w:szCs w:val="23"/>
          <w:lang w:val="en-GB"/>
        </w:rPr>
        <w:t xml:space="preserve"> 44 800 000 EUR) </w:t>
      </w:r>
      <w:r w:rsidR="002F4FFE" w:rsidRPr="003E3613">
        <w:rPr>
          <w:rFonts w:ascii="Book Antiqua" w:hAnsi="Book Antiqua"/>
          <w:sz w:val="23"/>
          <w:szCs w:val="23"/>
          <w:lang w:val="en-GB"/>
        </w:rPr>
        <w:t>for this project.</w:t>
      </w:r>
    </w:p>
    <w:p w14:paraId="5A7CD277" w14:textId="77777777" w:rsidR="00602F2A" w:rsidRPr="003E3613" w:rsidRDefault="00602F2A" w:rsidP="00204696">
      <w:pPr>
        <w:spacing w:after="0"/>
        <w:jc w:val="both"/>
        <w:rPr>
          <w:rFonts w:ascii="Book Antiqua" w:hAnsi="Book Antiqua"/>
          <w:sz w:val="23"/>
          <w:szCs w:val="23"/>
          <w:lang w:val="en-GB"/>
        </w:rPr>
      </w:pPr>
    </w:p>
    <w:p w14:paraId="01A30A75" w14:textId="77777777" w:rsidR="00602F2A" w:rsidRPr="003E3613" w:rsidRDefault="00602F2A"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It is also worth mentioning </w:t>
      </w:r>
      <w:r w:rsidRPr="003E3613">
        <w:rPr>
          <w:rFonts w:ascii="Book Antiqua" w:hAnsi="Book Antiqua" w:cs="Times New Roman"/>
          <w:sz w:val="23"/>
          <w:szCs w:val="23"/>
          <w:lang w:val="en-GB"/>
        </w:rPr>
        <w:t>that a research conducted by the World Bank Group in 2019 states that the Hungarian business enterprise environment is suitable for women, considering that based on the points of Women, Business and the Law index our country is in the leading group with 93.75 points (out of 100). The index used 8 indicators (freedom of movement, employment, salaries, marriage, having children, enterprises, ownership and retirement) to examine, whether based on law there are equal rights ensured for women and men during their lifetime in the world of occupation, and also what kind of impact do these rights have on their economic results.</w:t>
      </w:r>
    </w:p>
    <w:p w14:paraId="66D4DB35" w14:textId="77777777" w:rsidR="009569D6" w:rsidRPr="003E3613" w:rsidRDefault="009569D6" w:rsidP="00204696">
      <w:pPr>
        <w:spacing w:after="0"/>
        <w:jc w:val="both"/>
        <w:rPr>
          <w:rFonts w:ascii="Book Antiqua" w:hAnsi="Book Antiqua"/>
          <w:sz w:val="23"/>
          <w:szCs w:val="23"/>
          <w:lang w:val="en-GB"/>
        </w:rPr>
      </w:pPr>
    </w:p>
    <w:p w14:paraId="0EEA5CA5" w14:textId="77777777" w:rsidR="00AC6807" w:rsidRPr="003E3613" w:rsidRDefault="002A734E"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Regarding</w:t>
      </w:r>
      <w:r w:rsidR="002B7462" w:rsidRPr="003E3613">
        <w:rPr>
          <w:rFonts w:ascii="Book Antiqua" w:hAnsi="Book Antiqua" w:cs="Times New Roman"/>
          <w:sz w:val="23"/>
          <w:szCs w:val="23"/>
          <w:lang w:val="en-GB"/>
        </w:rPr>
        <w:t xml:space="preserve"> gender stereotypes in schoolbooks it has to be pointed out that according to the OECD Employment, Labour and Social Affairs Committee (ELSA) Report in 2017 </w:t>
      </w:r>
      <w:r w:rsidR="002B7462" w:rsidRPr="003E3613">
        <w:rPr>
          <w:rFonts w:ascii="Book Antiqua" w:hAnsi="Book Antiqua" w:cs="Times New Roman"/>
          <w:i/>
          <w:sz w:val="23"/>
          <w:szCs w:val="23"/>
          <w:lang w:val="en-GB"/>
        </w:rPr>
        <w:t>(Report on the implementation of the OECD Gender Recommendations – Some Progress on Gender Equality But Much Left To Do)</w:t>
      </w:r>
      <w:r w:rsidR="002B7462" w:rsidRPr="003E3613">
        <w:rPr>
          <w:rFonts w:ascii="Book Antiqua" w:hAnsi="Book Antiqua"/>
          <w:sz w:val="23"/>
          <w:szCs w:val="23"/>
          <w:lang w:val="en-GB"/>
        </w:rPr>
        <w:t>,</w:t>
      </w:r>
      <w:r w:rsidR="002B7462" w:rsidRPr="003E3613">
        <w:rPr>
          <w:rFonts w:ascii="Book Antiqua" w:hAnsi="Book Antiqua" w:cs="Times New Roman"/>
          <w:sz w:val="23"/>
          <w:szCs w:val="23"/>
          <w:lang w:val="en-GB"/>
        </w:rPr>
        <w:t xml:space="preserve"> textbooks were revised in Hungary in 2013 for grade 1 to 8 to ensure that students are not exposed to stereotypes and to develop awareness of gender equality. </w:t>
      </w:r>
    </w:p>
    <w:p w14:paraId="4FF0E375" w14:textId="77777777" w:rsidR="00AC6807" w:rsidRPr="003E3613" w:rsidRDefault="00AC6807" w:rsidP="00204696">
      <w:pPr>
        <w:spacing w:after="0"/>
        <w:jc w:val="both"/>
        <w:rPr>
          <w:rFonts w:ascii="Book Antiqua" w:hAnsi="Book Antiqua" w:cs="Times New Roman"/>
          <w:sz w:val="23"/>
          <w:szCs w:val="23"/>
          <w:lang w:val="en-GB"/>
        </w:rPr>
      </w:pPr>
    </w:p>
    <w:p w14:paraId="6752DE36" w14:textId="77777777" w:rsidR="009569D6" w:rsidRPr="003E3613" w:rsidRDefault="002B7462" w:rsidP="00204696">
      <w:pPr>
        <w:spacing w:after="0"/>
        <w:jc w:val="both"/>
        <w:rPr>
          <w:rFonts w:ascii="Book Antiqua" w:eastAsia="Calibri" w:hAnsi="Book Antiqua"/>
          <w:sz w:val="23"/>
          <w:szCs w:val="23"/>
          <w:lang w:val="en-GB" w:eastAsia="en-US"/>
        </w:rPr>
      </w:pPr>
      <w:r w:rsidRPr="003E3613">
        <w:rPr>
          <w:rFonts w:ascii="Book Antiqua" w:hAnsi="Book Antiqua" w:cs="Times New Roman"/>
          <w:sz w:val="23"/>
          <w:szCs w:val="23"/>
          <w:lang w:val="en-GB"/>
        </w:rPr>
        <w:t>Examples of new materials include: a revision of biology textbooks to illustrate the role of women in science by demonstrating the works of female scientists; the representation of women who were successful in their fields of work in a career section in the physics textbooks; and discussions of the gender equality issues and the historical background of the change in the traditional roles of women in history textbooks</w:t>
      </w:r>
      <w:r w:rsidR="009569D6" w:rsidRPr="003E3613">
        <w:rPr>
          <w:rFonts w:ascii="Book Antiqua" w:hAnsi="Book Antiqua" w:cs="Times New Roman"/>
          <w:sz w:val="23"/>
          <w:szCs w:val="23"/>
          <w:lang w:val="en-GB"/>
        </w:rPr>
        <w:t>.</w:t>
      </w:r>
      <w:r w:rsidR="009569D6" w:rsidRPr="003E3613">
        <w:rPr>
          <w:rFonts w:ascii="Book Antiqua" w:eastAsia="Calibri" w:hAnsi="Book Antiqua"/>
          <w:sz w:val="23"/>
          <w:szCs w:val="23"/>
          <w:lang w:val="en-GB" w:eastAsia="en-US"/>
        </w:rPr>
        <w:t xml:space="preserve"> </w:t>
      </w:r>
    </w:p>
    <w:p w14:paraId="7123AE3B" w14:textId="77777777" w:rsidR="00122113" w:rsidRPr="003E3613" w:rsidRDefault="00122113" w:rsidP="00204696">
      <w:pPr>
        <w:spacing w:after="0"/>
        <w:jc w:val="both"/>
        <w:rPr>
          <w:rFonts w:ascii="Book Antiqua" w:eastAsia="Calibri" w:hAnsi="Book Antiqua"/>
          <w:sz w:val="23"/>
          <w:szCs w:val="23"/>
          <w:lang w:val="en-GB" w:eastAsia="en-US"/>
        </w:rPr>
      </w:pPr>
    </w:p>
    <w:p w14:paraId="00E00DDD" w14:textId="77777777" w:rsidR="00EA40C7" w:rsidRPr="003E3613" w:rsidRDefault="00122113"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Based on the 2017 OECD data,</w:t>
      </w:r>
      <w:r w:rsidRPr="003E3613">
        <w:rPr>
          <w:rFonts w:ascii="Book Antiqua" w:hAnsi="Book Antiqua"/>
          <w:sz w:val="23"/>
          <w:szCs w:val="23"/>
          <w:lang w:val="en-GB"/>
        </w:rPr>
        <w:t xml:space="preserve"> </w:t>
      </w:r>
      <w:r w:rsidRPr="003E3613">
        <w:rPr>
          <w:rFonts w:ascii="Book Antiqua" w:hAnsi="Book Antiqua" w:cs="Times New Roman"/>
          <w:sz w:val="23"/>
          <w:szCs w:val="23"/>
          <w:lang w:val="en-GB"/>
        </w:rPr>
        <w:t>the Economist ranked Hungary 9</w:t>
      </w:r>
      <w:r w:rsidRPr="003E3613">
        <w:rPr>
          <w:rFonts w:ascii="Book Antiqua" w:hAnsi="Book Antiqua" w:cs="Times New Roman"/>
          <w:sz w:val="23"/>
          <w:szCs w:val="23"/>
          <w:vertAlign w:val="superscript"/>
          <w:lang w:val="en-GB"/>
        </w:rPr>
        <w:t>th</w:t>
      </w:r>
      <w:r w:rsidRPr="003E3613">
        <w:rPr>
          <w:rFonts w:ascii="Book Antiqua" w:hAnsi="Book Antiqua" w:cs="Times New Roman"/>
          <w:sz w:val="23"/>
          <w:szCs w:val="23"/>
          <w:lang w:val="en-GB"/>
        </w:rPr>
        <w:t xml:space="preserve"> in its Glass–ceiling index</w:t>
      </w:r>
      <w:r w:rsidR="00FC194F" w:rsidRPr="003E3613">
        <w:rPr>
          <w:rFonts w:ascii="Book Antiqua" w:hAnsi="Book Antiqua" w:cs="Times New Roman"/>
          <w:sz w:val="23"/>
          <w:szCs w:val="23"/>
          <w:lang w:val="en-GB"/>
        </w:rPr>
        <w:t>,</w:t>
      </w:r>
      <w:r w:rsidRPr="003E3613">
        <w:rPr>
          <w:rStyle w:val="FootnoteReference"/>
          <w:rFonts w:ascii="Book Antiqua" w:hAnsi="Book Antiqua" w:cs="Times New Roman"/>
          <w:sz w:val="23"/>
          <w:szCs w:val="23"/>
          <w:lang w:val="en-GB"/>
        </w:rPr>
        <w:footnoteReference w:id="32"/>
      </w:r>
      <w:r w:rsidRPr="003E3613">
        <w:rPr>
          <w:rFonts w:ascii="Book Antiqua" w:hAnsi="Book Antiqua" w:cs="Times New Roman"/>
          <w:sz w:val="23"/>
          <w:szCs w:val="23"/>
          <w:lang w:val="en-GB"/>
        </w:rPr>
        <w:t xml:space="preserve"> which is above OECD average.</w:t>
      </w:r>
    </w:p>
    <w:p w14:paraId="2E8097A6" w14:textId="77777777" w:rsidR="00122113" w:rsidRPr="003E3613" w:rsidRDefault="00122113" w:rsidP="00204696">
      <w:pPr>
        <w:spacing w:after="0"/>
        <w:jc w:val="both"/>
        <w:rPr>
          <w:rFonts w:ascii="Book Antiqua" w:hAnsi="Book Antiqua"/>
          <w:i/>
          <w:sz w:val="23"/>
          <w:szCs w:val="23"/>
          <w:lang w:val="en-GB"/>
        </w:rPr>
      </w:pPr>
    </w:p>
    <w:p w14:paraId="16469646" w14:textId="77777777" w:rsidR="00EA40C7" w:rsidRPr="003E3613" w:rsidRDefault="00EA40C7"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An innovative and </w:t>
      </w:r>
      <w:r w:rsidR="00642E6A" w:rsidRPr="003E3613">
        <w:rPr>
          <w:rFonts w:ascii="Book Antiqua" w:hAnsi="Book Antiqua" w:cs="Times New Roman"/>
          <w:sz w:val="23"/>
          <w:szCs w:val="23"/>
          <w:lang w:val="en-GB"/>
        </w:rPr>
        <w:t xml:space="preserve">internationally </w:t>
      </w:r>
      <w:r w:rsidRPr="003E3613">
        <w:rPr>
          <w:rFonts w:ascii="Book Antiqua" w:hAnsi="Book Antiqua" w:cs="Times New Roman"/>
          <w:sz w:val="23"/>
          <w:szCs w:val="23"/>
          <w:lang w:val="en-GB"/>
        </w:rPr>
        <w:t xml:space="preserve">unique institute opened in Budapest in May 2018: the first Single Parents’ </w:t>
      </w:r>
      <w:r w:rsidR="00522CE5" w:rsidRPr="003E3613">
        <w:rPr>
          <w:rFonts w:ascii="Book Antiqua" w:hAnsi="Book Antiqua" w:cs="Times New Roman"/>
          <w:sz w:val="23"/>
          <w:szCs w:val="23"/>
          <w:lang w:val="en-GB"/>
        </w:rPr>
        <w:t>Centre</w:t>
      </w:r>
      <w:r w:rsidR="00642E6A" w:rsidRPr="003E3613">
        <w:rPr>
          <w:rFonts w:ascii="Book Antiqua" w:hAnsi="Book Antiqua" w:cs="Times New Roman"/>
          <w:sz w:val="23"/>
          <w:szCs w:val="23"/>
          <w:lang w:val="en-GB"/>
        </w:rPr>
        <w:t>,</w:t>
      </w:r>
      <w:r w:rsidR="00D94097" w:rsidRPr="003E3613">
        <w:rPr>
          <w:rFonts w:ascii="Book Antiqua" w:hAnsi="Book Antiqua" w:cs="Times New Roman"/>
          <w:sz w:val="23"/>
          <w:szCs w:val="23"/>
          <w:lang w:val="en-GB"/>
        </w:rPr>
        <w:t xml:space="preserve"> </w:t>
      </w:r>
      <w:r w:rsidRPr="003E3613">
        <w:rPr>
          <w:rFonts w:ascii="Book Antiqua" w:hAnsi="Book Antiqua" w:cs="Times New Roman"/>
          <w:sz w:val="23"/>
          <w:szCs w:val="23"/>
          <w:lang w:val="en-GB"/>
        </w:rPr>
        <w:t>offering a wide range of services and programmes for single parents and their children.</w:t>
      </w:r>
    </w:p>
    <w:p w14:paraId="2CFFA7AD" w14:textId="77777777" w:rsidR="00531BDA" w:rsidRPr="003E3613" w:rsidRDefault="00531BDA" w:rsidP="00204696">
      <w:pPr>
        <w:spacing w:after="0"/>
        <w:jc w:val="both"/>
        <w:rPr>
          <w:rFonts w:ascii="Book Antiqua" w:hAnsi="Book Antiqua" w:cs="Times New Roman"/>
          <w:sz w:val="23"/>
          <w:szCs w:val="23"/>
          <w:lang w:val="en-GB"/>
        </w:rPr>
      </w:pPr>
    </w:p>
    <w:p w14:paraId="66D0686E" w14:textId="69402C51" w:rsidR="00531BDA" w:rsidRPr="003E3613" w:rsidRDefault="00531BDA"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Hungary places great emphasis on protecting families </w:t>
      </w:r>
      <w:r w:rsidR="00542BFE" w:rsidRPr="003E3613">
        <w:rPr>
          <w:rFonts w:ascii="Book Antiqua" w:hAnsi="Book Antiqua" w:cs="Times New Roman"/>
          <w:sz w:val="23"/>
          <w:szCs w:val="23"/>
          <w:lang w:val="en-GB"/>
        </w:rPr>
        <w:t xml:space="preserve">which </w:t>
      </w:r>
      <w:r w:rsidRPr="003E3613">
        <w:rPr>
          <w:rFonts w:ascii="Book Antiqua" w:hAnsi="Book Antiqua" w:cs="Times New Roman"/>
          <w:sz w:val="23"/>
          <w:szCs w:val="23"/>
          <w:lang w:val="en-GB"/>
        </w:rPr>
        <w:t xml:space="preserve">is shown by spending </w:t>
      </w:r>
      <w:r w:rsidR="001C73C8" w:rsidRPr="003E3613">
        <w:rPr>
          <w:rFonts w:ascii="Book Antiqua" w:hAnsi="Book Antiqua" w:cs="Times New Roman"/>
          <w:sz w:val="23"/>
          <w:szCs w:val="23"/>
          <w:lang w:val="en-GB"/>
        </w:rPr>
        <w:t xml:space="preserve">almost </w:t>
      </w:r>
      <w:r w:rsidRPr="003E3613">
        <w:rPr>
          <w:rFonts w:ascii="Book Antiqua" w:hAnsi="Book Antiqua" w:cs="Times New Roman"/>
          <w:sz w:val="23"/>
          <w:szCs w:val="23"/>
          <w:lang w:val="en-GB"/>
        </w:rPr>
        <w:t xml:space="preserve">5 percent of its GDP on family support, which is the highest rate in Europe. After 2010, Hungary developed a new tax system favouring families who have more children. Tax allowances for families with children are extremely high. Families raising 3 or more children basically do not </w:t>
      </w:r>
      <w:r w:rsidRPr="003E3613">
        <w:rPr>
          <w:rFonts w:ascii="Book Antiqua" w:hAnsi="Book Antiqua" w:cs="Times New Roman"/>
          <w:sz w:val="23"/>
          <w:szCs w:val="23"/>
          <w:lang w:val="en-GB"/>
        </w:rPr>
        <w:lastRenderedPageBreak/>
        <w:t xml:space="preserve">pay any personal income tax. To further strengthen family policy, on 10 February 2019 the Hungarian Government announced a family policy action plan that was preceded by a national consultation on childbearing and child rearing. The action plan gave new incentives to families. Among them the Government introduced the following: an allowance for young married couples with a view to encouraging them to have children, income tax exemption for women with minimum four children and the child care allowance for grandparents. Moreover, it extends the first home housing programme. Additionally, there </w:t>
      </w:r>
      <w:r w:rsidR="00AB3519" w:rsidRPr="003E3613">
        <w:rPr>
          <w:rFonts w:ascii="Book Antiqua" w:hAnsi="Book Antiqua" w:cs="Times New Roman"/>
          <w:sz w:val="23"/>
          <w:szCs w:val="23"/>
          <w:lang w:val="en-GB"/>
        </w:rPr>
        <w:t xml:space="preserve">is </w:t>
      </w:r>
      <w:r w:rsidRPr="003E3613">
        <w:rPr>
          <w:rFonts w:ascii="Book Antiqua" w:hAnsi="Book Antiqua" w:cs="Times New Roman"/>
          <w:sz w:val="23"/>
          <w:szCs w:val="23"/>
          <w:lang w:val="en-GB"/>
        </w:rPr>
        <w:t xml:space="preserve">a further cut in the mortgage loans of families deciding to have more children, a car purchase programme </w:t>
      </w:r>
      <w:r w:rsidR="00AB3519" w:rsidRPr="003E3613">
        <w:rPr>
          <w:rFonts w:ascii="Book Antiqua" w:hAnsi="Book Antiqua" w:cs="Times New Roman"/>
          <w:sz w:val="23"/>
          <w:szCs w:val="23"/>
          <w:lang w:val="en-GB"/>
        </w:rPr>
        <w:t>is</w:t>
      </w:r>
      <w:r w:rsidRPr="003E3613">
        <w:rPr>
          <w:rFonts w:ascii="Book Antiqua" w:hAnsi="Book Antiqua" w:cs="Times New Roman"/>
          <w:sz w:val="23"/>
          <w:szCs w:val="23"/>
          <w:lang w:val="en-GB"/>
        </w:rPr>
        <w:t xml:space="preserve"> launched for large families, and new creche facilities </w:t>
      </w:r>
      <w:r w:rsidR="00AB3519" w:rsidRPr="003E3613">
        <w:rPr>
          <w:rFonts w:ascii="Book Antiqua" w:hAnsi="Book Antiqua" w:cs="Times New Roman"/>
          <w:sz w:val="23"/>
          <w:szCs w:val="23"/>
          <w:lang w:val="en-GB"/>
        </w:rPr>
        <w:t>are</w:t>
      </w:r>
      <w:r w:rsidRPr="003E3613">
        <w:rPr>
          <w:rFonts w:ascii="Book Antiqua" w:hAnsi="Book Antiqua" w:cs="Times New Roman"/>
          <w:sz w:val="23"/>
          <w:szCs w:val="23"/>
          <w:lang w:val="en-GB"/>
        </w:rPr>
        <w:t xml:space="preserve"> be</w:t>
      </w:r>
      <w:r w:rsidR="00AB3519" w:rsidRPr="003E3613">
        <w:rPr>
          <w:rFonts w:ascii="Book Antiqua" w:hAnsi="Book Antiqua" w:cs="Times New Roman"/>
          <w:sz w:val="23"/>
          <w:szCs w:val="23"/>
          <w:lang w:val="en-GB"/>
        </w:rPr>
        <w:t>ing</w:t>
      </w:r>
      <w:r w:rsidRPr="003E3613">
        <w:rPr>
          <w:rFonts w:ascii="Book Antiqua" w:hAnsi="Book Antiqua" w:cs="Times New Roman"/>
          <w:sz w:val="23"/>
          <w:szCs w:val="23"/>
          <w:lang w:val="en-GB"/>
        </w:rPr>
        <w:t xml:space="preserve"> created. Our program could be a model to follow for those Member States who can think out of the box of migration being the only solution for a demographic decline.</w:t>
      </w:r>
    </w:p>
    <w:p w14:paraId="64433E94" w14:textId="77777777" w:rsidR="00B9677E" w:rsidRPr="003E3613" w:rsidRDefault="00B9677E" w:rsidP="00204696">
      <w:pPr>
        <w:spacing w:after="0"/>
        <w:jc w:val="both"/>
        <w:rPr>
          <w:rFonts w:ascii="Book Antiqua" w:hAnsi="Book Antiqua"/>
          <w:i/>
          <w:sz w:val="23"/>
          <w:szCs w:val="23"/>
          <w:lang w:val="en-GB"/>
        </w:rPr>
      </w:pPr>
    </w:p>
    <w:p w14:paraId="02C4AA9B" w14:textId="77777777" w:rsidR="00CC567C" w:rsidRPr="003E3613" w:rsidRDefault="00CC567C" w:rsidP="00204696">
      <w:pPr>
        <w:pStyle w:val="Heading2"/>
        <w:keepNext w:val="0"/>
        <w:keepLines w:val="0"/>
        <w:spacing w:before="0"/>
        <w:rPr>
          <w:rFonts w:ascii="Book Antiqua" w:hAnsi="Book Antiqua"/>
          <w:color w:val="auto"/>
          <w:sz w:val="23"/>
          <w:szCs w:val="23"/>
          <w:lang w:val="en-GB"/>
        </w:rPr>
      </w:pPr>
      <w:bookmarkStart w:id="52" w:name="_Toc19120810"/>
      <w:r w:rsidRPr="003E3613">
        <w:rPr>
          <w:rFonts w:ascii="Book Antiqua" w:hAnsi="Book Antiqua"/>
          <w:color w:val="auto"/>
          <w:sz w:val="23"/>
          <w:szCs w:val="23"/>
          <w:lang w:val="en-GB"/>
        </w:rPr>
        <w:t>The protection of female victims of domestic violence</w:t>
      </w:r>
      <w:bookmarkEnd w:id="52"/>
    </w:p>
    <w:p w14:paraId="4DD1B2EE" w14:textId="77777777" w:rsidR="00CC567C" w:rsidRPr="003E3613" w:rsidRDefault="00CC567C" w:rsidP="00204696">
      <w:pPr>
        <w:spacing w:after="0"/>
        <w:jc w:val="both"/>
        <w:rPr>
          <w:rFonts w:ascii="Book Antiqua" w:hAnsi="Book Antiqua"/>
          <w:i/>
          <w:sz w:val="23"/>
          <w:szCs w:val="23"/>
          <w:lang w:val="en-GB"/>
        </w:rPr>
      </w:pPr>
    </w:p>
    <w:p w14:paraId="00CA3E44"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52045A" w:rsidRPr="003E3613">
        <w:rPr>
          <w:rFonts w:ascii="Book Antiqua" w:hAnsi="Book Antiqua"/>
          <w:i/>
          <w:sz w:val="23"/>
          <w:szCs w:val="23"/>
          <w:lang w:val="en-GB"/>
        </w:rPr>
        <w:t>4</w:t>
      </w:r>
      <w:r w:rsidR="00423A8E" w:rsidRPr="003E3613">
        <w:rPr>
          <w:rFonts w:ascii="Book Antiqua" w:hAnsi="Book Antiqua"/>
          <w:i/>
          <w:sz w:val="23"/>
          <w:szCs w:val="23"/>
          <w:lang w:val="en-GB"/>
        </w:rPr>
        <w:t>7</w:t>
      </w:r>
      <w:r w:rsidRPr="003E3613">
        <w:rPr>
          <w:rFonts w:ascii="Book Antiqua" w:hAnsi="Book Antiqua"/>
          <w:i/>
          <w:sz w:val="23"/>
          <w:szCs w:val="23"/>
          <w:lang w:val="en-GB"/>
        </w:rPr>
        <w:t xml:space="preserve">) In its concluding observations of 5 April 2018, the UN Human Rights Committee </w:t>
      </w:r>
      <w:r w:rsidR="0052045A" w:rsidRPr="003E3613">
        <w:rPr>
          <w:rFonts w:ascii="Book Antiqua" w:hAnsi="Book Antiqua"/>
          <w:i/>
          <w:sz w:val="23"/>
          <w:szCs w:val="23"/>
          <w:lang w:val="en-GB"/>
        </w:rPr>
        <w:t xml:space="preserve">welcomed the signature of the Istanbul Convention but </w:t>
      </w:r>
      <w:r w:rsidRPr="003E3613">
        <w:rPr>
          <w:rFonts w:ascii="Book Antiqua" w:hAnsi="Book Antiqua"/>
          <w:i/>
          <w:sz w:val="23"/>
          <w:szCs w:val="23"/>
          <w:lang w:val="en-GB"/>
        </w:rPr>
        <w:t>expressed regret that patriarchal stereotyped attitudes still prevail in Hungary with respect to the position of women in society, and noted with concern discriminatory comments made by political figures against women. It also noted that the Hungarian Criminal Code does not fully protect female victims of domestic violence.</w:t>
      </w:r>
      <w:r w:rsidR="0052045A" w:rsidRPr="003E3613">
        <w:rPr>
          <w:rFonts w:ascii="Book Antiqua" w:hAnsi="Book Antiqua"/>
          <w:i/>
          <w:sz w:val="23"/>
          <w:szCs w:val="23"/>
          <w:lang w:val="en-GB"/>
        </w:rPr>
        <w:t xml:space="preserve"> It expressed concern that women are underrepresented in decision-making positions in the public sector, particularly in Government ministries and the Hungarian Parliament. The Istanbul Convention has not yet been ratified.</w:t>
      </w:r>
    </w:p>
    <w:p w14:paraId="69C36D19" w14:textId="77777777" w:rsidR="00BC4E5D" w:rsidRPr="003E3613" w:rsidRDefault="00BC4E5D" w:rsidP="00204696">
      <w:pPr>
        <w:spacing w:after="0"/>
        <w:jc w:val="both"/>
        <w:rPr>
          <w:rFonts w:ascii="Book Antiqua" w:hAnsi="Book Antiqua"/>
          <w:i/>
          <w:sz w:val="23"/>
          <w:szCs w:val="23"/>
          <w:lang w:val="en-GB"/>
        </w:rPr>
      </w:pPr>
    </w:p>
    <w:p w14:paraId="093D5358" w14:textId="77777777" w:rsidR="002F4FFE" w:rsidRPr="003E3613" w:rsidRDefault="002F4FFE" w:rsidP="00204696">
      <w:pPr>
        <w:spacing w:after="0"/>
        <w:jc w:val="both"/>
        <w:rPr>
          <w:rFonts w:ascii="Book Antiqua" w:hAnsi="Book Antiqua"/>
          <w:sz w:val="23"/>
          <w:szCs w:val="23"/>
          <w:lang w:val="en-GB"/>
        </w:rPr>
      </w:pPr>
      <w:r w:rsidRPr="003E3613">
        <w:rPr>
          <w:rFonts w:ascii="Book Antiqua" w:hAnsi="Book Antiqua"/>
          <w:sz w:val="23"/>
          <w:szCs w:val="23"/>
          <w:lang w:val="en-GB"/>
        </w:rPr>
        <w:t>The Hungarian Government denounces violence against women in any form or shape, and is dedicated to rid society of abuse: in accordance with this objective, Hungarian law provides strong protection for women against violence. Since its introduction on 1 July 2013</w:t>
      </w:r>
      <w:r w:rsidR="00E8532A" w:rsidRPr="003E3613">
        <w:rPr>
          <w:rFonts w:ascii="Book Antiqua" w:hAnsi="Book Antiqua"/>
          <w:sz w:val="23"/>
          <w:szCs w:val="23"/>
          <w:lang w:val="en-GB"/>
        </w:rPr>
        <w:t>,</w:t>
      </w:r>
      <w:r w:rsidRPr="003E3613">
        <w:rPr>
          <w:rFonts w:ascii="Book Antiqua" w:hAnsi="Book Antiqua"/>
          <w:sz w:val="23"/>
          <w:szCs w:val="23"/>
          <w:lang w:val="en-GB"/>
        </w:rPr>
        <w:t xml:space="preserve"> the </w:t>
      </w:r>
      <w:r w:rsidR="00E8532A" w:rsidRPr="003E3613">
        <w:rPr>
          <w:rFonts w:ascii="Book Antiqua" w:hAnsi="Book Antiqua"/>
          <w:sz w:val="23"/>
          <w:szCs w:val="23"/>
          <w:lang w:val="en-GB"/>
        </w:rPr>
        <w:t>criminal offence</w:t>
      </w:r>
      <w:r w:rsidRPr="003E3613">
        <w:rPr>
          <w:rFonts w:ascii="Book Antiqua" w:hAnsi="Book Antiqua"/>
          <w:sz w:val="23"/>
          <w:szCs w:val="23"/>
          <w:lang w:val="en-GB"/>
        </w:rPr>
        <w:t xml:space="preserve"> of ‘violence committed in a relationship’ </w:t>
      </w:r>
      <w:r w:rsidR="009B3651" w:rsidRPr="003E3613">
        <w:rPr>
          <w:rFonts w:ascii="Book Antiqua" w:hAnsi="Book Antiqua"/>
          <w:sz w:val="23"/>
          <w:szCs w:val="23"/>
          <w:lang w:val="en-GB"/>
        </w:rPr>
        <w:t xml:space="preserve">(hereinafter referred to as domestic violence) </w:t>
      </w:r>
      <w:r w:rsidRPr="003E3613">
        <w:rPr>
          <w:rFonts w:ascii="Book Antiqua" w:hAnsi="Book Antiqua"/>
          <w:sz w:val="23"/>
          <w:szCs w:val="23"/>
          <w:lang w:val="en-GB"/>
        </w:rPr>
        <w:t xml:space="preserve">in the Criminal Code covers a broader range of actions to be considered as abuse and punishes these actions more severely than before. The Hungarian National Assembly adopted a regulation in 2003 concerning ‘the creation of a national strategy to prevent and efficiently deal with issues of domestic violence’ and as a result the legal instrument governing restraining orders entered into force </w:t>
      </w:r>
      <w:r w:rsidR="004D16F6" w:rsidRPr="003E3613">
        <w:rPr>
          <w:rFonts w:ascii="Book Antiqua" w:hAnsi="Book Antiqua"/>
          <w:sz w:val="23"/>
          <w:szCs w:val="23"/>
          <w:lang w:val="en-GB"/>
        </w:rPr>
        <w:t>on</w:t>
      </w:r>
      <w:r w:rsidRPr="003E3613">
        <w:rPr>
          <w:rFonts w:ascii="Book Antiqua" w:hAnsi="Book Antiqua"/>
          <w:sz w:val="23"/>
          <w:szCs w:val="23"/>
          <w:lang w:val="en-GB"/>
        </w:rPr>
        <w:t xml:space="preserve"> 1 July 2006. In order to further strengthen this protection, as of 1 January 2008 harassment constitutes a criminal act. </w:t>
      </w:r>
      <w:r w:rsidR="00EA40C7" w:rsidRPr="003E3613">
        <w:rPr>
          <w:rFonts w:ascii="Book Antiqua" w:hAnsi="Book Antiqua"/>
          <w:sz w:val="23"/>
          <w:szCs w:val="23"/>
          <w:lang w:val="en-GB"/>
        </w:rPr>
        <w:t>Compared to 2010, the annual funding for the area was increased by more than five times, and the number of places was raised threefold. There are seven crisis management ambulances across the country to assist victims of related violence.</w:t>
      </w:r>
      <w:r w:rsidR="00EA40C7" w:rsidRPr="003E3613">
        <w:rPr>
          <w:rFonts w:ascii="Book Antiqua" w:hAnsi="Book Antiqua"/>
          <w:i/>
          <w:sz w:val="23"/>
          <w:szCs w:val="23"/>
          <w:lang w:val="en-GB"/>
        </w:rPr>
        <w:t xml:space="preserve"> </w:t>
      </w:r>
      <w:r w:rsidR="00113E49" w:rsidRPr="003E3613">
        <w:rPr>
          <w:rFonts w:ascii="Book Antiqua" w:hAnsi="Book Antiqua"/>
          <w:sz w:val="23"/>
          <w:szCs w:val="23"/>
          <w:lang w:val="en-GB"/>
        </w:rPr>
        <w:t>National Assembly Resolution 30/2015 on</w:t>
      </w:r>
      <w:r w:rsidR="00113E49" w:rsidRPr="003E3613" w:rsidDel="00113E49">
        <w:rPr>
          <w:rFonts w:ascii="Book Antiqua" w:hAnsi="Book Antiqua"/>
          <w:sz w:val="23"/>
          <w:szCs w:val="23"/>
          <w:lang w:val="en-GB"/>
        </w:rPr>
        <w:t xml:space="preserve"> </w:t>
      </w:r>
      <w:r w:rsidRPr="003E3613">
        <w:rPr>
          <w:rFonts w:ascii="Book Antiqua" w:hAnsi="Book Antiqua"/>
          <w:sz w:val="23"/>
          <w:szCs w:val="23"/>
          <w:lang w:val="en-GB"/>
        </w:rPr>
        <w:t xml:space="preserve">the national strategy for efficient counter-measures against </w:t>
      </w:r>
      <w:r w:rsidR="003F720E" w:rsidRPr="003E3613">
        <w:rPr>
          <w:rFonts w:ascii="Book Antiqua" w:hAnsi="Book Antiqua"/>
          <w:sz w:val="23"/>
          <w:szCs w:val="23"/>
          <w:lang w:val="en-GB"/>
        </w:rPr>
        <w:t>domestic violence</w:t>
      </w:r>
      <w:r w:rsidR="00F41CB6" w:rsidRPr="003E3613">
        <w:rPr>
          <w:rFonts w:ascii="Book Antiqua" w:hAnsi="Book Antiqua"/>
          <w:sz w:val="23"/>
          <w:szCs w:val="23"/>
          <w:lang w:val="en-GB"/>
        </w:rPr>
        <w:t xml:space="preserve"> </w:t>
      </w:r>
      <w:r w:rsidRPr="003E3613">
        <w:rPr>
          <w:rFonts w:ascii="Book Antiqua" w:hAnsi="Book Antiqua"/>
          <w:sz w:val="23"/>
          <w:szCs w:val="23"/>
          <w:lang w:val="en-GB"/>
        </w:rPr>
        <w:t xml:space="preserve">recognizes the importance of the protection of fundamental human rights and strictly condemns any shape or form of violence committed in a relationship and declares dedication to eliminate abuse. According to this resolution </w:t>
      </w:r>
      <w:r w:rsidR="00CC31AF" w:rsidRPr="003E3613">
        <w:rPr>
          <w:rFonts w:ascii="Book Antiqua" w:hAnsi="Book Antiqua"/>
          <w:sz w:val="23"/>
          <w:szCs w:val="23"/>
          <w:lang w:val="en-GB"/>
        </w:rPr>
        <w:t>domestic violence</w:t>
      </w:r>
      <w:r w:rsidR="00F41CB6" w:rsidRPr="003E3613">
        <w:rPr>
          <w:rFonts w:ascii="Book Antiqua" w:hAnsi="Book Antiqua"/>
          <w:sz w:val="23"/>
          <w:szCs w:val="23"/>
          <w:lang w:val="en-GB"/>
        </w:rPr>
        <w:t xml:space="preserve"> </w:t>
      </w:r>
      <w:r w:rsidRPr="003E3613">
        <w:rPr>
          <w:rFonts w:ascii="Book Antiqua" w:hAnsi="Book Antiqua"/>
          <w:sz w:val="23"/>
          <w:szCs w:val="23"/>
          <w:lang w:val="en-GB"/>
        </w:rPr>
        <w:t xml:space="preserve">does not qualify as a private affair and strengthens the stance that such an act of violence ‘is a crime which constitutes a serious threat to marriage, family and the well-being of children’. In this resolution the National Assembly asked the Government to take efficient steps against </w:t>
      </w:r>
      <w:r w:rsidR="00FE53C8" w:rsidRPr="003E3613">
        <w:rPr>
          <w:rFonts w:ascii="Book Antiqua" w:hAnsi="Book Antiqua"/>
          <w:sz w:val="23"/>
          <w:szCs w:val="23"/>
          <w:lang w:val="en-GB"/>
        </w:rPr>
        <w:t>domestic violence</w:t>
      </w:r>
      <w:r w:rsidR="00F41CB6" w:rsidRPr="003E3613">
        <w:rPr>
          <w:rFonts w:ascii="Book Antiqua" w:hAnsi="Book Antiqua"/>
          <w:sz w:val="23"/>
          <w:szCs w:val="23"/>
          <w:lang w:val="en-GB"/>
        </w:rPr>
        <w:t xml:space="preserve"> </w:t>
      </w:r>
      <w:r w:rsidRPr="003E3613">
        <w:rPr>
          <w:rFonts w:ascii="Book Antiqua" w:hAnsi="Book Antiqua"/>
          <w:sz w:val="23"/>
          <w:szCs w:val="23"/>
          <w:lang w:val="en-GB"/>
        </w:rPr>
        <w:t xml:space="preserve">in accordance with the </w:t>
      </w:r>
      <w:r w:rsidRPr="003E3613">
        <w:rPr>
          <w:rFonts w:ascii="Book Antiqua" w:hAnsi="Book Antiqua"/>
          <w:sz w:val="23"/>
          <w:szCs w:val="23"/>
          <w:lang w:val="en-GB"/>
        </w:rPr>
        <w:lastRenderedPageBreak/>
        <w:t>aforementioned national strategy, for example with the provision of the necessary financial and human resources within budgetary limits.</w:t>
      </w:r>
    </w:p>
    <w:p w14:paraId="10B30E32" w14:textId="77777777" w:rsidR="002F4FFE" w:rsidRPr="003E3613" w:rsidRDefault="002F4FFE" w:rsidP="00204696">
      <w:pPr>
        <w:spacing w:after="0"/>
        <w:jc w:val="both"/>
        <w:rPr>
          <w:rFonts w:ascii="Book Antiqua" w:hAnsi="Book Antiqua"/>
          <w:sz w:val="23"/>
          <w:szCs w:val="23"/>
          <w:lang w:val="en-GB"/>
        </w:rPr>
      </w:pPr>
    </w:p>
    <w:p w14:paraId="4034429F" w14:textId="77777777" w:rsidR="002F4FFE" w:rsidRPr="003E3613" w:rsidRDefault="002F4FFE"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Hungarian Government has run several campaigns, public programs and tenders to help women who have suffered abuse. The Government, utilizing a development fund of </w:t>
      </w:r>
      <w:r w:rsidR="00EA40C7" w:rsidRPr="003E3613">
        <w:rPr>
          <w:rFonts w:ascii="Book Antiqua" w:hAnsi="Book Antiqua"/>
          <w:sz w:val="23"/>
          <w:szCs w:val="23"/>
          <w:lang w:val="en-GB"/>
        </w:rPr>
        <w:t>9</w:t>
      </w:r>
      <w:r w:rsidR="00642E6A" w:rsidRPr="003E3613">
        <w:rPr>
          <w:rFonts w:ascii="Book Antiqua" w:hAnsi="Book Antiqua"/>
          <w:sz w:val="23"/>
          <w:szCs w:val="23"/>
          <w:lang w:val="en-GB"/>
        </w:rPr>
        <w:t>.</w:t>
      </w:r>
      <w:r w:rsidR="00EA40C7" w:rsidRPr="003E3613">
        <w:rPr>
          <w:rFonts w:ascii="Book Antiqua" w:hAnsi="Book Antiqua"/>
          <w:sz w:val="23"/>
          <w:szCs w:val="23"/>
          <w:lang w:val="en-GB"/>
        </w:rPr>
        <w:t>7 million EUR</w:t>
      </w:r>
      <w:r w:rsidRPr="003E3613">
        <w:rPr>
          <w:rFonts w:ascii="Book Antiqua" w:hAnsi="Book Antiqua"/>
          <w:sz w:val="23"/>
          <w:szCs w:val="23"/>
          <w:lang w:val="en-GB"/>
        </w:rPr>
        <w:t>, is continuously expanding the circle of services supporting victims and prevention programs targeting young audiences, as well as places emphasis on shaping the public opinion. The goal of the campaign titled ‘Let it catch your attention!’ is raising awareness and providing information for victims on where to turn to in need of help. The ‘</w:t>
      </w:r>
      <w:r w:rsidR="00522CE5" w:rsidRPr="003E3613">
        <w:rPr>
          <w:rFonts w:ascii="Book Antiqua" w:hAnsi="Book Antiqua"/>
          <w:sz w:val="23"/>
          <w:szCs w:val="23"/>
          <w:lang w:val="en-GB"/>
        </w:rPr>
        <w:t>Safe Shelter</w:t>
      </w:r>
      <w:r w:rsidRPr="003E3613">
        <w:rPr>
          <w:rFonts w:ascii="Book Antiqua" w:hAnsi="Book Antiqua"/>
          <w:sz w:val="23"/>
          <w:szCs w:val="23"/>
          <w:lang w:val="en-GB"/>
        </w:rPr>
        <w:t>’ program has created crisis-management clinics which add to the array of facilities providing help to the victims of violence committed in a relationship. One of the main activities of these clinics is to provide information as early as possible to the victims and potential victims about available aid measures and the rights of victims. Within the framework of the program called ‘Development of crisis management services’ the technical progress and advancement in human resources of the National Crisis Management and Information Line is being carried out, beside the academic and sensitivity training of the experts working in child-protect</w:t>
      </w:r>
      <w:r w:rsidR="00113E49" w:rsidRPr="003E3613">
        <w:rPr>
          <w:rFonts w:ascii="Book Antiqua" w:hAnsi="Book Antiqua"/>
          <w:sz w:val="23"/>
          <w:szCs w:val="23"/>
          <w:lang w:val="en-GB"/>
        </w:rPr>
        <w:t xml:space="preserve"> on warning</w:t>
      </w:r>
      <w:r w:rsidRPr="003E3613">
        <w:rPr>
          <w:rFonts w:ascii="Book Antiqua" w:hAnsi="Book Antiqua"/>
          <w:sz w:val="23"/>
          <w:szCs w:val="23"/>
          <w:lang w:val="en-GB"/>
        </w:rPr>
        <w:t xml:space="preserve"> systems. </w:t>
      </w:r>
      <w:r w:rsidR="002A734E" w:rsidRPr="003E3613">
        <w:rPr>
          <w:rFonts w:ascii="Book Antiqua" w:hAnsi="Book Antiqua"/>
          <w:sz w:val="23"/>
          <w:szCs w:val="23"/>
          <w:lang w:val="en-GB"/>
        </w:rPr>
        <w:t>It should be added, that Hungarian police officers have been involved in sensitizing trainings several times, financed from foundation resources, with the primary goal of changing the approach through a deeper understanding of the problem and the transfer of theoretical knowledge.</w:t>
      </w:r>
      <w:r w:rsidR="00F67DB9" w:rsidRPr="003E3613">
        <w:rPr>
          <w:rFonts w:ascii="Book Antiqua" w:hAnsi="Book Antiqua"/>
          <w:sz w:val="23"/>
          <w:szCs w:val="23"/>
          <w:lang w:val="en-GB"/>
        </w:rPr>
        <w:t xml:space="preserve"> </w:t>
      </w:r>
      <w:r w:rsidRPr="003E3613">
        <w:rPr>
          <w:rFonts w:ascii="Book Antiqua" w:hAnsi="Book Antiqua"/>
          <w:sz w:val="23"/>
          <w:szCs w:val="23"/>
          <w:lang w:val="en-GB"/>
        </w:rPr>
        <w:t>The ‘Safety net for families’ tender, administered by the Ministry of Human Capacities, provides the opportunity to carry out programs based on the methods developed in the pilot project targeting youngsters between the ages of 14 and 18 which has been running since 2012.</w:t>
      </w:r>
    </w:p>
    <w:p w14:paraId="2FEC98EB" w14:textId="77777777" w:rsidR="008F74C4" w:rsidRPr="003E3613" w:rsidRDefault="008F74C4" w:rsidP="00204696">
      <w:pPr>
        <w:spacing w:after="0"/>
        <w:jc w:val="both"/>
        <w:rPr>
          <w:rFonts w:ascii="Book Antiqua" w:hAnsi="Book Antiqua"/>
          <w:sz w:val="23"/>
          <w:szCs w:val="23"/>
          <w:lang w:val="en-GB"/>
        </w:rPr>
      </w:pPr>
    </w:p>
    <w:p w14:paraId="22B329F8" w14:textId="77777777" w:rsidR="00F80BB4" w:rsidRPr="003E3613" w:rsidRDefault="00C46340"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Recital </w:t>
      </w:r>
      <w:r w:rsidR="00C073B9" w:rsidRPr="003E3613">
        <w:rPr>
          <w:rFonts w:ascii="Book Antiqua" w:hAnsi="Book Antiqua" w:cs="Times New Roman"/>
          <w:sz w:val="23"/>
          <w:szCs w:val="23"/>
          <w:lang w:val="en-GB"/>
        </w:rPr>
        <w:t>(</w:t>
      </w:r>
      <w:r w:rsidR="008F74C4" w:rsidRPr="003E3613">
        <w:rPr>
          <w:rFonts w:ascii="Book Antiqua" w:hAnsi="Book Antiqua" w:cs="Times New Roman"/>
          <w:sz w:val="23"/>
          <w:szCs w:val="23"/>
          <w:lang w:val="en-GB"/>
        </w:rPr>
        <w:t>4</w:t>
      </w:r>
      <w:r w:rsidR="006A0406" w:rsidRPr="003E3613">
        <w:rPr>
          <w:rFonts w:ascii="Book Antiqua" w:hAnsi="Book Antiqua" w:cs="Times New Roman"/>
          <w:sz w:val="23"/>
          <w:szCs w:val="23"/>
          <w:lang w:val="en-GB"/>
        </w:rPr>
        <w:t>7</w:t>
      </w:r>
      <w:r w:rsidR="00C073B9" w:rsidRPr="003E3613">
        <w:rPr>
          <w:rFonts w:ascii="Book Antiqua" w:hAnsi="Book Antiqua" w:cs="Times New Roman"/>
          <w:sz w:val="23"/>
          <w:szCs w:val="23"/>
          <w:lang w:val="en-GB"/>
        </w:rPr>
        <w:t>)</w:t>
      </w:r>
      <w:r w:rsidR="008F74C4" w:rsidRPr="003E3613">
        <w:rPr>
          <w:rFonts w:ascii="Book Antiqua" w:hAnsi="Book Antiqua" w:cs="Times New Roman"/>
          <w:sz w:val="23"/>
          <w:szCs w:val="23"/>
          <w:lang w:val="en-GB"/>
        </w:rPr>
        <w:t xml:space="preserve"> lacks the necessary </w:t>
      </w:r>
      <w:r w:rsidR="00C817DD" w:rsidRPr="003E3613">
        <w:rPr>
          <w:rFonts w:ascii="Book Antiqua" w:hAnsi="Book Antiqua" w:cs="Times New Roman"/>
          <w:sz w:val="23"/>
          <w:szCs w:val="23"/>
          <w:lang w:val="en-GB"/>
        </w:rPr>
        <w:t xml:space="preserve">knowledge of </w:t>
      </w:r>
      <w:r w:rsidR="008F74C4" w:rsidRPr="003E3613">
        <w:rPr>
          <w:rFonts w:ascii="Book Antiqua" w:hAnsi="Book Antiqua" w:cs="Times New Roman"/>
          <w:sz w:val="23"/>
          <w:szCs w:val="23"/>
          <w:lang w:val="en-GB"/>
        </w:rPr>
        <w:t>Hungarian criminal law, since the Criminal Code has a comprehensive and complex protection for women from violence committed both within a relationship and outside thereof.</w:t>
      </w:r>
      <w:r w:rsidR="008C62D1" w:rsidRPr="003E3613">
        <w:rPr>
          <w:rFonts w:ascii="Book Antiqua" w:hAnsi="Book Antiqua" w:cs="Times New Roman"/>
          <w:sz w:val="23"/>
          <w:szCs w:val="23"/>
          <w:lang w:val="en-GB"/>
        </w:rPr>
        <w:t xml:space="preserve"> </w:t>
      </w:r>
      <w:r w:rsidR="008F74C4" w:rsidRPr="003E3613">
        <w:rPr>
          <w:rFonts w:ascii="Book Antiqua" w:hAnsi="Book Antiqua" w:cs="Times New Roman"/>
          <w:sz w:val="23"/>
          <w:szCs w:val="23"/>
          <w:lang w:val="en-GB"/>
        </w:rPr>
        <w:t>Removing all forms of cohabitation would eliminate an additional element of the offence which would justify the creation of a separate criminal offence, since the trust or, as the case may be, defencelessness resulting from cohabitation or previous cohabitation make</w:t>
      </w:r>
      <w:r w:rsidR="00F41CB6" w:rsidRPr="003E3613">
        <w:rPr>
          <w:rFonts w:ascii="Book Antiqua" w:hAnsi="Book Antiqua" w:cs="Times New Roman"/>
          <w:sz w:val="23"/>
          <w:szCs w:val="23"/>
          <w:lang w:val="en-GB"/>
        </w:rPr>
        <w:t>s</w:t>
      </w:r>
      <w:r w:rsidR="008F74C4" w:rsidRPr="003E3613">
        <w:rPr>
          <w:rFonts w:ascii="Book Antiqua" w:hAnsi="Book Antiqua" w:cs="Times New Roman"/>
          <w:sz w:val="23"/>
          <w:szCs w:val="23"/>
          <w:lang w:val="en-GB"/>
        </w:rPr>
        <w:t xml:space="preserve"> the victims more vulnerable to the offender’s abuse. Also, this element is even an inherent part of the English term of this phenomenon.</w:t>
      </w:r>
      <w:r w:rsidR="008C62D1" w:rsidRPr="003E3613">
        <w:rPr>
          <w:rFonts w:ascii="Book Antiqua" w:hAnsi="Book Antiqua" w:cs="Times New Roman"/>
          <w:sz w:val="23"/>
          <w:szCs w:val="23"/>
          <w:lang w:val="en-GB"/>
        </w:rPr>
        <w:t xml:space="preserve"> </w:t>
      </w:r>
      <w:r w:rsidR="008F74C4" w:rsidRPr="003E3613">
        <w:rPr>
          <w:rFonts w:ascii="Book Antiqua" w:hAnsi="Book Antiqua" w:cs="Times New Roman"/>
          <w:sz w:val="23"/>
          <w:szCs w:val="23"/>
          <w:lang w:val="en-GB"/>
        </w:rPr>
        <w:t>The criminal offence of domestic violence does not refer to sexual criminal offences, because they are already punishable more sever</w:t>
      </w:r>
      <w:r w:rsidR="00113E49" w:rsidRPr="003E3613">
        <w:rPr>
          <w:rFonts w:ascii="Book Antiqua" w:hAnsi="Book Antiqua" w:cs="Times New Roman"/>
          <w:sz w:val="23"/>
          <w:szCs w:val="23"/>
          <w:lang w:val="en-GB"/>
        </w:rPr>
        <w:t>e</w:t>
      </w:r>
      <w:r w:rsidR="008F74C4" w:rsidRPr="003E3613">
        <w:rPr>
          <w:rFonts w:ascii="Book Antiqua" w:hAnsi="Book Antiqua" w:cs="Times New Roman"/>
          <w:sz w:val="23"/>
          <w:szCs w:val="23"/>
          <w:lang w:val="en-GB"/>
        </w:rPr>
        <w:t>ly, and it even constitutes an aggravated case if they are committed against a relative, a person who is under the care, custody or supervision of or receives medical treatment from the perpetrator, or by abusing any other relationship of power of influence over the victim, or against a person under 12, 14, or 18 years of age, respectively.</w:t>
      </w:r>
    </w:p>
    <w:p w14:paraId="4E5DC438" w14:textId="77777777" w:rsidR="00326E03" w:rsidRPr="003E3613" w:rsidRDefault="00326E03" w:rsidP="00204696">
      <w:pPr>
        <w:spacing w:after="0"/>
        <w:jc w:val="both"/>
        <w:rPr>
          <w:rFonts w:ascii="Book Antiqua" w:hAnsi="Book Antiqua" w:cs="Times New Roman"/>
          <w:sz w:val="23"/>
          <w:szCs w:val="23"/>
          <w:lang w:val="en-GB"/>
        </w:rPr>
      </w:pPr>
    </w:p>
    <w:p w14:paraId="7E3D69DD" w14:textId="77777777" w:rsidR="00326E03" w:rsidRPr="003E3613" w:rsidRDefault="00326E03"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It also has to be mentioned that new Criminal Procedure Code </w:t>
      </w:r>
      <w:r w:rsidR="0029404A" w:rsidRPr="003E3613">
        <w:rPr>
          <w:rFonts w:ascii="Book Antiqua" w:hAnsi="Book Antiqua" w:cs="Times New Roman"/>
          <w:sz w:val="23"/>
          <w:szCs w:val="23"/>
          <w:lang w:val="en-GB"/>
        </w:rPr>
        <w:t xml:space="preserve">(CPC) </w:t>
      </w:r>
      <w:r w:rsidRPr="003E3613">
        <w:rPr>
          <w:rFonts w:ascii="Book Antiqua" w:hAnsi="Book Antiqua" w:cs="Times New Roman"/>
          <w:sz w:val="23"/>
          <w:szCs w:val="23"/>
          <w:lang w:val="en-GB"/>
        </w:rPr>
        <w:t>introduces stricter rules regarding the restraining order, since the duration of the order is raised significantly. If it is ordered before the indictment is filed, it can last up to 4 months, which can be reordered for another 4 months. If the restraining order is issued or upheld during the cou</w:t>
      </w:r>
      <w:r w:rsidR="0026290D" w:rsidRPr="003E3613">
        <w:rPr>
          <w:rFonts w:ascii="Book Antiqua" w:hAnsi="Book Antiqua" w:cs="Times New Roman"/>
          <w:sz w:val="23"/>
          <w:szCs w:val="23"/>
          <w:lang w:val="en-GB"/>
        </w:rPr>
        <w:t>rt proceedings, depending on</w:t>
      </w:r>
      <w:r w:rsidRPr="003E3613">
        <w:rPr>
          <w:rFonts w:ascii="Book Antiqua" w:hAnsi="Book Antiqua" w:cs="Times New Roman"/>
          <w:sz w:val="23"/>
          <w:szCs w:val="23"/>
          <w:lang w:val="en-GB"/>
        </w:rPr>
        <w:t xml:space="preserve"> the instance of the proceeding court ordering or upholding the retraining order, it can last until the final judgment is delivered or the procedure is concluded. </w:t>
      </w:r>
    </w:p>
    <w:p w14:paraId="1513351B" w14:textId="77777777" w:rsidR="0026290D" w:rsidRPr="003E3613" w:rsidRDefault="0026290D" w:rsidP="00204696">
      <w:pPr>
        <w:spacing w:after="0"/>
        <w:jc w:val="both"/>
        <w:rPr>
          <w:rFonts w:ascii="Book Antiqua" w:hAnsi="Book Antiqua" w:cs="Times New Roman"/>
          <w:sz w:val="23"/>
          <w:szCs w:val="23"/>
          <w:lang w:val="en-GB"/>
        </w:rPr>
      </w:pPr>
    </w:p>
    <w:p w14:paraId="1CE8FCFD" w14:textId="77777777" w:rsidR="00326E03" w:rsidRPr="003E3613" w:rsidRDefault="00326E03"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Also, in addition to the restraining order, the court can simultaneously order the criminal supervision of the defendant. The compliance with both the restraining order and the criminal supervision can be ensured by the electronic device monitoring t</w:t>
      </w:r>
      <w:r w:rsidR="0026290D" w:rsidRPr="003E3613">
        <w:rPr>
          <w:rFonts w:ascii="Book Antiqua" w:hAnsi="Book Antiqua" w:cs="Times New Roman"/>
          <w:sz w:val="23"/>
          <w:szCs w:val="23"/>
          <w:lang w:val="en-GB"/>
        </w:rPr>
        <w:t>he movement of the defendant (S</w:t>
      </w:r>
      <w:r w:rsidRPr="003E3613">
        <w:rPr>
          <w:rFonts w:ascii="Book Antiqua" w:hAnsi="Book Antiqua" w:cs="Times New Roman"/>
          <w:sz w:val="23"/>
          <w:szCs w:val="23"/>
          <w:lang w:val="en-GB"/>
        </w:rPr>
        <w:t>ections 276-295 of the new CPC)</w:t>
      </w:r>
      <w:r w:rsidR="0026290D" w:rsidRPr="003E3613">
        <w:rPr>
          <w:rFonts w:ascii="Book Antiqua" w:hAnsi="Book Antiqua" w:cs="Times New Roman"/>
          <w:sz w:val="23"/>
          <w:szCs w:val="23"/>
          <w:lang w:val="en-GB"/>
        </w:rPr>
        <w:t>.</w:t>
      </w:r>
    </w:p>
    <w:p w14:paraId="313E47E2" w14:textId="77777777" w:rsidR="0026290D" w:rsidRPr="003E3613" w:rsidRDefault="0026290D" w:rsidP="00204696">
      <w:pPr>
        <w:spacing w:after="0"/>
        <w:jc w:val="both"/>
        <w:rPr>
          <w:rFonts w:ascii="Book Antiqua" w:hAnsi="Book Antiqua" w:cs="Times New Roman"/>
          <w:sz w:val="23"/>
          <w:szCs w:val="23"/>
          <w:lang w:val="en-GB"/>
        </w:rPr>
      </w:pPr>
    </w:p>
    <w:p w14:paraId="3D587800" w14:textId="61382926" w:rsidR="00326E03" w:rsidRPr="003E3613" w:rsidRDefault="00326E03"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Furthermore, the rules on criminal procedure provide special provisions for the protection of victims since 1 November 2015, which include amongst others that</w:t>
      </w:r>
      <w:r w:rsidR="00F41CB6" w:rsidRPr="003E3613">
        <w:rPr>
          <w:rFonts w:ascii="Book Antiqua" w:hAnsi="Book Antiqua" w:cs="Times New Roman"/>
          <w:sz w:val="23"/>
          <w:szCs w:val="23"/>
          <w:lang w:val="en-GB"/>
        </w:rPr>
        <w:t>:</w:t>
      </w:r>
    </w:p>
    <w:p w14:paraId="06007C1C" w14:textId="77777777" w:rsidR="00326E03" w:rsidRPr="003E3613" w:rsidRDefault="00326E03" w:rsidP="00204696">
      <w:pPr>
        <w:spacing w:after="0"/>
        <w:jc w:val="both"/>
        <w:rPr>
          <w:rFonts w:ascii="Book Antiqua" w:hAnsi="Book Antiqua" w:cs="Times New Roman"/>
          <w:sz w:val="23"/>
          <w:szCs w:val="23"/>
          <w:lang w:val="en-GB"/>
        </w:rPr>
      </w:pPr>
    </w:p>
    <w:p w14:paraId="5BA5E50F" w14:textId="77777777" w:rsidR="0026290D" w:rsidRPr="003E3613" w:rsidRDefault="00326E03" w:rsidP="00204696">
      <w:pPr>
        <w:pStyle w:val="ListParagraph"/>
        <w:numPr>
          <w:ilvl w:val="0"/>
          <w:numId w:val="22"/>
        </w:num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the authorities shall endeavour to communicate both in </w:t>
      </w:r>
      <w:r w:rsidR="0026290D" w:rsidRPr="003E3613">
        <w:rPr>
          <w:rFonts w:ascii="Book Antiqua" w:hAnsi="Book Antiqua" w:cs="Times New Roman"/>
          <w:sz w:val="23"/>
          <w:szCs w:val="23"/>
          <w:lang w:val="en-GB"/>
        </w:rPr>
        <w:t>writing and orally with the par</w:t>
      </w:r>
      <w:r w:rsidRPr="003E3613">
        <w:rPr>
          <w:rFonts w:ascii="Book Antiqua" w:hAnsi="Book Antiqua" w:cs="Times New Roman"/>
          <w:sz w:val="23"/>
          <w:szCs w:val="23"/>
          <w:lang w:val="en-GB"/>
        </w:rPr>
        <w:t xml:space="preserve">ticipants in an easy to understand manner; </w:t>
      </w:r>
    </w:p>
    <w:p w14:paraId="065154B5" w14:textId="77777777" w:rsidR="0026290D" w:rsidRPr="003E3613" w:rsidRDefault="00326E03" w:rsidP="00204696">
      <w:pPr>
        <w:pStyle w:val="ListParagraph"/>
        <w:numPr>
          <w:ilvl w:val="0"/>
          <w:numId w:val="22"/>
        </w:num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upon request the victim shall be notified about the f</w:t>
      </w:r>
      <w:r w:rsidR="0026290D" w:rsidRPr="003E3613">
        <w:rPr>
          <w:rFonts w:ascii="Book Antiqua" w:hAnsi="Book Antiqua" w:cs="Times New Roman"/>
          <w:sz w:val="23"/>
          <w:szCs w:val="23"/>
          <w:lang w:val="en-GB"/>
        </w:rPr>
        <w:t>act that the perpetrator was re</w:t>
      </w:r>
      <w:r w:rsidRPr="003E3613">
        <w:rPr>
          <w:rFonts w:ascii="Book Antiqua" w:hAnsi="Book Antiqua" w:cs="Times New Roman"/>
          <w:sz w:val="23"/>
          <w:szCs w:val="23"/>
          <w:lang w:val="en-GB"/>
        </w:rPr>
        <w:t xml:space="preserve">leased or that he escaped; </w:t>
      </w:r>
    </w:p>
    <w:p w14:paraId="792B5893" w14:textId="77777777" w:rsidR="0026290D" w:rsidRPr="003E3613" w:rsidRDefault="00326E03" w:rsidP="00204696">
      <w:pPr>
        <w:pStyle w:val="ListParagraph"/>
        <w:numPr>
          <w:ilvl w:val="0"/>
          <w:numId w:val="22"/>
        </w:num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the victim is entitled to legal aid not only during the court procedure, but also during the investigation; </w:t>
      </w:r>
    </w:p>
    <w:p w14:paraId="0EF201C8" w14:textId="77777777" w:rsidR="0026290D" w:rsidRPr="003E3613" w:rsidRDefault="00326E03" w:rsidP="00204696">
      <w:pPr>
        <w:pStyle w:val="ListParagraph"/>
        <w:numPr>
          <w:ilvl w:val="0"/>
          <w:numId w:val="22"/>
        </w:num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the authorities shall endeavour to avoid the unnecessary encounters between the victim and the perpetrator during the procedure; </w:t>
      </w:r>
    </w:p>
    <w:p w14:paraId="753B0B3A" w14:textId="77777777" w:rsidR="0026290D" w:rsidRPr="003E3613" w:rsidRDefault="00326E03" w:rsidP="00204696">
      <w:pPr>
        <w:pStyle w:val="ListParagraph"/>
        <w:numPr>
          <w:ilvl w:val="0"/>
          <w:numId w:val="22"/>
        </w:num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the authorities are obliged to avoid repeating the procedural actions concerning the victim; </w:t>
      </w:r>
    </w:p>
    <w:p w14:paraId="752AAB66" w14:textId="77777777" w:rsidR="0026290D" w:rsidRPr="003E3613" w:rsidRDefault="00326E03" w:rsidP="00204696">
      <w:pPr>
        <w:pStyle w:val="ListParagraph"/>
        <w:numPr>
          <w:ilvl w:val="0"/>
          <w:numId w:val="22"/>
        </w:num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the new category of ‘victim requiring special treat</w:t>
      </w:r>
      <w:r w:rsidR="0026290D" w:rsidRPr="003E3613">
        <w:rPr>
          <w:rFonts w:ascii="Book Antiqua" w:hAnsi="Book Antiqua" w:cs="Times New Roman"/>
          <w:sz w:val="23"/>
          <w:szCs w:val="23"/>
          <w:lang w:val="en-GB"/>
        </w:rPr>
        <w:t>ment’ was introduced and the au</w:t>
      </w:r>
      <w:r w:rsidRPr="003E3613">
        <w:rPr>
          <w:rFonts w:ascii="Book Antiqua" w:hAnsi="Book Antiqua" w:cs="Times New Roman"/>
          <w:sz w:val="23"/>
          <w:szCs w:val="23"/>
          <w:lang w:val="en-GB"/>
        </w:rPr>
        <w:t xml:space="preserve">thorities shall examine in every case whether the conditions of qualifying the victim as a victim requiring special treatment are met (victims under the age of 18 always qualify as such); </w:t>
      </w:r>
    </w:p>
    <w:p w14:paraId="00FE67A9" w14:textId="77777777" w:rsidR="0026290D" w:rsidRPr="003E3613" w:rsidRDefault="00326E03" w:rsidP="00204696">
      <w:pPr>
        <w:pStyle w:val="ListParagraph"/>
        <w:numPr>
          <w:ilvl w:val="0"/>
          <w:numId w:val="22"/>
        </w:num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the authorities are required to pay special attention to and shall endeavour to take measures that causes less burden and distress to such victims; </w:t>
      </w:r>
    </w:p>
    <w:p w14:paraId="3ADB7EC2" w14:textId="77777777" w:rsidR="0026290D" w:rsidRPr="003E3613" w:rsidRDefault="00326E03" w:rsidP="00204696">
      <w:pPr>
        <w:pStyle w:val="ListParagraph"/>
        <w:numPr>
          <w:ilvl w:val="0"/>
          <w:numId w:val="22"/>
        </w:num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upon the request of the victim, </w:t>
      </w:r>
      <w:r w:rsidR="0026290D" w:rsidRPr="003E3613">
        <w:rPr>
          <w:rFonts w:ascii="Book Antiqua" w:hAnsi="Book Antiqua" w:cs="Times New Roman"/>
          <w:sz w:val="23"/>
          <w:szCs w:val="23"/>
          <w:lang w:val="en-GB"/>
        </w:rPr>
        <w:t>she/</w:t>
      </w:r>
      <w:r w:rsidRPr="003E3613">
        <w:rPr>
          <w:rFonts w:ascii="Book Antiqua" w:hAnsi="Book Antiqua" w:cs="Times New Roman"/>
          <w:sz w:val="23"/>
          <w:szCs w:val="23"/>
          <w:lang w:val="en-GB"/>
        </w:rPr>
        <w:t>he shall be questioned by a member of the same gender of the authority regarding certain crimes (e.</w:t>
      </w:r>
      <w:r w:rsidR="0026290D" w:rsidRPr="003E3613">
        <w:rPr>
          <w:rFonts w:ascii="Book Antiqua" w:hAnsi="Book Antiqua" w:cs="Times New Roman"/>
          <w:sz w:val="23"/>
          <w:szCs w:val="23"/>
          <w:lang w:val="en-GB"/>
        </w:rPr>
        <w:t>g. sexual crimes and crimes com</w:t>
      </w:r>
      <w:r w:rsidRPr="003E3613">
        <w:rPr>
          <w:rFonts w:ascii="Book Antiqua" w:hAnsi="Book Antiqua" w:cs="Times New Roman"/>
          <w:sz w:val="23"/>
          <w:szCs w:val="23"/>
          <w:lang w:val="en-GB"/>
        </w:rPr>
        <w:t xml:space="preserve">mitted against relatives); </w:t>
      </w:r>
    </w:p>
    <w:p w14:paraId="119AB372" w14:textId="77777777" w:rsidR="0026290D" w:rsidRPr="003E3613" w:rsidRDefault="00326E03" w:rsidP="00204696">
      <w:pPr>
        <w:pStyle w:val="ListParagraph"/>
        <w:numPr>
          <w:ilvl w:val="0"/>
          <w:numId w:val="22"/>
        </w:num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witnesses under the age of fourteen must be video-recorded in every case; </w:t>
      </w:r>
    </w:p>
    <w:p w14:paraId="76E2C89E" w14:textId="77777777" w:rsidR="0026290D" w:rsidRPr="003E3613" w:rsidRDefault="00326E03" w:rsidP="00204696">
      <w:pPr>
        <w:pStyle w:val="ListParagraph"/>
        <w:numPr>
          <w:ilvl w:val="0"/>
          <w:numId w:val="22"/>
        </w:num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at procedural actions, a person of full age designated by the victim can also be present in order to give emotional (or even linguistic) support; </w:t>
      </w:r>
    </w:p>
    <w:p w14:paraId="75375C0B" w14:textId="77777777" w:rsidR="0026290D" w:rsidRPr="003E3613" w:rsidRDefault="00326E03" w:rsidP="00204696">
      <w:pPr>
        <w:pStyle w:val="ListParagraph"/>
        <w:numPr>
          <w:ilvl w:val="0"/>
          <w:numId w:val="22"/>
        </w:num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closed hearing can be ordered for the protection of a victim requiring special treatment; </w:t>
      </w:r>
      <w:r w:rsidR="00F41CB6" w:rsidRPr="003E3613">
        <w:rPr>
          <w:rFonts w:ascii="Book Antiqua" w:hAnsi="Book Antiqua" w:cs="Times New Roman"/>
          <w:sz w:val="23"/>
          <w:szCs w:val="23"/>
          <w:lang w:val="en-GB"/>
        </w:rPr>
        <w:t>and</w:t>
      </w:r>
    </w:p>
    <w:p w14:paraId="67D2FB91" w14:textId="3966D705" w:rsidR="00660031" w:rsidRDefault="00326E03" w:rsidP="00204696">
      <w:pPr>
        <w:pStyle w:val="ListParagraph"/>
        <w:numPr>
          <w:ilvl w:val="0"/>
          <w:numId w:val="22"/>
        </w:num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such victim can also be heard via live link; </w:t>
      </w:r>
    </w:p>
    <w:p w14:paraId="3953B076" w14:textId="77777777" w:rsidR="00660031" w:rsidRDefault="00660031">
      <w:pPr>
        <w:rPr>
          <w:rFonts w:ascii="Book Antiqua" w:eastAsiaTheme="minorHAnsi" w:hAnsi="Book Antiqua" w:cs="Times New Roman"/>
          <w:sz w:val="23"/>
          <w:szCs w:val="23"/>
          <w:lang w:val="en-GB" w:eastAsia="en-US"/>
        </w:rPr>
      </w:pPr>
      <w:r>
        <w:rPr>
          <w:rFonts w:ascii="Book Antiqua" w:hAnsi="Book Antiqua" w:cs="Times New Roman"/>
          <w:sz w:val="23"/>
          <w:szCs w:val="23"/>
          <w:lang w:val="en-GB"/>
        </w:rPr>
        <w:br w:type="page"/>
      </w:r>
    </w:p>
    <w:p w14:paraId="2409E755" w14:textId="77777777" w:rsidR="00326E03" w:rsidRPr="003E3613" w:rsidRDefault="00326E03" w:rsidP="00204696">
      <w:pPr>
        <w:pStyle w:val="ListParagraph"/>
        <w:numPr>
          <w:ilvl w:val="0"/>
          <w:numId w:val="22"/>
        </w:num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lastRenderedPageBreak/>
        <w:t>it became possibil</w:t>
      </w:r>
      <w:r w:rsidR="00F41CB6" w:rsidRPr="003E3613">
        <w:rPr>
          <w:rFonts w:ascii="Book Antiqua" w:hAnsi="Book Antiqua" w:cs="Times New Roman"/>
          <w:sz w:val="23"/>
          <w:szCs w:val="23"/>
          <w:lang w:val="en-GB"/>
        </w:rPr>
        <w:t xml:space="preserve">e </w:t>
      </w:r>
      <w:r w:rsidRPr="003E3613">
        <w:rPr>
          <w:rFonts w:ascii="Book Antiqua" w:hAnsi="Book Antiqua" w:cs="Times New Roman"/>
          <w:sz w:val="23"/>
          <w:szCs w:val="23"/>
          <w:lang w:val="en-GB"/>
        </w:rPr>
        <w:t xml:space="preserve">to forward the denunciation of the victim, if Hungary does not have jurisdiction to proceed. </w:t>
      </w:r>
    </w:p>
    <w:p w14:paraId="2AFC72CF" w14:textId="77777777" w:rsidR="00326E03" w:rsidRPr="003E3613" w:rsidRDefault="00326E03" w:rsidP="00204696">
      <w:pPr>
        <w:spacing w:after="0"/>
        <w:jc w:val="both"/>
        <w:rPr>
          <w:rFonts w:ascii="Book Antiqua" w:hAnsi="Book Antiqua" w:cs="Times New Roman"/>
          <w:sz w:val="23"/>
          <w:szCs w:val="23"/>
          <w:lang w:val="en-GB"/>
        </w:rPr>
      </w:pPr>
    </w:p>
    <w:p w14:paraId="31CD3B41" w14:textId="77777777" w:rsidR="00326E03" w:rsidRPr="003E3613" w:rsidRDefault="00326E03"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Also, the rules of witness protection serve as a protection of the life, physical integrity and personal freedom of the witness (and his relatives) and as a guarantee that the witness meets his obligation to give testimony which needs to be given without any intimidation. There are four types of witness protection measures available: confidential treatment of the personal data of the witness; classifying the witness as specially protected witness; personal protection and Protection Program.</w:t>
      </w:r>
    </w:p>
    <w:p w14:paraId="2966EE1A" w14:textId="77777777" w:rsidR="00326E03" w:rsidRPr="003E3613" w:rsidRDefault="00326E03" w:rsidP="00204696">
      <w:pPr>
        <w:spacing w:after="0"/>
        <w:jc w:val="both"/>
        <w:rPr>
          <w:rFonts w:ascii="Book Antiqua" w:hAnsi="Book Antiqua" w:cs="Times New Roman"/>
          <w:sz w:val="23"/>
          <w:szCs w:val="23"/>
          <w:lang w:val="en-GB"/>
        </w:rPr>
      </w:pPr>
    </w:p>
    <w:p w14:paraId="6CC92BD7" w14:textId="77777777" w:rsidR="00326E03" w:rsidRPr="003E3613" w:rsidRDefault="00326E03"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The new CPC provides a separate chapter to rules regarding ‘</w:t>
      </w:r>
      <w:r w:rsidR="003176CA" w:rsidRPr="003E3613">
        <w:rPr>
          <w:rFonts w:ascii="Book Antiqua" w:hAnsi="Book Antiqua" w:cs="Times New Roman"/>
          <w:sz w:val="23"/>
          <w:szCs w:val="23"/>
          <w:lang w:val="en-GB"/>
        </w:rPr>
        <w:t>persons requiring special treat</w:t>
      </w:r>
      <w:r w:rsidRPr="003E3613">
        <w:rPr>
          <w:rFonts w:ascii="Book Antiqua" w:hAnsi="Book Antiqua" w:cs="Times New Roman"/>
          <w:sz w:val="23"/>
          <w:szCs w:val="23"/>
          <w:lang w:val="en-GB"/>
        </w:rPr>
        <w:t xml:space="preserve">ment’ (Chapter XIV), thus not only victims but witnesses can also be classified </w:t>
      </w:r>
      <w:r w:rsidR="00F41CB6" w:rsidRPr="003E3613">
        <w:rPr>
          <w:rFonts w:ascii="Book Antiqua" w:hAnsi="Book Antiqua" w:cs="Times New Roman"/>
          <w:sz w:val="23"/>
          <w:szCs w:val="23"/>
          <w:lang w:val="en-GB"/>
        </w:rPr>
        <w:t xml:space="preserve">as </w:t>
      </w:r>
      <w:r w:rsidRPr="003E3613">
        <w:rPr>
          <w:rFonts w:ascii="Book Antiqua" w:hAnsi="Book Antiqua" w:cs="Times New Roman"/>
          <w:sz w:val="23"/>
          <w:szCs w:val="23"/>
          <w:lang w:val="en-GB"/>
        </w:rPr>
        <w:t>such persons. The main circumstances a person can be classified as a person requiring special treatment is based on:</w:t>
      </w:r>
    </w:p>
    <w:p w14:paraId="7CA3D37C" w14:textId="77777777" w:rsidR="00326E03" w:rsidRPr="003E3613" w:rsidRDefault="00326E03" w:rsidP="00204696">
      <w:pPr>
        <w:spacing w:after="0"/>
        <w:ind w:firstLine="708"/>
        <w:jc w:val="both"/>
        <w:rPr>
          <w:rFonts w:ascii="Book Antiqua" w:hAnsi="Book Antiqua" w:cs="Times New Roman"/>
          <w:sz w:val="23"/>
          <w:szCs w:val="23"/>
          <w:lang w:val="en-GB"/>
        </w:rPr>
      </w:pPr>
      <w:r w:rsidRPr="003E3613">
        <w:rPr>
          <w:rFonts w:ascii="Book Antiqua" w:hAnsi="Book Antiqua" w:cs="Times New Roman"/>
          <w:sz w:val="23"/>
          <w:szCs w:val="23"/>
          <w:lang w:val="en-GB"/>
        </w:rPr>
        <w:t>- age,</w:t>
      </w:r>
    </w:p>
    <w:p w14:paraId="33F529F8" w14:textId="77777777" w:rsidR="00326E03" w:rsidRPr="003E3613" w:rsidRDefault="00326E03" w:rsidP="00204696">
      <w:pPr>
        <w:spacing w:after="0"/>
        <w:ind w:firstLine="708"/>
        <w:jc w:val="both"/>
        <w:rPr>
          <w:rFonts w:ascii="Book Antiqua" w:hAnsi="Book Antiqua" w:cs="Times New Roman"/>
          <w:sz w:val="23"/>
          <w:szCs w:val="23"/>
          <w:lang w:val="en-GB"/>
        </w:rPr>
      </w:pPr>
      <w:r w:rsidRPr="003E3613">
        <w:rPr>
          <w:rFonts w:ascii="Book Antiqua" w:hAnsi="Book Antiqua" w:cs="Times New Roman"/>
          <w:sz w:val="23"/>
          <w:szCs w:val="23"/>
          <w:lang w:val="en-GB"/>
        </w:rPr>
        <w:t>- mental, physical and health condition,</w:t>
      </w:r>
    </w:p>
    <w:p w14:paraId="5F57D48D" w14:textId="77777777" w:rsidR="00326E03" w:rsidRPr="003E3613" w:rsidRDefault="00326E03" w:rsidP="00204696">
      <w:pPr>
        <w:spacing w:after="0"/>
        <w:ind w:left="708"/>
        <w:jc w:val="both"/>
        <w:rPr>
          <w:rFonts w:ascii="Book Antiqua" w:hAnsi="Book Antiqua" w:cs="Times New Roman"/>
          <w:sz w:val="23"/>
          <w:szCs w:val="23"/>
          <w:lang w:val="en-GB"/>
        </w:rPr>
      </w:pPr>
      <w:r w:rsidRPr="003E3613">
        <w:rPr>
          <w:rFonts w:ascii="Book Antiqua" w:hAnsi="Book Antiqua" w:cs="Times New Roman"/>
          <w:sz w:val="23"/>
          <w:szCs w:val="23"/>
          <w:lang w:val="en-GB"/>
        </w:rPr>
        <w:t>- the grossly violent nature of the act subject to the criminal proceedings,</w:t>
      </w:r>
    </w:p>
    <w:p w14:paraId="47820DAC" w14:textId="77777777" w:rsidR="00326E03" w:rsidRPr="003E3613" w:rsidRDefault="00326E03" w:rsidP="00204696">
      <w:pPr>
        <w:spacing w:after="0"/>
        <w:ind w:left="708"/>
        <w:jc w:val="both"/>
        <w:rPr>
          <w:rFonts w:ascii="Book Antiqua" w:hAnsi="Book Antiqua" w:cs="Times New Roman"/>
          <w:sz w:val="23"/>
          <w:szCs w:val="23"/>
          <w:lang w:val="en-GB"/>
        </w:rPr>
      </w:pPr>
      <w:r w:rsidRPr="003E3613">
        <w:rPr>
          <w:rFonts w:ascii="Book Antiqua" w:hAnsi="Book Antiqua" w:cs="Times New Roman"/>
          <w:sz w:val="23"/>
          <w:szCs w:val="23"/>
          <w:lang w:val="en-GB"/>
        </w:rPr>
        <w:t>- relationship of the concerned person to other participants of the criminal proceedings.</w:t>
      </w:r>
    </w:p>
    <w:p w14:paraId="63536144" w14:textId="77777777" w:rsidR="00326E03" w:rsidRPr="003E3613" w:rsidRDefault="00326E03" w:rsidP="00204696">
      <w:pPr>
        <w:spacing w:after="0"/>
        <w:jc w:val="both"/>
        <w:rPr>
          <w:rFonts w:ascii="Book Antiqua" w:hAnsi="Book Antiqua" w:cs="Times New Roman"/>
          <w:sz w:val="23"/>
          <w:szCs w:val="23"/>
          <w:lang w:val="en-GB"/>
        </w:rPr>
      </w:pPr>
    </w:p>
    <w:p w14:paraId="10C7491E" w14:textId="77777777" w:rsidR="00326E03" w:rsidRPr="003E3613" w:rsidRDefault="00326E03"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Besides the existing measures to be taken for the protectio</w:t>
      </w:r>
      <w:r w:rsidR="003176CA" w:rsidRPr="003E3613">
        <w:rPr>
          <w:rFonts w:ascii="Book Antiqua" w:hAnsi="Book Antiqua" w:cs="Times New Roman"/>
          <w:sz w:val="23"/>
          <w:szCs w:val="23"/>
          <w:lang w:val="en-GB"/>
        </w:rPr>
        <w:t>n of witnesses, the new CPC pro</w:t>
      </w:r>
      <w:r w:rsidRPr="003E3613">
        <w:rPr>
          <w:rFonts w:ascii="Book Antiqua" w:hAnsi="Book Antiqua" w:cs="Times New Roman"/>
          <w:sz w:val="23"/>
          <w:szCs w:val="23"/>
          <w:lang w:val="en-GB"/>
        </w:rPr>
        <w:t>vides additional tools, such as: the confrontation of a witness requiring special treatment can be omitted</w:t>
      </w:r>
      <w:r w:rsidR="00F41CB6" w:rsidRPr="003E3613">
        <w:rPr>
          <w:rFonts w:ascii="Book Antiqua" w:hAnsi="Book Antiqua" w:cs="Times New Roman"/>
          <w:sz w:val="23"/>
          <w:szCs w:val="23"/>
          <w:lang w:val="en-GB"/>
        </w:rPr>
        <w:t>;</w:t>
      </w:r>
      <w:r w:rsidRPr="003E3613">
        <w:rPr>
          <w:rFonts w:ascii="Book Antiqua" w:hAnsi="Book Antiqua" w:cs="Times New Roman"/>
          <w:sz w:val="23"/>
          <w:szCs w:val="23"/>
          <w:lang w:val="en-GB"/>
        </w:rPr>
        <w:t xml:space="preserve"> the presence of the defendant or his defence counsel can be restricted at procedural actions</w:t>
      </w:r>
      <w:r w:rsidR="00F41CB6" w:rsidRPr="003E3613">
        <w:rPr>
          <w:rFonts w:ascii="Book Antiqua" w:hAnsi="Book Antiqua" w:cs="Times New Roman"/>
          <w:sz w:val="23"/>
          <w:szCs w:val="23"/>
          <w:lang w:val="en-GB"/>
        </w:rPr>
        <w:t>;</w:t>
      </w:r>
      <w:r w:rsidRPr="003E3613">
        <w:rPr>
          <w:rFonts w:ascii="Book Antiqua" w:hAnsi="Book Antiqua" w:cs="Times New Roman"/>
          <w:sz w:val="23"/>
          <w:szCs w:val="23"/>
          <w:lang w:val="en-GB"/>
        </w:rPr>
        <w:t xml:space="preserve"> when using a telecommunication device the distortion of the image can be ordered etc.</w:t>
      </w:r>
    </w:p>
    <w:p w14:paraId="484CCE74" w14:textId="77777777" w:rsidR="00CE7DB3" w:rsidRPr="003E3613" w:rsidRDefault="00CE7DB3" w:rsidP="00204696">
      <w:pPr>
        <w:spacing w:after="0"/>
        <w:jc w:val="both"/>
        <w:rPr>
          <w:rFonts w:ascii="Book Antiqua" w:hAnsi="Book Antiqua" w:cs="Times New Roman"/>
          <w:sz w:val="23"/>
          <w:szCs w:val="23"/>
          <w:lang w:val="en-GB"/>
        </w:rPr>
      </w:pPr>
    </w:p>
    <w:p w14:paraId="459907B7" w14:textId="77777777" w:rsidR="00CC567C" w:rsidRPr="003E3613" w:rsidRDefault="004102CA" w:rsidP="00204696">
      <w:pPr>
        <w:pStyle w:val="Heading2"/>
        <w:keepNext w:val="0"/>
        <w:keepLines w:val="0"/>
        <w:spacing w:before="0"/>
        <w:rPr>
          <w:rFonts w:ascii="Book Antiqua" w:hAnsi="Book Antiqua"/>
          <w:color w:val="auto"/>
          <w:sz w:val="23"/>
          <w:szCs w:val="23"/>
          <w:lang w:val="en-GB"/>
        </w:rPr>
      </w:pPr>
      <w:bookmarkStart w:id="53" w:name="_Toc19120811"/>
      <w:r w:rsidRPr="003E3613">
        <w:rPr>
          <w:rFonts w:ascii="Book Antiqua" w:hAnsi="Book Antiqua"/>
          <w:color w:val="auto"/>
          <w:sz w:val="23"/>
          <w:szCs w:val="23"/>
          <w:lang w:val="en-GB"/>
        </w:rPr>
        <w:t>Working conditions for pregnant or breastfeeding workers</w:t>
      </w:r>
      <w:bookmarkEnd w:id="53"/>
    </w:p>
    <w:p w14:paraId="1AC9CD93" w14:textId="77777777" w:rsidR="00CC567C" w:rsidRPr="003E3613" w:rsidRDefault="00CC567C" w:rsidP="00204696">
      <w:pPr>
        <w:spacing w:after="0"/>
        <w:jc w:val="both"/>
        <w:rPr>
          <w:rFonts w:ascii="Book Antiqua" w:hAnsi="Book Antiqua"/>
          <w:i/>
          <w:sz w:val="23"/>
          <w:szCs w:val="23"/>
          <w:lang w:val="en-GB"/>
        </w:rPr>
      </w:pPr>
    </w:p>
    <w:p w14:paraId="4AE04EED"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52045A" w:rsidRPr="003E3613">
        <w:rPr>
          <w:rFonts w:ascii="Book Antiqua" w:hAnsi="Book Antiqua"/>
          <w:i/>
          <w:sz w:val="23"/>
          <w:szCs w:val="23"/>
          <w:lang w:val="en-GB"/>
        </w:rPr>
        <w:t>4</w:t>
      </w:r>
      <w:r w:rsidR="001C35A1" w:rsidRPr="003E3613">
        <w:rPr>
          <w:rFonts w:ascii="Book Antiqua" w:hAnsi="Book Antiqua"/>
          <w:i/>
          <w:sz w:val="23"/>
          <w:szCs w:val="23"/>
          <w:lang w:val="en-GB"/>
        </w:rPr>
        <w:t>8</w:t>
      </w:r>
      <w:r w:rsidRPr="003E3613">
        <w:rPr>
          <w:rFonts w:ascii="Book Antiqua" w:hAnsi="Book Antiqua"/>
          <w:i/>
          <w:sz w:val="23"/>
          <w:szCs w:val="23"/>
          <w:lang w:val="en-GB"/>
        </w:rPr>
        <w:t xml:space="preserve">) </w:t>
      </w:r>
      <w:r w:rsidR="0052045A" w:rsidRPr="003E3613">
        <w:rPr>
          <w:rFonts w:ascii="Book Antiqua" w:hAnsi="Book Antiqua"/>
          <w:i/>
          <w:sz w:val="23"/>
          <w:szCs w:val="23"/>
          <w:lang w:val="en-GB"/>
        </w:rPr>
        <w:t xml:space="preserve">The Fundamental Law of Hungary sets forth mandatory provisions for the protection of parents’ workplaces and for upholding the principle of equal treatment; consequently, there are special labour law rules for women and for mothers and fathers raising children. </w:t>
      </w:r>
      <w:r w:rsidRPr="003E3613">
        <w:rPr>
          <w:rFonts w:ascii="Book Antiqua" w:hAnsi="Book Antiqua"/>
          <w:i/>
          <w:sz w:val="23"/>
          <w:szCs w:val="23"/>
          <w:lang w:val="en-GB"/>
        </w:rPr>
        <w:t>On 27 April 2017, the Commission issued a reasoned opinion calling on Hungary to correctly implement Directive 2006/54/EC of the Europea</w:t>
      </w:r>
      <w:r w:rsidR="00F223BC" w:rsidRPr="003E3613">
        <w:rPr>
          <w:rFonts w:ascii="Book Antiqua" w:hAnsi="Book Antiqua"/>
          <w:i/>
          <w:sz w:val="23"/>
          <w:szCs w:val="23"/>
          <w:lang w:val="en-GB"/>
        </w:rPr>
        <w:t>n Parliament and of the Council</w:t>
      </w:r>
      <w:r w:rsidRPr="003E3613">
        <w:rPr>
          <w:rFonts w:ascii="Book Antiqua" w:hAnsi="Book Antiqua"/>
          <w:i/>
          <w:sz w:val="23"/>
          <w:szCs w:val="23"/>
          <w:lang w:val="en-GB"/>
        </w:rPr>
        <w:t>, given that Hungarian law provides an exception to the prohibition of discrimination on the grounds of sex that is much broader than the exception provided by that Directive. On the same date, the Commission issued a reasoned opinion to Hungary for non-compliance with Dir</w:t>
      </w:r>
      <w:r w:rsidR="00096091" w:rsidRPr="003E3613">
        <w:rPr>
          <w:rFonts w:ascii="Book Antiqua" w:hAnsi="Book Antiqua"/>
          <w:i/>
          <w:sz w:val="23"/>
          <w:szCs w:val="23"/>
          <w:lang w:val="en-GB"/>
        </w:rPr>
        <w:t>ective 92/85/EEC of the Council</w:t>
      </w:r>
      <w:r w:rsidRPr="003E3613">
        <w:rPr>
          <w:rFonts w:ascii="Book Antiqua" w:hAnsi="Book Antiqua"/>
          <w:i/>
          <w:sz w:val="23"/>
          <w:szCs w:val="23"/>
          <w:lang w:val="en-GB"/>
        </w:rPr>
        <w:t xml:space="preserve"> that stated that employers have a duty to adapt working conditions for pregnant or breastfeeding workers to avoid a risk to their health or safety.</w:t>
      </w:r>
      <w:r w:rsidR="0052045A" w:rsidRPr="003E3613">
        <w:rPr>
          <w:rFonts w:ascii="Book Antiqua" w:hAnsi="Book Antiqua"/>
          <w:i/>
          <w:sz w:val="23"/>
          <w:szCs w:val="23"/>
          <w:lang w:val="en-GB"/>
        </w:rPr>
        <w:t xml:space="preserve"> The Hungarian Government has committed itself to amend the necessary provisions of Act CXXV of 2003 on Equal Treatment and the Promotion of Equal Opportunities, as well as Act I of 2012 on the Labour Code. Consequently, on 7 June 2018 the case was closed.</w:t>
      </w:r>
    </w:p>
    <w:p w14:paraId="1A40C1BA" w14:textId="77777777" w:rsidR="000D303E" w:rsidRPr="003E3613" w:rsidRDefault="000D303E" w:rsidP="00204696">
      <w:pPr>
        <w:spacing w:after="0"/>
        <w:jc w:val="both"/>
        <w:rPr>
          <w:rFonts w:ascii="Book Antiqua" w:hAnsi="Book Antiqua"/>
          <w:i/>
          <w:sz w:val="23"/>
          <w:szCs w:val="23"/>
          <w:lang w:val="en-GB"/>
        </w:rPr>
      </w:pPr>
    </w:p>
    <w:p w14:paraId="4154B810" w14:textId="77777777" w:rsidR="00096091" w:rsidRPr="003E3613" w:rsidRDefault="000D303E"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The safety of pregnant and nursing workers, also the equal treatment in the world of work is on</w:t>
      </w:r>
      <w:r w:rsidR="00096091" w:rsidRPr="003E3613">
        <w:rPr>
          <w:rFonts w:ascii="Book Antiqua" w:hAnsi="Book Antiqua" w:cs="Times New Roman"/>
          <w:sz w:val="23"/>
          <w:szCs w:val="23"/>
          <w:lang w:val="en-GB"/>
        </w:rPr>
        <w:t>e of the top priorities of the Hungarian G</w:t>
      </w:r>
      <w:r w:rsidRPr="003E3613">
        <w:rPr>
          <w:rFonts w:ascii="Book Antiqua" w:hAnsi="Book Antiqua" w:cs="Times New Roman"/>
          <w:sz w:val="23"/>
          <w:szCs w:val="23"/>
          <w:lang w:val="en-GB"/>
        </w:rPr>
        <w:t xml:space="preserve">overnment’s employment policies. </w:t>
      </w:r>
    </w:p>
    <w:p w14:paraId="6A262031" w14:textId="77777777" w:rsidR="000D303E" w:rsidRPr="003E3613" w:rsidRDefault="000D303E"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lastRenderedPageBreak/>
        <w:t>Since 2010 one of the objectives of the Hungarian Government is to facilitate the creation of a family and work based society. This has been manifest</w:t>
      </w:r>
      <w:r w:rsidR="0028320F" w:rsidRPr="003E3613">
        <w:rPr>
          <w:rFonts w:ascii="Book Antiqua" w:hAnsi="Book Antiqua" w:cs="Times New Roman"/>
          <w:sz w:val="23"/>
          <w:szCs w:val="23"/>
          <w:lang w:val="en-GB"/>
        </w:rPr>
        <w:t>ed</w:t>
      </w:r>
      <w:r w:rsidRPr="003E3613">
        <w:rPr>
          <w:rFonts w:ascii="Book Antiqua" w:hAnsi="Book Antiqua" w:cs="Times New Roman"/>
          <w:sz w:val="23"/>
          <w:szCs w:val="23"/>
          <w:lang w:val="en-GB"/>
        </w:rPr>
        <w:t xml:space="preserve"> in measures that help consolidating work and family life. There is special emphasis on flexible and atypical work in the Labour Code; this facilitates the employment of women. One example is that a parent may request her or his part-time employment until age three of their only child or until the age five of their children. By law, the employer has to co</w:t>
      </w:r>
      <w:r w:rsidR="00096091" w:rsidRPr="003E3613">
        <w:rPr>
          <w:rFonts w:ascii="Book Antiqua" w:hAnsi="Book Antiqua" w:cs="Times New Roman"/>
          <w:sz w:val="23"/>
          <w:szCs w:val="23"/>
          <w:lang w:val="en-GB"/>
        </w:rPr>
        <w:t xml:space="preserve">mply with the parent’s request. </w:t>
      </w:r>
      <w:r w:rsidRPr="003E3613">
        <w:rPr>
          <w:rFonts w:ascii="Book Antiqua" w:hAnsi="Book Antiqua" w:cs="Times New Roman"/>
          <w:sz w:val="23"/>
          <w:szCs w:val="23"/>
          <w:lang w:val="en-GB"/>
        </w:rPr>
        <w:t xml:space="preserve">Pregnant women or women giving birth are entitled to </w:t>
      </w:r>
      <w:r w:rsidR="005469F8" w:rsidRPr="003E3613">
        <w:rPr>
          <w:rFonts w:ascii="Book Antiqua" w:hAnsi="Book Antiqua" w:cs="Times New Roman"/>
          <w:sz w:val="23"/>
          <w:szCs w:val="23"/>
          <w:lang w:val="en-GB"/>
        </w:rPr>
        <w:t xml:space="preserve">36 </w:t>
      </w:r>
      <w:r w:rsidRPr="003E3613">
        <w:rPr>
          <w:rFonts w:ascii="Book Antiqua" w:hAnsi="Book Antiqua" w:cs="Times New Roman"/>
          <w:sz w:val="23"/>
          <w:szCs w:val="23"/>
          <w:lang w:val="en-GB"/>
        </w:rPr>
        <w:t xml:space="preserve">months of maternity leave, which is a long period compared to other Member States. For the protection of working women, the Labour Code has special rules prohibiting the termination of mothers’ employment by the employer: the entire period of human reproduction procedure related medical treatments, pregnancy and the maternity leave </w:t>
      </w:r>
      <w:r w:rsidR="00096091" w:rsidRPr="003E3613">
        <w:rPr>
          <w:rFonts w:ascii="Book Antiqua" w:hAnsi="Book Antiqua" w:cs="Times New Roman"/>
          <w:sz w:val="23"/>
          <w:szCs w:val="23"/>
          <w:lang w:val="en-GB"/>
        </w:rPr>
        <w:t xml:space="preserve">are covered by this exception. </w:t>
      </w:r>
      <w:r w:rsidRPr="003E3613">
        <w:rPr>
          <w:rFonts w:ascii="Book Antiqua" w:hAnsi="Book Antiqua" w:cs="Times New Roman"/>
          <w:sz w:val="23"/>
          <w:szCs w:val="23"/>
          <w:lang w:val="en-GB"/>
        </w:rPr>
        <w:t>Breastfeeding women are entitled to working time reductions. From the beginning of their pregnancy and until age three of their child irregular work-schedules cannot be arranged without the explicit consent of these workers. The same applies to their appointment for another location of work. During the mentioned period their weekly rest time must be scheduled regularly (i.e. no irregularity is allowed), and they cannot be ordered to work extra</w:t>
      </w:r>
      <w:r w:rsidR="00096091" w:rsidRPr="003E3613">
        <w:rPr>
          <w:rFonts w:ascii="Book Antiqua" w:hAnsi="Book Antiqua" w:cs="Times New Roman"/>
          <w:sz w:val="23"/>
          <w:szCs w:val="23"/>
          <w:lang w:val="en-GB"/>
        </w:rPr>
        <w:t xml:space="preserve"> hours, stand-by or night work. </w:t>
      </w:r>
      <w:r w:rsidRPr="003E3613">
        <w:rPr>
          <w:rFonts w:ascii="Book Antiqua" w:hAnsi="Book Antiqua" w:cs="Times New Roman"/>
          <w:sz w:val="23"/>
          <w:szCs w:val="23"/>
          <w:lang w:val="en-GB"/>
        </w:rPr>
        <w:t xml:space="preserve">The Workplace Protection Program took effect in 2014. Among others, it helps mothers to re-enter the labour market by providing tax benefits to their employers. The GYED EXTRA program directly helps mothers: after six months of giving birth they can re-enter the labour market and remain entitled to all other </w:t>
      </w:r>
      <w:r w:rsidR="003429B0" w:rsidRPr="003E3613">
        <w:rPr>
          <w:rFonts w:ascii="Book Antiqua" w:hAnsi="Book Antiqua" w:cs="Times New Roman"/>
          <w:sz w:val="23"/>
          <w:szCs w:val="23"/>
          <w:lang w:val="en-GB"/>
        </w:rPr>
        <w:t xml:space="preserve">maternity </w:t>
      </w:r>
      <w:r w:rsidRPr="003E3613">
        <w:rPr>
          <w:rFonts w:ascii="Book Antiqua" w:hAnsi="Book Antiqua" w:cs="Times New Roman"/>
          <w:sz w:val="23"/>
          <w:szCs w:val="23"/>
          <w:lang w:val="en-GB"/>
        </w:rPr>
        <w:t xml:space="preserve">benefits that they would receive if they remained at home nursing their children. </w:t>
      </w:r>
      <w:r w:rsidR="00EA40C7" w:rsidRPr="003E3613">
        <w:rPr>
          <w:rFonts w:ascii="Book Antiqua" w:hAnsi="Book Antiqua" w:cs="Times New Roman"/>
          <w:sz w:val="23"/>
          <w:szCs w:val="23"/>
          <w:lang w:val="en-GB"/>
        </w:rPr>
        <w:t xml:space="preserve">In Hungary 96 per cent of infants younger than six months are </w:t>
      </w:r>
      <w:r w:rsidR="00522CE5" w:rsidRPr="003E3613">
        <w:rPr>
          <w:rFonts w:ascii="Book Antiqua" w:hAnsi="Book Antiqua" w:cs="Times New Roman"/>
          <w:sz w:val="23"/>
          <w:szCs w:val="23"/>
          <w:lang w:val="en-GB"/>
        </w:rPr>
        <w:t>breastfed</w:t>
      </w:r>
      <w:r w:rsidR="00EA40C7" w:rsidRPr="003E3613">
        <w:rPr>
          <w:rFonts w:ascii="Book Antiqua" w:hAnsi="Book Antiqua" w:cs="Times New Roman"/>
          <w:sz w:val="23"/>
          <w:szCs w:val="23"/>
          <w:lang w:val="en-GB"/>
        </w:rPr>
        <w:t>, which is one of the highest rate according to WHO statistics (2015).</w:t>
      </w:r>
    </w:p>
    <w:p w14:paraId="53ADE499" w14:textId="77777777" w:rsidR="008C36AC" w:rsidRPr="003E3613" w:rsidRDefault="008C36AC" w:rsidP="00204696">
      <w:pPr>
        <w:spacing w:after="0"/>
        <w:jc w:val="both"/>
        <w:rPr>
          <w:rFonts w:ascii="Book Antiqua" w:hAnsi="Book Antiqua" w:cs="Times New Roman"/>
          <w:sz w:val="23"/>
          <w:szCs w:val="23"/>
          <w:lang w:val="en-GB"/>
        </w:rPr>
      </w:pPr>
    </w:p>
    <w:p w14:paraId="51279188" w14:textId="77777777" w:rsidR="008F74C4" w:rsidRPr="003E3613" w:rsidRDefault="008F74C4"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The closure of the </w:t>
      </w:r>
      <w:r w:rsidR="00113E49" w:rsidRPr="003E3613">
        <w:rPr>
          <w:rFonts w:ascii="Book Antiqua" w:hAnsi="Book Antiqua" w:cs="Times New Roman"/>
          <w:sz w:val="23"/>
          <w:szCs w:val="23"/>
          <w:lang w:val="en-GB"/>
        </w:rPr>
        <w:t xml:space="preserve">relevant </w:t>
      </w:r>
      <w:r w:rsidRPr="003E3613">
        <w:rPr>
          <w:rFonts w:ascii="Book Antiqua" w:hAnsi="Book Antiqua" w:cs="Times New Roman"/>
          <w:sz w:val="23"/>
          <w:szCs w:val="23"/>
          <w:lang w:val="en-GB"/>
        </w:rPr>
        <w:t>infringement procedure duly demonstrates</w:t>
      </w:r>
      <w:r w:rsidR="00494B99" w:rsidRPr="003E3613">
        <w:rPr>
          <w:rFonts w:ascii="Book Antiqua" w:hAnsi="Book Antiqua" w:cs="Times New Roman"/>
          <w:sz w:val="23"/>
          <w:szCs w:val="23"/>
          <w:lang w:val="en-GB"/>
        </w:rPr>
        <w:t xml:space="preserve"> Hungary</w:t>
      </w:r>
      <w:r w:rsidRPr="003E3613">
        <w:rPr>
          <w:rFonts w:ascii="Book Antiqua" w:hAnsi="Book Antiqua" w:cs="Times New Roman"/>
          <w:sz w:val="23"/>
          <w:szCs w:val="23"/>
          <w:lang w:val="en-GB"/>
        </w:rPr>
        <w:t>’s commitment to provide for equal treatment in its employment policies.</w:t>
      </w:r>
    </w:p>
    <w:p w14:paraId="7606E0F9" w14:textId="77777777" w:rsidR="00B9677E" w:rsidRPr="003E3613" w:rsidRDefault="00B9677E" w:rsidP="00204696">
      <w:pPr>
        <w:spacing w:after="0"/>
        <w:jc w:val="both"/>
        <w:rPr>
          <w:rFonts w:ascii="Book Antiqua" w:hAnsi="Book Antiqua"/>
          <w:i/>
          <w:sz w:val="23"/>
          <w:szCs w:val="23"/>
          <w:lang w:val="en-GB"/>
        </w:rPr>
      </w:pPr>
    </w:p>
    <w:p w14:paraId="00F1B71B" w14:textId="77777777" w:rsidR="004102CA" w:rsidRPr="003E3613" w:rsidRDefault="00396BD6" w:rsidP="00204696">
      <w:pPr>
        <w:pStyle w:val="Heading2"/>
        <w:keepNext w:val="0"/>
        <w:keepLines w:val="0"/>
        <w:spacing w:before="0"/>
        <w:rPr>
          <w:rFonts w:ascii="Book Antiqua" w:hAnsi="Book Antiqua"/>
          <w:color w:val="auto"/>
          <w:sz w:val="23"/>
          <w:szCs w:val="23"/>
          <w:lang w:val="en-GB"/>
        </w:rPr>
      </w:pPr>
      <w:bookmarkStart w:id="54" w:name="_Toc19120812"/>
      <w:r w:rsidRPr="003E3613">
        <w:rPr>
          <w:rFonts w:ascii="Book Antiqua" w:hAnsi="Book Antiqua"/>
          <w:color w:val="auto"/>
          <w:sz w:val="23"/>
          <w:szCs w:val="23"/>
          <w:lang w:val="en-GB"/>
        </w:rPr>
        <w:t>R</w:t>
      </w:r>
      <w:r w:rsidR="004102CA" w:rsidRPr="003E3613">
        <w:rPr>
          <w:rFonts w:ascii="Book Antiqua" w:hAnsi="Book Antiqua"/>
          <w:color w:val="auto"/>
          <w:sz w:val="23"/>
          <w:szCs w:val="23"/>
          <w:lang w:val="en-GB"/>
        </w:rPr>
        <w:t>e</w:t>
      </w:r>
      <w:r w:rsidRPr="003E3613">
        <w:rPr>
          <w:rFonts w:ascii="Book Antiqua" w:hAnsi="Book Antiqua"/>
          <w:color w:val="auto"/>
          <w:sz w:val="23"/>
          <w:szCs w:val="23"/>
          <w:lang w:val="en-GB"/>
        </w:rPr>
        <w:t xml:space="preserve">strictive definition of discrimination and </w:t>
      </w:r>
      <w:r w:rsidR="004102CA" w:rsidRPr="003E3613">
        <w:rPr>
          <w:rFonts w:ascii="Book Antiqua" w:hAnsi="Book Antiqua"/>
          <w:color w:val="auto"/>
          <w:sz w:val="23"/>
          <w:szCs w:val="23"/>
          <w:lang w:val="en-GB"/>
        </w:rPr>
        <w:t>family</w:t>
      </w:r>
      <w:bookmarkEnd w:id="54"/>
    </w:p>
    <w:p w14:paraId="540A4A05" w14:textId="77777777" w:rsidR="004102CA" w:rsidRPr="003E3613" w:rsidRDefault="004102CA" w:rsidP="00204696">
      <w:pPr>
        <w:spacing w:after="0"/>
        <w:jc w:val="both"/>
        <w:rPr>
          <w:rFonts w:ascii="Book Antiqua" w:hAnsi="Book Antiqua"/>
          <w:i/>
          <w:sz w:val="23"/>
          <w:szCs w:val="23"/>
          <w:lang w:val="en-GB"/>
        </w:rPr>
      </w:pPr>
    </w:p>
    <w:p w14:paraId="29C67909"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52045A" w:rsidRPr="003E3613">
        <w:rPr>
          <w:rFonts w:ascii="Book Antiqua" w:hAnsi="Book Antiqua"/>
          <w:i/>
          <w:sz w:val="23"/>
          <w:szCs w:val="23"/>
          <w:lang w:val="en-GB"/>
        </w:rPr>
        <w:t>4</w:t>
      </w:r>
      <w:r w:rsidR="001C35A1" w:rsidRPr="003E3613">
        <w:rPr>
          <w:rFonts w:ascii="Book Antiqua" w:hAnsi="Book Antiqua"/>
          <w:i/>
          <w:sz w:val="23"/>
          <w:szCs w:val="23"/>
          <w:lang w:val="en-GB"/>
        </w:rPr>
        <w:t>9</w:t>
      </w:r>
      <w:r w:rsidRPr="003E3613">
        <w:rPr>
          <w:rFonts w:ascii="Book Antiqua" w:hAnsi="Book Antiqua"/>
          <w:i/>
          <w:sz w:val="23"/>
          <w:szCs w:val="23"/>
          <w:lang w:val="en-GB"/>
        </w:rPr>
        <w:t xml:space="preserve">) In its concluding observations of 5 April 2018, the UN Human Rights Committee expressed concerns that the constitutional ban on discrimination does not explicitly list sexual orientation and gender identity among the grounds of discrimination and that its restrictive definition of family could give rise to discrimination as it does not encompass certain types of family arrangements, including same-sex couples. The Committee was also concerned about acts of violence and the prevalence of negative stereotypes and prejudice against lesbian, gay, bisexual and transgender persons, particularly in the employment and education sectors. </w:t>
      </w:r>
    </w:p>
    <w:p w14:paraId="3E1E1DB2" w14:textId="77777777" w:rsidR="00503C39" w:rsidRPr="003E3613" w:rsidRDefault="00503C39" w:rsidP="00204696">
      <w:pPr>
        <w:spacing w:after="0"/>
        <w:jc w:val="both"/>
        <w:rPr>
          <w:rFonts w:ascii="Book Antiqua" w:hAnsi="Book Antiqua"/>
          <w:sz w:val="23"/>
          <w:szCs w:val="23"/>
          <w:lang w:val="en-GB"/>
        </w:rPr>
      </w:pPr>
    </w:p>
    <w:p w14:paraId="2465FDD2" w14:textId="77777777" w:rsidR="00BD3CB9" w:rsidRPr="003E3613" w:rsidRDefault="00503C39"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Fundamental Law of Hungary contains an open list, which forbids discrimination </w:t>
      </w:r>
      <w:r w:rsidR="00642E6A" w:rsidRPr="003E3613">
        <w:rPr>
          <w:rFonts w:ascii="Book Antiqua" w:hAnsi="Book Antiqua"/>
          <w:sz w:val="23"/>
          <w:szCs w:val="23"/>
          <w:lang w:val="en-GB"/>
        </w:rPr>
        <w:t xml:space="preserve">on the widest possible grounds, as the text uses the expression: discrimination </w:t>
      </w:r>
      <w:r w:rsidRPr="003E3613">
        <w:rPr>
          <w:rFonts w:ascii="Book Antiqua" w:hAnsi="Book Antiqua"/>
          <w:sz w:val="23"/>
          <w:szCs w:val="23"/>
          <w:lang w:val="en-GB"/>
        </w:rPr>
        <w:t>based</w:t>
      </w:r>
      <w:r w:rsidR="00F223BC" w:rsidRPr="003E3613">
        <w:rPr>
          <w:rFonts w:ascii="Book Antiqua" w:hAnsi="Book Antiqua"/>
          <w:sz w:val="23"/>
          <w:szCs w:val="23"/>
          <w:lang w:val="en-GB"/>
        </w:rPr>
        <w:t xml:space="preserve"> on ‘any other circumstances’. </w:t>
      </w:r>
      <w:r w:rsidRPr="003E3613">
        <w:rPr>
          <w:rFonts w:ascii="Book Antiqua" w:hAnsi="Book Antiqua"/>
          <w:sz w:val="23"/>
          <w:szCs w:val="23"/>
          <w:lang w:val="en-GB"/>
        </w:rPr>
        <w:t xml:space="preserve">For this reason, sexual orientation and gender identity fall under strict constitutional protection in Hungary, whereas the Hungarian Act on Equal Treatment </w:t>
      </w:r>
      <w:r w:rsidR="00B64F3B" w:rsidRPr="003E3613">
        <w:rPr>
          <w:rFonts w:ascii="Book Antiqua" w:hAnsi="Book Antiqua"/>
          <w:sz w:val="23"/>
          <w:szCs w:val="23"/>
          <w:lang w:val="en-GB"/>
        </w:rPr>
        <w:t xml:space="preserve">(Act CXXV of 2003) </w:t>
      </w:r>
      <w:r w:rsidRPr="003E3613">
        <w:rPr>
          <w:rFonts w:ascii="Book Antiqua" w:hAnsi="Book Antiqua"/>
          <w:sz w:val="23"/>
          <w:szCs w:val="23"/>
          <w:lang w:val="en-GB"/>
        </w:rPr>
        <w:t xml:space="preserve">explicitly forbids discrimination based on both grounds ever since 2004. </w:t>
      </w:r>
    </w:p>
    <w:p w14:paraId="77C7380E" w14:textId="77777777" w:rsidR="00FD7B29" w:rsidRPr="003E3613" w:rsidRDefault="00EA40C7" w:rsidP="00204696">
      <w:pPr>
        <w:spacing w:after="0"/>
        <w:jc w:val="both"/>
        <w:rPr>
          <w:rFonts w:ascii="Book Antiqua" w:hAnsi="Book Antiqua"/>
          <w:sz w:val="23"/>
          <w:szCs w:val="23"/>
          <w:lang w:val="en-GB"/>
        </w:rPr>
      </w:pPr>
      <w:r w:rsidRPr="003E3613">
        <w:rPr>
          <w:rFonts w:ascii="Book Antiqua" w:hAnsi="Book Antiqua"/>
          <w:sz w:val="23"/>
          <w:szCs w:val="23"/>
          <w:lang w:val="en-GB"/>
        </w:rPr>
        <w:t>The Act XXIX of 2009 on Registered Partnership gives extended rights to unmarried couples.</w:t>
      </w:r>
    </w:p>
    <w:p w14:paraId="30BE57F7" w14:textId="77777777" w:rsidR="00FD7B29" w:rsidRPr="003E3613" w:rsidRDefault="00FD7B29" w:rsidP="00204696">
      <w:pPr>
        <w:spacing w:after="0"/>
        <w:jc w:val="both"/>
        <w:rPr>
          <w:rFonts w:ascii="Book Antiqua" w:hAnsi="Book Antiqua"/>
          <w:sz w:val="23"/>
          <w:szCs w:val="23"/>
          <w:lang w:val="en-GB"/>
        </w:rPr>
      </w:pPr>
    </w:p>
    <w:p w14:paraId="11416158" w14:textId="77777777" w:rsidR="00F1151B" w:rsidRPr="003E3613" w:rsidRDefault="00F1151B" w:rsidP="00204696">
      <w:pPr>
        <w:pStyle w:val="Heading2"/>
        <w:keepNext w:val="0"/>
        <w:keepLines w:val="0"/>
        <w:spacing w:before="0"/>
        <w:rPr>
          <w:rFonts w:ascii="Book Antiqua" w:hAnsi="Book Antiqua"/>
          <w:color w:val="auto"/>
          <w:sz w:val="23"/>
          <w:szCs w:val="23"/>
          <w:lang w:val="en-GB"/>
        </w:rPr>
      </w:pPr>
      <w:bookmarkStart w:id="55" w:name="_Toc19120813"/>
      <w:r w:rsidRPr="003E3613">
        <w:rPr>
          <w:rFonts w:ascii="Book Antiqua" w:hAnsi="Book Antiqua"/>
          <w:color w:val="auto"/>
          <w:sz w:val="23"/>
          <w:szCs w:val="23"/>
          <w:lang w:val="en-GB"/>
        </w:rPr>
        <w:lastRenderedPageBreak/>
        <w:t>Inhuman treatment of persons with disabilities</w:t>
      </w:r>
      <w:bookmarkEnd w:id="55"/>
    </w:p>
    <w:p w14:paraId="144032CE" w14:textId="77777777" w:rsidR="00F1151B" w:rsidRPr="003E3613" w:rsidRDefault="00F1151B" w:rsidP="00204696">
      <w:pPr>
        <w:spacing w:after="0"/>
        <w:rPr>
          <w:rFonts w:ascii="Book Antiqua" w:hAnsi="Book Antiqua"/>
          <w:sz w:val="23"/>
          <w:szCs w:val="23"/>
          <w:lang w:val="en-GB"/>
        </w:rPr>
      </w:pPr>
    </w:p>
    <w:p w14:paraId="7DE9C766" w14:textId="77777777" w:rsidR="0052045A" w:rsidRPr="003E3613" w:rsidRDefault="0052045A"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374A2E" w:rsidRPr="003E3613">
        <w:rPr>
          <w:rFonts w:ascii="Book Antiqua" w:hAnsi="Book Antiqua"/>
          <w:i/>
          <w:sz w:val="23"/>
          <w:szCs w:val="23"/>
          <w:lang w:val="en-GB"/>
        </w:rPr>
        <w:t>50</w:t>
      </w:r>
      <w:r w:rsidRPr="003E3613">
        <w:rPr>
          <w:rFonts w:ascii="Book Antiqua" w:hAnsi="Book Antiqua"/>
          <w:i/>
          <w:sz w:val="23"/>
          <w:szCs w:val="23"/>
          <w:lang w:val="en-GB"/>
        </w:rPr>
        <w:t>)</w:t>
      </w:r>
      <w:r w:rsidRPr="003E3613">
        <w:rPr>
          <w:rFonts w:ascii="Book Antiqua" w:hAnsi="Book Antiqua"/>
          <w:i/>
          <w:sz w:val="23"/>
          <w:szCs w:val="23"/>
          <w:lang w:val="en-GB"/>
        </w:rPr>
        <w:tab/>
        <w:t>In its concluding observations of 5 April 2018, the UN Human Rights Committee</w:t>
      </w:r>
      <w:r w:rsidR="00503C39" w:rsidRPr="003E3613">
        <w:rPr>
          <w:rFonts w:ascii="Book Antiqua" w:hAnsi="Book Antiqua"/>
          <w:i/>
          <w:sz w:val="23"/>
          <w:szCs w:val="23"/>
          <w:lang w:val="en-GB"/>
        </w:rPr>
        <w:t xml:space="preserve"> </w:t>
      </w:r>
      <w:r w:rsidRPr="003E3613">
        <w:rPr>
          <w:rFonts w:ascii="Book Antiqua" w:hAnsi="Book Antiqua"/>
          <w:i/>
          <w:sz w:val="23"/>
          <w:szCs w:val="23"/>
          <w:lang w:val="en-GB"/>
        </w:rPr>
        <w:t>also mentioned forced placement in medical institutions, isolation and forced treatment of large numbers of persons with mental, intellectual and psychosocial disabilities, as well as reported violence and cruel, inhuman and degrading treatment and allegations of a high number of non-investigated deaths in closed institutions.</w:t>
      </w:r>
    </w:p>
    <w:p w14:paraId="0C938799" w14:textId="77777777" w:rsidR="00503C39" w:rsidRPr="003E3613" w:rsidRDefault="00503C39" w:rsidP="00204696">
      <w:pPr>
        <w:spacing w:after="0"/>
        <w:jc w:val="both"/>
        <w:rPr>
          <w:rFonts w:ascii="Book Antiqua" w:hAnsi="Book Antiqua"/>
          <w:i/>
          <w:sz w:val="23"/>
          <w:szCs w:val="23"/>
          <w:lang w:val="en-GB"/>
        </w:rPr>
      </w:pPr>
    </w:p>
    <w:p w14:paraId="12C5AFA8" w14:textId="77777777" w:rsidR="00441580" w:rsidRPr="003E3613" w:rsidRDefault="00441580" w:rsidP="00204696">
      <w:pPr>
        <w:spacing w:after="240"/>
        <w:jc w:val="both"/>
        <w:rPr>
          <w:rFonts w:ascii="Book Antiqua" w:hAnsi="Book Antiqua"/>
          <w:sz w:val="23"/>
          <w:szCs w:val="23"/>
          <w:lang w:val="en-GB"/>
        </w:rPr>
      </w:pPr>
      <w:r w:rsidRPr="003E3613">
        <w:rPr>
          <w:rFonts w:ascii="Book Antiqua" w:hAnsi="Book Antiqua"/>
          <w:sz w:val="23"/>
          <w:szCs w:val="23"/>
          <w:lang w:val="en-GB"/>
        </w:rPr>
        <w:t xml:space="preserve">As far as forced institutionalization and forced treatment are concerned, we would like to underline that all social services, regardless of their nature are based on a voluntary legal agreement. Although </w:t>
      </w:r>
      <w:r w:rsidR="00963D66" w:rsidRPr="003E3613">
        <w:rPr>
          <w:rFonts w:ascii="Book Antiqua" w:hAnsi="Book Antiqua"/>
          <w:sz w:val="23"/>
          <w:szCs w:val="23"/>
          <w:lang w:val="en-GB"/>
        </w:rPr>
        <w:t>Act III of 1993 on social administration and social services</w:t>
      </w:r>
      <w:r w:rsidRPr="003E3613">
        <w:rPr>
          <w:rFonts w:ascii="Book Antiqua" w:hAnsi="Book Antiqua"/>
          <w:sz w:val="23"/>
          <w:szCs w:val="23"/>
          <w:lang w:val="en-GB"/>
        </w:rPr>
        <w:t xml:space="preserve"> </w:t>
      </w:r>
      <w:r w:rsidR="00963D66" w:rsidRPr="003E3613">
        <w:rPr>
          <w:rFonts w:ascii="Book Antiqua" w:hAnsi="Book Antiqua"/>
          <w:sz w:val="23"/>
          <w:szCs w:val="23"/>
          <w:lang w:val="en-GB"/>
        </w:rPr>
        <w:t>(</w:t>
      </w:r>
      <w:r w:rsidRPr="003E3613">
        <w:rPr>
          <w:rFonts w:ascii="Book Antiqua" w:hAnsi="Book Antiqua"/>
          <w:sz w:val="23"/>
          <w:szCs w:val="23"/>
          <w:lang w:val="en-GB"/>
        </w:rPr>
        <w:t>Social Act</w:t>
      </w:r>
      <w:r w:rsidR="00963D66" w:rsidRPr="003E3613">
        <w:rPr>
          <w:rFonts w:ascii="Book Antiqua" w:hAnsi="Book Antiqua"/>
          <w:sz w:val="23"/>
          <w:szCs w:val="23"/>
          <w:lang w:val="en-GB"/>
        </w:rPr>
        <w:t>)</w:t>
      </w:r>
      <w:r w:rsidRPr="003E3613">
        <w:rPr>
          <w:rFonts w:ascii="Book Antiqua" w:hAnsi="Book Antiqua"/>
          <w:sz w:val="23"/>
          <w:szCs w:val="23"/>
          <w:lang w:val="en-GB"/>
        </w:rPr>
        <w:t xml:space="preserve"> does retain the possibility to place mental patients in institutions by judicial decision, this provision can only be applied in favour of the patient and in defence of their social environment. The Hungarian legal system also recognizes involuntary treatment in</w:t>
      </w:r>
      <w:r w:rsidR="002008E7" w:rsidRPr="003E3613">
        <w:rPr>
          <w:rFonts w:ascii="Book Antiqua" w:hAnsi="Book Antiqua"/>
          <w:sz w:val="23"/>
          <w:szCs w:val="23"/>
          <w:lang w:val="en-GB"/>
        </w:rPr>
        <w:t xml:space="preserve"> a</w:t>
      </w:r>
      <w:r w:rsidRPr="003E3613">
        <w:rPr>
          <w:rFonts w:ascii="Book Antiqua" w:hAnsi="Book Antiqua"/>
          <w:sz w:val="23"/>
          <w:szCs w:val="23"/>
          <w:lang w:val="en-GB"/>
        </w:rPr>
        <w:t xml:space="preserve"> mental institution</w:t>
      </w:r>
      <w:r w:rsidR="002008E7" w:rsidRPr="003E3613">
        <w:rPr>
          <w:rFonts w:ascii="Book Antiqua" w:hAnsi="Book Antiqua"/>
          <w:sz w:val="23"/>
          <w:szCs w:val="23"/>
          <w:lang w:val="en-GB"/>
        </w:rPr>
        <w:t xml:space="preserve"> as a criminal sanction</w:t>
      </w:r>
      <w:r w:rsidRPr="003E3613">
        <w:rPr>
          <w:rFonts w:ascii="Book Antiqua" w:hAnsi="Book Antiqua"/>
          <w:sz w:val="23"/>
          <w:szCs w:val="23"/>
          <w:lang w:val="en-GB"/>
        </w:rPr>
        <w:t xml:space="preserve">, </w:t>
      </w:r>
      <w:r w:rsidR="002008E7" w:rsidRPr="003E3613">
        <w:rPr>
          <w:rFonts w:ascii="Book Antiqua" w:hAnsi="Book Antiqua"/>
          <w:sz w:val="23"/>
          <w:szCs w:val="23"/>
          <w:lang w:val="en-GB"/>
        </w:rPr>
        <w:t>thus if a person commits a</w:t>
      </w:r>
      <w:r w:rsidRPr="003E3613">
        <w:rPr>
          <w:rFonts w:ascii="Book Antiqua" w:hAnsi="Book Antiqua"/>
          <w:sz w:val="23"/>
          <w:szCs w:val="23"/>
          <w:lang w:val="en-GB"/>
        </w:rPr>
        <w:t xml:space="preserve"> violent crime against persons or </w:t>
      </w:r>
      <w:r w:rsidR="002008E7" w:rsidRPr="003E3613">
        <w:rPr>
          <w:rFonts w:ascii="Book Antiqua" w:hAnsi="Book Antiqua"/>
          <w:sz w:val="23"/>
          <w:szCs w:val="23"/>
          <w:lang w:val="en-GB"/>
        </w:rPr>
        <w:t xml:space="preserve">a crime causing public danger and </w:t>
      </w:r>
      <w:r w:rsidRPr="003E3613">
        <w:rPr>
          <w:rFonts w:ascii="Book Antiqua" w:hAnsi="Book Antiqua"/>
          <w:sz w:val="23"/>
          <w:szCs w:val="23"/>
          <w:lang w:val="en-GB"/>
        </w:rPr>
        <w:t>the perpetrator cannot be prosecuted due to their mental condition, and there is reason to believe that they will commit a similar act,</w:t>
      </w:r>
      <w:r w:rsidR="002008E7" w:rsidRPr="003E3613">
        <w:rPr>
          <w:rFonts w:ascii="Book Antiqua" w:hAnsi="Book Antiqua"/>
          <w:sz w:val="23"/>
          <w:szCs w:val="23"/>
          <w:lang w:val="en-GB"/>
        </w:rPr>
        <w:t xml:space="preserve"> the perpetrator shall be sentenced to involuntary treatment in a mental institution,</w:t>
      </w:r>
      <w:r w:rsidRPr="003E3613">
        <w:rPr>
          <w:rFonts w:ascii="Book Antiqua" w:hAnsi="Book Antiqua"/>
          <w:sz w:val="23"/>
          <w:szCs w:val="23"/>
          <w:lang w:val="en-GB"/>
        </w:rPr>
        <w:t xml:space="preserve"> provided that the crime</w:t>
      </w:r>
      <w:r w:rsidR="002008E7" w:rsidRPr="003E3613">
        <w:rPr>
          <w:rFonts w:ascii="Book Antiqua" w:hAnsi="Book Antiqua"/>
          <w:sz w:val="23"/>
          <w:szCs w:val="23"/>
          <w:lang w:val="en-GB"/>
        </w:rPr>
        <w:t xml:space="preserve"> in question would otherwise be</w:t>
      </w:r>
      <w:r w:rsidRPr="003E3613">
        <w:rPr>
          <w:rFonts w:ascii="Book Antiqua" w:hAnsi="Book Antiqua"/>
          <w:sz w:val="23"/>
          <w:szCs w:val="23"/>
          <w:lang w:val="en-GB"/>
        </w:rPr>
        <w:t xml:space="preserve"> </w:t>
      </w:r>
      <w:r w:rsidR="002008E7" w:rsidRPr="003E3613">
        <w:rPr>
          <w:rFonts w:ascii="Book Antiqua" w:hAnsi="Book Antiqua"/>
          <w:sz w:val="23"/>
          <w:szCs w:val="23"/>
          <w:lang w:val="en-GB"/>
        </w:rPr>
        <w:t>punishable by</w:t>
      </w:r>
      <w:r w:rsidRPr="003E3613">
        <w:rPr>
          <w:rFonts w:ascii="Book Antiqua" w:hAnsi="Book Antiqua"/>
          <w:sz w:val="23"/>
          <w:szCs w:val="23"/>
          <w:lang w:val="en-GB"/>
        </w:rPr>
        <w:t xml:space="preserve"> imprisonment of at least one year. These measures are taken in the competent institution (IMEI) designated for this purpose. Similarly, social institutions providing personal care are used on a voluntary basis, on request. Legal prescriptions relating to the operation of the institutions are meant to ensure the rights of the care recipients living in the institutions. </w:t>
      </w:r>
    </w:p>
    <w:p w14:paraId="44F086EA" w14:textId="77777777" w:rsidR="00441580" w:rsidRPr="003E3613" w:rsidRDefault="00441580" w:rsidP="00204696">
      <w:pPr>
        <w:spacing w:after="0"/>
        <w:jc w:val="both"/>
        <w:rPr>
          <w:rFonts w:ascii="Book Antiqua" w:hAnsi="Book Antiqua"/>
          <w:sz w:val="23"/>
          <w:szCs w:val="23"/>
          <w:lang w:val="en-GB"/>
        </w:rPr>
      </w:pPr>
      <w:r w:rsidRPr="003E3613">
        <w:rPr>
          <w:rFonts w:ascii="Book Antiqua" w:hAnsi="Book Antiqua"/>
          <w:sz w:val="23"/>
          <w:szCs w:val="23"/>
          <w:lang w:val="en-GB"/>
        </w:rPr>
        <w:t>With regard to the allegations concerning cruel, inhuman and degrading treatment and violent acts in social care institutions, it is submitted that the rights of the clients of any age using social services and institutions are protected in various ways, to remedy any infringement. According to legal regulations, clients have the right to turn to the head of the given institution with their complaints, they can contact the pressure group to be compulsorily established in residential social care institutions and foster homes. They have the possibility to inform the clients’ rights or children’s rights representative in order to seek support in the protection of their rights. The role of the Commissioner for Fundamental Rights alongside the work of guardians and the trustees are also important in this area. According to</w:t>
      </w:r>
      <w:r w:rsidR="00963D66" w:rsidRPr="003E3613">
        <w:rPr>
          <w:rFonts w:ascii="Book Antiqua" w:hAnsi="Book Antiqua"/>
          <w:sz w:val="23"/>
          <w:szCs w:val="23"/>
          <w:lang w:val="en-GB"/>
        </w:rPr>
        <w:t xml:space="preserve"> the</w:t>
      </w:r>
      <w:r w:rsidRPr="003E3613">
        <w:rPr>
          <w:rFonts w:ascii="Book Antiqua" w:hAnsi="Book Antiqua"/>
          <w:sz w:val="23"/>
          <w:szCs w:val="23"/>
          <w:lang w:val="en-GB"/>
        </w:rPr>
        <w:t xml:space="preserve"> Social Act and Act XXXI of 1997 on Child Protection and Custody Administration (Child Protection Act) maintainers are liable for monitoring the lawful operation of their institutions. According to the</w:t>
      </w:r>
      <w:r w:rsidR="00254651" w:rsidRPr="003E3613">
        <w:rPr>
          <w:rFonts w:ascii="Book Antiqua" w:hAnsi="Book Antiqua"/>
          <w:sz w:val="23"/>
          <w:szCs w:val="23"/>
          <w:lang w:val="en-GB"/>
        </w:rPr>
        <w:t>se</w:t>
      </w:r>
      <w:r w:rsidRPr="003E3613">
        <w:rPr>
          <w:rFonts w:ascii="Book Antiqua" w:hAnsi="Book Antiqua"/>
          <w:sz w:val="23"/>
          <w:szCs w:val="23"/>
          <w:lang w:val="en-GB"/>
        </w:rPr>
        <w:t xml:space="preserve"> </w:t>
      </w:r>
      <w:r w:rsidR="00254651" w:rsidRPr="003E3613">
        <w:rPr>
          <w:rFonts w:ascii="Book Antiqua" w:hAnsi="Book Antiqua"/>
          <w:sz w:val="23"/>
          <w:szCs w:val="23"/>
          <w:lang w:val="en-GB"/>
        </w:rPr>
        <w:t>a</w:t>
      </w:r>
      <w:r w:rsidRPr="003E3613">
        <w:rPr>
          <w:rFonts w:ascii="Book Antiqua" w:hAnsi="Book Antiqua"/>
          <w:sz w:val="23"/>
          <w:szCs w:val="23"/>
          <w:lang w:val="en-GB"/>
        </w:rPr>
        <w:t xml:space="preserve">cts the operation of social service providers and institutions must be monitored by the certification body. Government decree </w:t>
      </w:r>
      <w:r w:rsidR="00254651" w:rsidRPr="003E3613">
        <w:rPr>
          <w:rFonts w:ascii="Book Antiqua" w:hAnsi="Book Antiqua"/>
          <w:sz w:val="23"/>
          <w:szCs w:val="23"/>
          <w:lang w:val="en-GB"/>
        </w:rPr>
        <w:t xml:space="preserve">No. </w:t>
      </w:r>
      <w:r w:rsidRPr="003E3613">
        <w:rPr>
          <w:rFonts w:ascii="Book Antiqua" w:hAnsi="Book Antiqua"/>
          <w:sz w:val="23"/>
          <w:szCs w:val="23"/>
          <w:lang w:val="en-GB"/>
        </w:rPr>
        <w:t>369/2</w:t>
      </w:r>
      <w:r w:rsidR="00113E49" w:rsidRPr="003E3613">
        <w:rPr>
          <w:rFonts w:ascii="Book Antiqua" w:hAnsi="Book Antiqua"/>
          <w:sz w:val="23"/>
          <w:szCs w:val="23"/>
          <w:lang w:val="en-GB"/>
        </w:rPr>
        <w:t>0</w:t>
      </w:r>
      <w:r w:rsidRPr="003E3613">
        <w:rPr>
          <w:rFonts w:ascii="Book Antiqua" w:hAnsi="Book Antiqua"/>
          <w:sz w:val="23"/>
          <w:szCs w:val="23"/>
          <w:lang w:val="en-GB"/>
        </w:rPr>
        <w:t xml:space="preserve">13 on the registration and inspection of social, child welfare and child protection service providers, institutions, and networks appoints the Government Agency of Budapest and the county level government agencies as control bodies that </w:t>
      </w:r>
      <w:r w:rsidR="00113E49" w:rsidRPr="003E3613">
        <w:rPr>
          <w:rFonts w:ascii="Book Antiqua" w:hAnsi="Book Antiqua"/>
          <w:sz w:val="23"/>
          <w:szCs w:val="23"/>
          <w:lang w:val="en-GB"/>
        </w:rPr>
        <w:t xml:space="preserve">shall </w:t>
      </w:r>
      <w:r w:rsidRPr="003E3613">
        <w:rPr>
          <w:rFonts w:ascii="Book Antiqua" w:hAnsi="Book Antiqua"/>
          <w:sz w:val="23"/>
          <w:szCs w:val="23"/>
          <w:lang w:val="en-GB"/>
        </w:rPr>
        <w:t>regularly carry out control activities on their own motion, and act as a matter of urgency.</w:t>
      </w:r>
    </w:p>
    <w:p w14:paraId="5A749267" w14:textId="77777777" w:rsidR="00441580" w:rsidRPr="003E3613" w:rsidRDefault="00441580" w:rsidP="00204696">
      <w:pPr>
        <w:spacing w:after="240"/>
        <w:jc w:val="both"/>
        <w:rPr>
          <w:rFonts w:ascii="Book Antiqua" w:hAnsi="Book Antiqua"/>
          <w:sz w:val="23"/>
          <w:szCs w:val="23"/>
          <w:lang w:val="en-GB"/>
        </w:rPr>
      </w:pPr>
      <w:r w:rsidRPr="003E3613">
        <w:rPr>
          <w:rFonts w:ascii="Book Antiqua" w:hAnsi="Book Antiqua"/>
          <w:sz w:val="23"/>
          <w:szCs w:val="23"/>
          <w:lang w:val="en-GB"/>
        </w:rPr>
        <w:lastRenderedPageBreak/>
        <w:t>The above described legally binding rights protection instrument provides clients with comprehensive protection and guarantees the investigation and the termination of the violation of their rights.</w:t>
      </w:r>
    </w:p>
    <w:p w14:paraId="452159A0" w14:textId="77777777" w:rsidR="00441580" w:rsidRPr="003E3613" w:rsidRDefault="00441580"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As for the allegations concerning non-investigated cases of death in social institutions, the following facts are of importance. Given that the use of social services is based on a voluntary agreement, its treatment similar to penitentiary institutions in case of deaths is not justifiable. However, all these cases of death are investigated. According to Act CLIV of 1997 on Health, death is not considered natural when the circumstances of its occurrence </w:t>
      </w:r>
      <w:r w:rsidR="00113E49" w:rsidRPr="003E3613">
        <w:rPr>
          <w:rFonts w:ascii="Book Antiqua" w:hAnsi="Book Antiqua"/>
          <w:sz w:val="23"/>
          <w:szCs w:val="23"/>
          <w:lang w:val="en-GB"/>
        </w:rPr>
        <w:t>call it into question</w:t>
      </w:r>
      <w:r w:rsidRPr="003E3613">
        <w:rPr>
          <w:rFonts w:ascii="Book Antiqua" w:hAnsi="Book Antiqua"/>
          <w:sz w:val="23"/>
          <w:szCs w:val="23"/>
          <w:lang w:val="en-GB"/>
        </w:rPr>
        <w:t>. During the investigation of the causes and circumstances of death, should suspicion of a criminal act arise, a medical autopsy must be ordered. In case of extraordinary deaths, an official administrative procedure and official autopsy must be ordered.</w:t>
      </w:r>
      <w:r w:rsidR="00554D9C" w:rsidRPr="003E3613">
        <w:rPr>
          <w:rFonts w:ascii="Book Antiqua" w:hAnsi="Book Antiqua"/>
          <w:sz w:val="23"/>
          <w:szCs w:val="23"/>
          <w:lang w:val="en-GB"/>
        </w:rPr>
        <w:t xml:space="preserve"> </w:t>
      </w:r>
      <w:r w:rsidRPr="003E3613">
        <w:rPr>
          <w:rFonts w:ascii="Book Antiqua" w:hAnsi="Book Antiqua"/>
          <w:sz w:val="23"/>
          <w:szCs w:val="23"/>
          <w:lang w:val="en-GB"/>
        </w:rPr>
        <w:t xml:space="preserve">The physician carrying out the autopsy must decide whether the cause of death was extraordinary. According to its internal regulations, in order to avoid professional malpractice, the maintainer of the social institution - General Directorate of Social Affairs and Child Protection – always expects institutions to compile an action plan. In case the internal investigation reveals circumstances indicating the suspicion of a crime, either the institution or the maintainer files a police report. </w:t>
      </w:r>
    </w:p>
    <w:p w14:paraId="66A56355" w14:textId="34B6843D" w:rsidR="008A404D" w:rsidRDefault="00441580" w:rsidP="008A404D">
      <w:pPr>
        <w:spacing w:after="0"/>
        <w:jc w:val="both"/>
        <w:rPr>
          <w:rFonts w:ascii="Book Antiqua" w:hAnsi="Book Antiqua"/>
          <w:sz w:val="23"/>
          <w:szCs w:val="23"/>
          <w:lang w:val="en-GB"/>
        </w:rPr>
      </w:pPr>
      <w:r w:rsidRPr="003E3613">
        <w:rPr>
          <w:rFonts w:ascii="Book Antiqua" w:hAnsi="Book Antiqua"/>
          <w:sz w:val="23"/>
          <w:szCs w:val="23"/>
          <w:lang w:val="en-GB"/>
        </w:rPr>
        <w:t>Therefore, cases of death occurred in social institutions must always be investigated; there are no non-investigated cases of death.</w:t>
      </w:r>
    </w:p>
    <w:p w14:paraId="71E0A8EA" w14:textId="77777777" w:rsidR="008A404D" w:rsidRDefault="008A404D" w:rsidP="008A404D">
      <w:pPr>
        <w:spacing w:after="0"/>
        <w:jc w:val="both"/>
        <w:rPr>
          <w:rFonts w:ascii="Book Antiqua" w:hAnsi="Book Antiqua"/>
          <w:sz w:val="23"/>
          <w:szCs w:val="23"/>
          <w:lang w:val="en-GB"/>
        </w:rPr>
      </w:pPr>
    </w:p>
    <w:p w14:paraId="053645C9" w14:textId="171DB6BA" w:rsidR="008A404D" w:rsidRPr="005939D1" w:rsidRDefault="008A404D" w:rsidP="00204696">
      <w:pPr>
        <w:spacing w:after="0"/>
        <w:jc w:val="both"/>
        <w:rPr>
          <w:rFonts w:ascii="Book Antiqua" w:hAnsi="Book Antiqua"/>
          <w:sz w:val="23"/>
          <w:szCs w:val="23"/>
          <w:lang w:val="en-GB"/>
        </w:rPr>
      </w:pPr>
      <w:r>
        <w:rPr>
          <w:rFonts w:ascii="Book Antiqua" w:hAnsi="Book Antiqua"/>
          <w:sz w:val="23"/>
          <w:szCs w:val="23"/>
          <w:lang w:val="en-GB"/>
        </w:rPr>
        <w:t>Furthermore, on the initiation of the so-called Civil Coalition, the Thematic Working Group Responsible for the Rights of Persons Living with Disabilities of the Human Rights Roundtable held six meetings in 2017 and 2018 on the better implementation of UN Convention on the Rights of Persons Living with Disabilities (CRPD) in the following topics: education, social and supporting services, civil and political rights, employment and health care. As the result of these meetings, the Thematic Working Group adopted a package of proposals in order to promote the human rights of persons living with disabilities. The Human Rights Working Group decided to forward the package of proposals to the National Disability Council and the Inter-ministerial Committee on Disability Issues for further consideration. After these consultations, the proposals of NGOs can be built in the new action plan of the National Disability Programme.</w:t>
      </w:r>
      <w:r w:rsidRPr="005939D1">
        <w:rPr>
          <w:rFonts w:ascii="Book Antiqua" w:hAnsi="Book Antiqua"/>
          <w:sz w:val="23"/>
          <w:szCs w:val="23"/>
          <w:lang w:val="en-GB"/>
        </w:rPr>
        <w:t xml:space="preserve"> </w:t>
      </w:r>
    </w:p>
    <w:p w14:paraId="3D15CE67" w14:textId="77777777" w:rsidR="000D0F81" w:rsidRPr="003E3613" w:rsidRDefault="000D0F81" w:rsidP="00204696">
      <w:pPr>
        <w:spacing w:after="0"/>
        <w:jc w:val="both"/>
        <w:rPr>
          <w:rFonts w:ascii="Book Antiqua" w:hAnsi="Book Antiqua"/>
          <w:sz w:val="23"/>
          <w:szCs w:val="23"/>
          <w:lang w:val="en-GB"/>
        </w:rPr>
      </w:pPr>
    </w:p>
    <w:p w14:paraId="089C0D21" w14:textId="24E6FBF8" w:rsidR="000D0F81" w:rsidRPr="003E3613" w:rsidRDefault="000D0F81" w:rsidP="00204696">
      <w:pPr>
        <w:spacing w:after="0"/>
        <w:jc w:val="both"/>
        <w:rPr>
          <w:rFonts w:ascii="Book Antiqua" w:hAnsi="Book Antiqua"/>
          <w:b/>
          <w:sz w:val="23"/>
          <w:szCs w:val="23"/>
          <w:lang w:val="en-GB"/>
        </w:rPr>
      </w:pPr>
      <w:r w:rsidRPr="003E3613">
        <w:rPr>
          <w:rFonts w:ascii="Book Antiqua" w:hAnsi="Book Antiqua"/>
          <w:b/>
          <w:sz w:val="23"/>
          <w:szCs w:val="23"/>
          <w:lang w:val="en-GB"/>
        </w:rPr>
        <w:t>The Hungarian Government is committed to encourage women to decide on their own lives and the Hungarian law provides strong protection for women</w:t>
      </w:r>
      <w:r w:rsidR="008A404D">
        <w:rPr>
          <w:rFonts w:ascii="Book Antiqua" w:hAnsi="Book Antiqua"/>
          <w:b/>
          <w:sz w:val="23"/>
          <w:szCs w:val="23"/>
          <w:lang w:val="en-GB"/>
        </w:rPr>
        <w:t xml:space="preserve"> and persons living with dissabilities</w:t>
      </w:r>
      <w:r w:rsidRPr="003E3613">
        <w:rPr>
          <w:rFonts w:ascii="Book Antiqua" w:hAnsi="Book Antiqua"/>
          <w:b/>
          <w:sz w:val="23"/>
          <w:szCs w:val="23"/>
          <w:lang w:val="en-GB"/>
        </w:rPr>
        <w:t>. Therefore, it is not justified to mention the elements of recitals 46-50 in a reasoned proposal requesting the Council to determine, pursuant to Article 7(1) of the Treaty on European Union, the existence of a clear risk of a serious breach by Hungary of the values on which the Union is founded.</w:t>
      </w:r>
    </w:p>
    <w:p w14:paraId="65B057F1" w14:textId="77777777" w:rsidR="00CE7DB3" w:rsidRPr="003E3613" w:rsidRDefault="00CE7DB3" w:rsidP="00204696">
      <w:pPr>
        <w:spacing w:after="0"/>
        <w:jc w:val="both"/>
        <w:rPr>
          <w:rFonts w:ascii="Book Antiqua" w:hAnsi="Book Antiqua"/>
          <w:i/>
          <w:sz w:val="23"/>
          <w:szCs w:val="23"/>
          <w:lang w:val="en-GB"/>
        </w:rPr>
      </w:pPr>
    </w:p>
    <w:p w14:paraId="392AB828" w14:textId="77777777" w:rsidR="00B9677E" w:rsidRPr="003E3613" w:rsidRDefault="00B9677E" w:rsidP="00204696">
      <w:pPr>
        <w:pStyle w:val="Heading1"/>
        <w:keepNext w:val="0"/>
        <w:keepLines w:val="0"/>
        <w:pBdr>
          <w:top w:val="single" w:sz="4" w:space="1" w:color="auto"/>
          <w:left w:val="single" w:sz="4" w:space="4" w:color="auto"/>
          <w:bottom w:val="single" w:sz="4" w:space="1" w:color="auto"/>
          <w:right w:val="single" w:sz="4" w:space="4" w:color="auto"/>
        </w:pBdr>
        <w:shd w:val="clear" w:color="auto" w:fill="C6D9F1" w:themeFill="text2" w:themeFillTint="33"/>
        <w:spacing w:before="0"/>
        <w:rPr>
          <w:rFonts w:ascii="Book Antiqua" w:hAnsi="Book Antiqua"/>
          <w:color w:val="auto"/>
          <w:sz w:val="23"/>
          <w:szCs w:val="23"/>
          <w:lang w:val="en-GB"/>
        </w:rPr>
      </w:pPr>
      <w:bookmarkStart w:id="56" w:name="_Toc19120814"/>
      <w:r w:rsidRPr="003E3613">
        <w:rPr>
          <w:rFonts w:ascii="Book Antiqua" w:hAnsi="Book Antiqua"/>
          <w:color w:val="auto"/>
          <w:sz w:val="23"/>
          <w:szCs w:val="23"/>
          <w:lang w:val="en-GB"/>
        </w:rPr>
        <w:t>Rights of persons belonging to minorities, including Roma and Jews</w:t>
      </w:r>
      <w:r w:rsidR="0052045A" w:rsidRPr="003E3613">
        <w:rPr>
          <w:rFonts w:ascii="Book Antiqua" w:hAnsi="Book Antiqua"/>
          <w:color w:val="auto"/>
          <w:sz w:val="23"/>
          <w:szCs w:val="23"/>
          <w:lang w:val="en-GB"/>
        </w:rPr>
        <w:t>,</w:t>
      </w:r>
      <w:r w:rsidR="0052045A" w:rsidRPr="003E3613">
        <w:rPr>
          <w:rFonts w:ascii="Book Antiqua" w:hAnsi="Book Antiqua"/>
          <w:i/>
          <w:sz w:val="23"/>
          <w:szCs w:val="23"/>
          <w:lang w:val="en-GB"/>
        </w:rPr>
        <w:t xml:space="preserve"> </w:t>
      </w:r>
      <w:r w:rsidR="0052045A" w:rsidRPr="003E3613">
        <w:rPr>
          <w:rFonts w:ascii="Book Antiqua" w:hAnsi="Book Antiqua"/>
          <w:color w:val="auto"/>
          <w:sz w:val="23"/>
          <w:szCs w:val="23"/>
          <w:lang w:val="en-GB"/>
        </w:rPr>
        <w:t>and protection against hateful statements against such minorities</w:t>
      </w:r>
      <w:bookmarkEnd w:id="56"/>
    </w:p>
    <w:p w14:paraId="36E796D2" w14:textId="77777777" w:rsidR="00B9677E" w:rsidRPr="003E3613" w:rsidRDefault="00B9677E" w:rsidP="00204696">
      <w:pPr>
        <w:spacing w:after="0"/>
        <w:jc w:val="both"/>
        <w:rPr>
          <w:rFonts w:ascii="Book Antiqua" w:hAnsi="Book Antiqua"/>
          <w:i/>
          <w:sz w:val="23"/>
          <w:szCs w:val="23"/>
          <w:lang w:val="en-GB"/>
        </w:rPr>
      </w:pPr>
    </w:p>
    <w:p w14:paraId="6D91CA48" w14:textId="77777777" w:rsidR="00BE595A" w:rsidRPr="003E3613" w:rsidRDefault="00AE1342"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Hungary is strongly committed to combat racism, anti-Gypsism and any incitement to hatred. Anti-Gyps</w:t>
      </w:r>
      <w:r w:rsidR="00522CE5" w:rsidRPr="003E3613">
        <w:rPr>
          <w:rFonts w:ascii="Book Antiqua" w:hAnsi="Book Antiqua"/>
          <w:sz w:val="23"/>
          <w:szCs w:val="23"/>
          <w:lang w:val="en-GB"/>
        </w:rPr>
        <w:t>y</w:t>
      </w:r>
      <w:r w:rsidRPr="003E3613">
        <w:rPr>
          <w:rFonts w:ascii="Book Antiqua" w:hAnsi="Book Antiqua"/>
          <w:sz w:val="23"/>
          <w:szCs w:val="23"/>
          <w:lang w:val="en-GB"/>
        </w:rPr>
        <w:t xml:space="preserve">ism and hate crimes are rooted in prejudices and stereotypes, and the majority of them are committed at the local level. Zero tolerance in case of any form of racism is provided by the Hungarian </w:t>
      </w:r>
      <w:r w:rsidR="00522CE5" w:rsidRPr="003E3613">
        <w:rPr>
          <w:rFonts w:ascii="Book Antiqua" w:hAnsi="Book Antiqua"/>
          <w:sz w:val="23"/>
          <w:szCs w:val="23"/>
          <w:lang w:val="en-GB"/>
        </w:rPr>
        <w:t>legislation</w:t>
      </w:r>
      <w:r w:rsidRPr="003E3613">
        <w:rPr>
          <w:rFonts w:ascii="Book Antiqua" w:hAnsi="Book Antiqua"/>
          <w:sz w:val="23"/>
          <w:szCs w:val="23"/>
          <w:lang w:val="en-GB"/>
        </w:rPr>
        <w:t xml:space="preserve"> and repeated univocally in the highest political statements.</w:t>
      </w:r>
      <w:r w:rsidR="007B077A" w:rsidRPr="003E3613">
        <w:rPr>
          <w:rFonts w:ascii="Book Antiqua" w:hAnsi="Book Antiqua"/>
          <w:sz w:val="23"/>
          <w:szCs w:val="23"/>
          <w:lang w:val="en-GB"/>
        </w:rPr>
        <w:t xml:space="preserve"> Every Hungarian citizen belonging to a nationality shall have the right to freely express and preserve his or her identity. </w:t>
      </w:r>
      <w:r w:rsidR="00F67DB9" w:rsidRPr="003E3613">
        <w:rPr>
          <w:rFonts w:ascii="Book Antiqua" w:hAnsi="Book Antiqua"/>
          <w:sz w:val="23"/>
          <w:szCs w:val="23"/>
          <w:lang w:val="en-GB"/>
        </w:rPr>
        <w:t>All 13 n</w:t>
      </w:r>
      <w:r w:rsidR="007B077A" w:rsidRPr="003E3613">
        <w:rPr>
          <w:rFonts w:ascii="Book Antiqua" w:hAnsi="Book Antiqua"/>
          <w:sz w:val="23"/>
          <w:szCs w:val="23"/>
          <w:lang w:val="en-GB"/>
        </w:rPr>
        <w:t>ationalities</w:t>
      </w:r>
      <w:r w:rsidR="007429B5" w:rsidRPr="003E3613">
        <w:rPr>
          <w:rFonts w:ascii="Book Antiqua" w:hAnsi="Book Antiqua"/>
          <w:sz w:val="23"/>
          <w:szCs w:val="23"/>
          <w:lang w:val="en-GB"/>
        </w:rPr>
        <w:t xml:space="preserve"> – including Roma –</w:t>
      </w:r>
      <w:r w:rsidR="007B077A" w:rsidRPr="003E3613">
        <w:rPr>
          <w:rFonts w:ascii="Book Antiqua" w:hAnsi="Book Antiqua"/>
          <w:sz w:val="23"/>
          <w:szCs w:val="23"/>
          <w:lang w:val="en-GB"/>
        </w:rPr>
        <w:t xml:space="preserve"> living in Hungary shall have the right to use their mother tongue, to use names in their own languages individually and collectively, to nurture their own cultures, and to receive education in their mother tongues. All nationalities can form self-governments at both local and national level.</w:t>
      </w:r>
      <w:r w:rsidR="00596192" w:rsidRPr="003E3613">
        <w:rPr>
          <w:rFonts w:ascii="Book Antiqua" w:hAnsi="Book Antiqua"/>
          <w:sz w:val="23"/>
          <w:szCs w:val="23"/>
          <w:lang w:val="en-GB"/>
        </w:rPr>
        <w:t xml:space="preserve"> </w:t>
      </w:r>
      <w:r w:rsidR="00112516" w:rsidRPr="003E3613">
        <w:rPr>
          <w:rFonts w:ascii="Book Antiqua" w:hAnsi="Book Antiqua"/>
          <w:sz w:val="23"/>
          <w:szCs w:val="23"/>
          <w:lang w:val="en-GB"/>
        </w:rPr>
        <w:t>Besides, a</w:t>
      </w:r>
      <w:r w:rsidR="00596192" w:rsidRPr="003E3613">
        <w:rPr>
          <w:rFonts w:ascii="Book Antiqua" w:hAnsi="Book Antiqua"/>
          <w:sz w:val="23"/>
          <w:szCs w:val="23"/>
          <w:lang w:val="en-GB"/>
        </w:rPr>
        <w:t xml:space="preserve">s a result of the measures which </w:t>
      </w:r>
      <w:r w:rsidR="00F67DB9" w:rsidRPr="003E3613">
        <w:rPr>
          <w:rFonts w:ascii="Book Antiqua" w:hAnsi="Book Antiqua"/>
          <w:sz w:val="23"/>
          <w:szCs w:val="23"/>
          <w:lang w:val="en-GB"/>
        </w:rPr>
        <w:t xml:space="preserve">the </w:t>
      </w:r>
      <w:r w:rsidR="00596192" w:rsidRPr="003E3613">
        <w:rPr>
          <w:rFonts w:ascii="Book Antiqua" w:hAnsi="Book Antiqua"/>
          <w:sz w:val="23"/>
          <w:szCs w:val="23"/>
          <w:lang w:val="en-GB"/>
        </w:rPr>
        <w:t>FIDESZ government has taken in the last nine years, those in need were given an opportunity to build a positive vision. Moreover, they could experience that there was a way out of the vicious circle of poverty and that they could participate in societal change.</w:t>
      </w:r>
      <w:r w:rsidR="00112516" w:rsidRPr="003E3613">
        <w:rPr>
          <w:rFonts w:ascii="Book Antiqua" w:hAnsi="Book Antiqua"/>
          <w:sz w:val="23"/>
          <w:szCs w:val="23"/>
          <w:lang w:val="en-GB"/>
        </w:rPr>
        <w:t xml:space="preserve"> Continous improvement of data</w:t>
      </w:r>
      <w:r w:rsidR="00112516" w:rsidRPr="003E3613">
        <w:rPr>
          <w:rStyle w:val="FootnoteReference"/>
          <w:rFonts w:ascii="Book Antiqua" w:hAnsi="Book Antiqua"/>
          <w:sz w:val="23"/>
          <w:szCs w:val="23"/>
          <w:lang w:val="en-GB"/>
        </w:rPr>
        <w:footnoteReference w:id="33"/>
      </w:r>
      <w:r w:rsidR="00112516" w:rsidRPr="003E3613">
        <w:rPr>
          <w:rFonts w:ascii="Book Antiqua" w:hAnsi="Book Antiqua"/>
          <w:sz w:val="23"/>
          <w:szCs w:val="23"/>
          <w:lang w:val="en-GB"/>
        </w:rPr>
        <w:t xml:space="preserve"> confirms the results of these efforts.</w:t>
      </w:r>
    </w:p>
    <w:p w14:paraId="0D0A1DC0" w14:textId="77777777" w:rsidR="00AE1342" w:rsidRPr="003E3613" w:rsidRDefault="00AE1342" w:rsidP="00204696">
      <w:pPr>
        <w:spacing w:after="0"/>
        <w:jc w:val="both"/>
        <w:rPr>
          <w:rFonts w:ascii="Book Antiqua" w:hAnsi="Book Antiqua"/>
          <w:i/>
          <w:sz w:val="23"/>
          <w:szCs w:val="23"/>
          <w:lang w:val="en-GB"/>
        </w:rPr>
      </w:pPr>
    </w:p>
    <w:p w14:paraId="58241050" w14:textId="77777777" w:rsidR="004102CA" w:rsidRPr="003E3613" w:rsidRDefault="004102CA" w:rsidP="00204696">
      <w:pPr>
        <w:pStyle w:val="Heading2"/>
        <w:keepNext w:val="0"/>
        <w:keepLines w:val="0"/>
        <w:spacing w:before="0"/>
        <w:rPr>
          <w:rFonts w:ascii="Book Antiqua" w:hAnsi="Book Antiqua"/>
          <w:color w:val="auto"/>
          <w:sz w:val="23"/>
          <w:szCs w:val="23"/>
          <w:lang w:val="en-GB"/>
        </w:rPr>
      </w:pPr>
      <w:bookmarkStart w:id="57" w:name="_Toc19120815"/>
      <w:r w:rsidRPr="003E3613">
        <w:rPr>
          <w:rFonts w:ascii="Book Antiqua" w:hAnsi="Book Antiqua"/>
          <w:color w:val="auto"/>
          <w:sz w:val="23"/>
          <w:szCs w:val="23"/>
          <w:lang w:val="en-GB"/>
        </w:rPr>
        <w:t>Racism and intolerance, anti-Gypsyism and anti-Semitism</w:t>
      </w:r>
      <w:bookmarkEnd w:id="57"/>
    </w:p>
    <w:p w14:paraId="7A92A46D" w14:textId="77777777" w:rsidR="004102CA" w:rsidRPr="003E3613" w:rsidRDefault="004102CA" w:rsidP="00204696">
      <w:pPr>
        <w:spacing w:after="0"/>
        <w:jc w:val="both"/>
        <w:rPr>
          <w:rFonts w:ascii="Book Antiqua" w:hAnsi="Book Antiqua"/>
          <w:i/>
          <w:sz w:val="23"/>
          <w:szCs w:val="23"/>
          <w:lang w:val="en-GB"/>
        </w:rPr>
      </w:pPr>
    </w:p>
    <w:p w14:paraId="66BAE1DB"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52045A" w:rsidRPr="003E3613">
        <w:rPr>
          <w:rFonts w:ascii="Book Antiqua" w:hAnsi="Book Antiqua"/>
          <w:i/>
          <w:sz w:val="23"/>
          <w:szCs w:val="23"/>
          <w:lang w:val="en-GB"/>
        </w:rPr>
        <w:t>5</w:t>
      </w:r>
      <w:r w:rsidR="00CE080C" w:rsidRPr="003E3613">
        <w:rPr>
          <w:rFonts w:ascii="Book Antiqua" w:hAnsi="Book Antiqua"/>
          <w:i/>
          <w:sz w:val="23"/>
          <w:szCs w:val="23"/>
          <w:lang w:val="en-GB"/>
        </w:rPr>
        <w:t>1</w:t>
      </w:r>
      <w:r w:rsidRPr="003E3613">
        <w:rPr>
          <w:rFonts w:ascii="Book Antiqua" w:hAnsi="Book Antiqua"/>
          <w:i/>
          <w:sz w:val="23"/>
          <w:szCs w:val="23"/>
          <w:lang w:val="en-GB"/>
        </w:rPr>
        <w:t xml:space="preserve">) In his report following his visit to Hungary, which was published on 16 December 2014, the Council of Europe’s Commissioner for Human Rights indicated that he was concerned about the deterioration of the situation as regards racism and intolerance in Hungary, with anti-Gypsyism being the most blatant form of intolerance, as illustrated by distinctively harsh, including violence targeting Roma people and paramilitary marches and patrolling in Roma-populated villages. He also pointed out that, despite positions taken by the Hungarian authorities to condemn anti-Semitic speech, anti-Semitism is a recurring problem, manifesting itself through hate speech and instances of violence against Jewish persons or property. In addition, he mentioned a recrudescence of xenophobia targeting migrants, including asylum seekers and refugees, and of intolerance affecting other social groups such as LGBTI persons, the poor and homeless persons. The European Commission against Racism and Xenophobia </w:t>
      </w:r>
      <w:r w:rsidR="0052045A" w:rsidRPr="003E3613">
        <w:rPr>
          <w:rFonts w:ascii="Book Antiqua" w:hAnsi="Book Antiqua"/>
          <w:i/>
          <w:sz w:val="23"/>
          <w:szCs w:val="23"/>
          <w:lang w:val="en-GB"/>
        </w:rPr>
        <w:t xml:space="preserve">(ECRI) </w:t>
      </w:r>
      <w:r w:rsidRPr="003E3613">
        <w:rPr>
          <w:rFonts w:ascii="Book Antiqua" w:hAnsi="Book Antiqua"/>
          <w:i/>
          <w:sz w:val="23"/>
          <w:szCs w:val="23"/>
          <w:lang w:val="en-GB"/>
        </w:rPr>
        <w:t>mentioned similar concerns in its report on Hungary published on 9 June 2015.</w:t>
      </w:r>
    </w:p>
    <w:p w14:paraId="2A777CEE" w14:textId="77777777" w:rsidR="00E63D73" w:rsidRPr="003E3613" w:rsidRDefault="00E63D73" w:rsidP="00204696">
      <w:pPr>
        <w:spacing w:after="0"/>
        <w:jc w:val="both"/>
        <w:rPr>
          <w:rFonts w:ascii="Book Antiqua" w:hAnsi="Book Antiqua"/>
          <w:sz w:val="23"/>
          <w:szCs w:val="23"/>
          <w:lang w:val="en-GB"/>
        </w:rPr>
      </w:pPr>
    </w:p>
    <w:p w14:paraId="45007F4B" w14:textId="77777777" w:rsidR="002B7462" w:rsidRPr="003E3613" w:rsidRDefault="002B7462"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Hungary is committed to combat racism, anti</w:t>
      </w:r>
      <w:r w:rsidR="00113E49" w:rsidRPr="003E3613">
        <w:rPr>
          <w:rFonts w:ascii="Book Antiqua" w:hAnsi="Book Antiqua" w:cs="Times New Roman"/>
          <w:sz w:val="23"/>
          <w:szCs w:val="23"/>
          <w:lang w:val="en-GB"/>
        </w:rPr>
        <w:t>-G</w:t>
      </w:r>
      <w:r w:rsidRPr="003E3613">
        <w:rPr>
          <w:rFonts w:ascii="Book Antiqua" w:hAnsi="Book Antiqua" w:cs="Times New Roman"/>
          <w:sz w:val="23"/>
          <w:szCs w:val="23"/>
          <w:lang w:val="en-GB"/>
        </w:rPr>
        <w:t>yps</w:t>
      </w:r>
      <w:r w:rsidR="00AE3084" w:rsidRPr="003E3613">
        <w:rPr>
          <w:rFonts w:ascii="Book Antiqua" w:hAnsi="Book Antiqua" w:cs="Times New Roman"/>
          <w:sz w:val="23"/>
          <w:szCs w:val="23"/>
          <w:lang w:val="en-GB"/>
        </w:rPr>
        <w:t>y</w:t>
      </w:r>
      <w:r w:rsidRPr="003E3613">
        <w:rPr>
          <w:rFonts w:ascii="Book Antiqua" w:hAnsi="Book Antiqua" w:cs="Times New Roman"/>
          <w:sz w:val="23"/>
          <w:szCs w:val="23"/>
          <w:lang w:val="en-GB"/>
        </w:rPr>
        <w:t>ism and any incitement to hatred. Anti</w:t>
      </w:r>
      <w:r w:rsidR="00AE3084" w:rsidRPr="003E3613">
        <w:rPr>
          <w:rFonts w:ascii="Book Antiqua" w:hAnsi="Book Antiqua" w:cs="Times New Roman"/>
          <w:sz w:val="23"/>
          <w:szCs w:val="23"/>
          <w:lang w:val="en-GB"/>
        </w:rPr>
        <w:t>-G</w:t>
      </w:r>
      <w:r w:rsidRPr="003E3613">
        <w:rPr>
          <w:rFonts w:ascii="Book Antiqua" w:hAnsi="Book Antiqua" w:cs="Times New Roman"/>
          <w:sz w:val="23"/>
          <w:szCs w:val="23"/>
          <w:lang w:val="en-GB"/>
        </w:rPr>
        <w:t>yp</w:t>
      </w:r>
      <w:r w:rsidR="00522CE5" w:rsidRPr="003E3613">
        <w:rPr>
          <w:rFonts w:ascii="Book Antiqua" w:hAnsi="Book Antiqua" w:cs="Times New Roman"/>
          <w:sz w:val="23"/>
          <w:szCs w:val="23"/>
          <w:lang w:val="en-GB"/>
        </w:rPr>
        <w:t>s</w:t>
      </w:r>
      <w:r w:rsidR="00AE3084" w:rsidRPr="003E3613">
        <w:rPr>
          <w:rFonts w:ascii="Book Antiqua" w:hAnsi="Book Antiqua" w:cs="Times New Roman"/>
          <w:sz w:val="23"/>
          <w:szCs w:val="23"/>
          <w:lang w:val="en-GB"/>
        </w:rPr>
        <w:t>y</w:t>
      </w:r>
      <w:r w:rsidRPr="003E3613">
        <w:rPr>
          <w:rFonts w:ascii="Book Antiqua" w:hAnsi="Book Antiqua" w:cs="Times New Roman"/>
          <w:sz w:val="23"/>
          <w:szCs w:val="23"/>
          <w:lang w:val="en-GB"/>
        </w:rPr>
        <w:t xml:space="preserve">ism and hate crimes are rooted in prejudices and stereotypes, and the majority of them are committed at the local level. </w:t>
      </w:r>
    </w:p>
    <w:p w14:paraId="3F202900" w14:textId="77777777" w:rsidR="002B7462" w:rsidRPr="003E3613" w:rsidRDefault="002B7462" w:rsidP="00204696">
      <w:pPr>
        <w:spacing w:after="0"/>
        <w:jc w:val="both"/>
        <w:rPr>
          <w:rFonts w:ascii="Book Antiqua" w:hAnsi="Book Antiqua" w:cs="Times New Roman"/>
          <w:sz w:val="23"/>
          <w:szCs w:val="23"/>
          <w:lang w:val="en-GB"/>
        </w:rPr>
      </w:pPr>
    </w:p>
    <w:p w14:paraId="778C0247" w14:textId="77777777" w:rsidR="00660031" w:rsidRDefault="00660031" w:rsidP="00204696">
      <w:pPr>
        <w:spacing w:after="0"/>
        <w:jc w:val="both"/>
        <w:rPr>
          <w:rFonts w:ascii="Book Antiqua" w:hAnsi="Book Antiqua" w:cs="Times New Roman"/>
          <w:sz w:val="23"/>
          <w:szCs w:val="23"/>
          <w:lang w:val="en-GB"/>
        </w:rPr>
      </w:pPr>
    </w:p>
    <w:p w14:paraId="4FD1CD26" w14:textId="367D1499" w:rsidR="009569D6" w:rsidRPr="003E3613" w:rsidRDefault="002B7462"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Our task is to change the attitude towards the Roma; our tools include legislation, such as strategies and various programmes that, either directly or indirectly, contribute to achieve this aim. Hungary’s Fundamental Law emphasises the importance of social inclusion making an explicit reference to this issue. It also stresses that the freedom of speech shall not be exercised if it infringes upon the dignity of the Hungarian nation or any other national, religious community or communities of ethnic or racial origin. The Hungarian National Social Inclusion Strategy dedicates a separate chapter to the phenomenon of discrimination, inclusion and </w:t>
      </w:r>
      <w:r w:rsidRPr="003E3613">
        <w:rPr>
          <w:rFonts w:ascii="Book Antiqua" w:hAnsi="Book Antiqua" w:cs="Times New Roman"/>
          <w:sz w:val="23"/>
          <w:szCs w:val="23"/>
          <w:lang w:val="en-GB"/>
        </w:rPr>
        <w:lastRenderedPageBreak/>
        <w:t>awareness raising. Accordingly, several measures have been taken in recent years to combat anti</w:t>
      </w:r>
      <w:r w:rsidR="00AE3084" w:rsidRPr="003E3613">
        <w:rPr>
          <w:rFonts w:ascii="Book Antiqua" w:hAnsi="Book Antiqua" w:cs="Times New Roman"/>
          <w:sz w:val="23"/>
          <w:szCs w:val="23"/>
          <w:lang w:val="en-GB"/>
        </w:rPr>
        <w:t>-G</w:t>
      </w:r>
      <w:r w:rsidRPr="003E3613">
        <w:rPr>
          <w:rFonts w:ascii="Book Antiqua" w:hAnsi="Book Antiqua" w:cs="Times New Roman"/>
          <w:sz w:val="23"/>
          <w:szCs w:val="23"/>
          <w:lang w:val="en-GB"/>
        </w:rPr>
        <w:t>yp</w:t>
      </w:r>
      <w:r w:rsidR="00522CE5" w:rsidRPr="003E3613">
        <w:rPr>
          <w:rFonts w:ascii="Book Antiqua" w:hAnsi="Book Antiqua" w:cs="Times New Roman"/>
          <w:sz w:val="23"/>
          <w:szCs w:val="23"/>
          <w:lang w:val="en-GB"/>
        </w:rPr>
        <w:t>s</w:t>
      </w:r>
      <w:r w:rsidR="00AE3084" w:rsidRPr="003E3613">
        <w:rPr>
          <w:rFonts w:ascii="Book Antiqua" w:hAnsi="Book Antiqua" w:cs="Times New Roman"/>
          <w:sz w:val="23"/>
          <w:szCs w:val="23"/>
          <w:lang w:val="en-GB"/>
        </w:rPr>
        <w:t>y</w:t>
      </w:r>
      <w:r w:rsidRPr="003E3613">
        <w:rPr>
          <w:rFonts w:ascii="Book Antiqua" w:hAnsi="Book Antiqua" w:cs="Times New Roman"/>
          <w:sz w:val="23"/>
          <w:szCs w:val="23"/>
          <w:lang w:val="en-GB"/>
        </w:rPr>
        <w:t>ism and incitement to hatred</w:t>
      </w:r>
      <w:r w:rsidR="009569D6" w:rsidRPr="003E3613">
        <w:rPr>
          <w:rFonts w:ascii="Book Antiqua" w:hAnsi="Book Antiqua" w:cs="Times New Roman"/>
          <w:sz w:val="23"/>
          <w:szCs w:val="23"/>
          <w:lang w:val="en-GB"/>
        </w:rPr>
        <w:t xml:space="preserve">. </w:t>
      </w:r>
    </w:p>
    <w:p w14:paraId="3EB81714" w14:textId="77777777" w:rsidR="009569D6" w:rsidRPr="003E3613" w:rsidRDefault="009569D6" w:rsidP="00204696">
      <w:pPr>
        <w:spacing w:after="0"/>
        <w:jc w:val="both"/>
        <w:rPr>
          <w:rFonts w:ascii="Book Antiqua" w:hAnsi="Book Antiqua"/>
          <w:sz w:val="23"/>
          <w:szCs w:val="23"/>
          <w:lang w:val="en-GB"/>
        </w:rPr>
      </w:pPr>
    </w:p>
    <w:p w14:paraId="375A1FCD" w14:textId="77777777" w:rsidR="00B14D4D" w:rsidRPr="003E3613" w:rsidRDefault="009569D6"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It </w:t>
      </w:r>
      <w:r w:rsidR="00B14D4D" w:rsidRPr="003E3613">
        <w:rPr>
          <w:rFonts w:ascii="Book Antiqua" w:hAnsi="Book Antiqua"/>
          <w:sz w:val="23"/>
          <w:szCs w:val="23"/>
          <w:lang w:val="en-GB"/>
        </w:rPr>
        <w:t xml:space="preserve">must </w:t>
      </w:r>
      <w:r w:rsidRPr="003E3613">
        <w:rPr>
          <w:rFonts w:ascii="Book Antiqua" w:hAnsi="Book Antiqua"/>
          <w:sz w:val="23"/>
          <w:szCs w:val="23"/>
          <w:lang w:val="en-GB"/>
        </w:rPr>
        <w:t xml:space="preserve">also </w:t>
      </w:r>
      <w:r w:rsidR="00B14D4D" w:rsidRPr="003E3613">
        <w:rPr>
          <w:rFonts w:ascii="Book Antiqua" w:hAnsi="Book Antiqua"/>
          <w:sz w:val="23"/>
          <w:szCs w:val="23"/>
          <w:lang w:val="en-GB"/>
        </w:rPr>
        <w:t>be pointed out that</w:t>
      </w:r>
      <w:r w:rsidR="00E22F1F" w:rsidRPr="003E3613">
        <w:rPr>
          <w:rFonts w:ascii="Book Antiqua" w:hAnsi="Book Antiqua"/>
          <w:sz w:val="23"/>
          <w:szCs w:val="23"/>
          <w:lang w:val="en-GB"/>
        </w:rPr>
        <w:t xml:space="preserve"> the</w:t>
      </w:r>
      <w:r w:rsidR="00B14D4D" w:rsidRPr="003E3613">
        <w:rPr>
          <w:rFonts w:ascii="Book Antiqua" w:hAnsi="Book Antiqua"/>
          <w:sz w:val="23"/>
          <w:szCs w:val="23"/>
          <w:lang w:val="en-GB"/>
        </w:rPr>
        <w:t xml:space="preserve"> </w:t>
      </w:r>
      <w:r w:rsidR="007B6A5C" w:rsidRPr="003E3613">
        <w:rPr>
          <w:rFonts w:ascii="Book Antiqua" w:hAnsi="Book Antiqua"/>
          <w:sz w:val="23"/>
          <w:szCs w:val="23"/>
          <w:lang w:val="en-GB"/>
        </w:rPr>
        <w:t xml:space="preserve">2003 </w:t>
      </w:r>
      <w:r w:rsidR="00B14D4D" w:rsidRPr="003E3613">
        <w:rPr>
          <w:rFonts w:ascii="Book Antiqua" w:hAnsi="Book Antiqua"/>
          <w:sz w:val="23"/>
          <w:szCs w:val="23"/>
          <w:lang w:val="en-GB"/>
        </w:rPr>
        <w:t xml:space="preserve">Act on Equal </w:t>
      </w:r>
      <w:r w:rsidR="007B6A5C" w:rsidRPr="003E3613">
        <w:rPr>
          <w:rFonts w:ascii="Book Antiqua" w:hAnsi="Book Antiqua"/>
          <w:sz w:val="23"/>
          <w:szCs w:val="23"/>
          <w:lang w:val="en-GB"/>
        </w:rPr>
        <w:t xml:space="preserve">Treatment </w:t>
      </w:r>
      <w:r w:rsidR="00B14D4D" w:rsidRPr="003E3613">
        <w:rPr>
          <w:rFonts w:ascii="Book Antiqua" w:hAnsi="Book Antiqua"/>
          <w:sz w:val="23"/>
          <w:szCs w:val="23"/>
          <w:lang w:val="en-GB"/>
        </w:rPr>
        <w:t xml:space="preserve">provides an even stronger protection than the Directive implementing the principle of equal treatment between persons irrespective of racial or ethnic origin, since it extends its rules to cover all grounds of discrimination. Probably the most important contribution to developing a non-discriminatory environment </w:t>
      </w:r>
      <w:r w:rsidR="00B4533F" w:rsidRPr="003E3613">
        <w:rPr>
          <w:rFonts w:ascii="Book Antiqua" w:hAnsi="Book Antiqua"/>
          <w:sz w:val="23"/>
          <w:szCs w:val="23"/>
          <w:lang w:val="en-GB"/>
        </w:rPr>
        <w:t xml:space="preserve">in </w:t>
      </w:r>
      <w:r w:rsidR="00B14D4D" w:rsidRPr="003E3613">
        <w:rPr>
          <w:rFonts w:ascii="Book Antiqua" w:hAnsi="Book Antiqua"/>
          <w:sz w:val="23"/>
          <w:szCs w:val="23"/>
          <w:lang w:val="en-GB"/>
        </w:rPr>
        <w:t>Hungary is that as from 1 July 2013, Hungarian local governments can only receive financial support from public finances or EU funds, if they have an appropriate</w:t>
      </w:r>
      <w:r w:rsidR="00761CAE" w:rsidRPr="003E3613">
        <w:rPr>
          <w:rFonts w:ascii="Book Antiqua" w:hAnsi="Book Antiqua"/>
          <w:sz w:val="23"/>
          <w:szCs w:val="23"/>
          <w:lang w:val="en-GB"/>
        </w:rPr>
        <w:t xml:space="preserve"> Local</w:t>
      </w:r>
      <w:r w:rsidR="00B14D4D" w:rsidRPr="003E3613">
        <w:rPr>
          <w:rFonts w:ascii="Book Antiqua" w:hAnsi="Book Antiqua"/>
          <w:sz w:val="23"/>
          <w:szCs w:val="23"/>
          <w:lang w:val="en-GB"/>
        </w:rPr>
        <w:t xml:space="preserve"> Equal Opportunit</w:t>
      </w:r>
      <w:r w:rsidR="00761CAE" w:rsidRPr="003E3613">
        <w:rPr>
          <w:rFonts w:ascii="Book Antiqua" w:hAnsi="Book Antiqua"/>
          <w:sz w:val="23"/>
          <w:szCs w:val="23"/>
          <w:lang w:val="en-GB"/>
        </w:rPr>
        <w:t>y</w:t>
      </w:r>
      <w:r w:rsidR="00B14D4D" w:rsidRPr="003E3613">
        <w:rPr>
          <w:rFonts w:ascii="Book Antiqua" w:hAnsi="Book Antiqua"/>
          <w:sz w:val="23"/>
          <w:szCs w:val="23"/>
          <w:lang w:val="en-GB"/>
        </w:rPr>
        <w:t xml:space="preserve"> Program</w:t>
      </w:r>
      <w:r w:rsidR="00761CAE" w:rsidRPr="003E3613">
        <w:rPr>
          <w:rFonts w:ascii="Book Antiqua" w:hAnsi="Book Antiqua"/>
          <w:sz w:val="23"/>
          <w:szCs w:val="23"/>
          <w:lang w:val="en-GB"/>
        </w:rPr>
        <w:t xml:space="preserve"> (HEP)</w:t>
      </w:r>
      <w:r w:rsidR="00B14D4D" w:rsidRPr="003E3613">
        <w:rPr>
          <w:rFonts w:ascii="Book Antiqua" w:hAnsi="Book Antiqua"/>
          <w:sz w:val="23"/>
          <w:szCs w:val="23"/>
          <w:lang w:val="en-GB"/>
        </w:rPr>
        <w:t xml:space="preserve"> in effect.</w:t>
      </w:r>
    </w:p>
    <w:p w14:paraId="1782C488" w14:textId="77777777" w:rsidR="007A1595" w:rsidRPr="003E3613" w:rsidRDefault="007A1595" w:rsidP="00204696">
      <w:pPr>
        <w:spacing w:after="0"/>
        <w:jc w:val="both"/>
        <w:rPr>
          <w:rFonts w:ascii="Book Antiqua" w:hAnsi="Book Antiqua"/>
          <w:sz w:val="23"/>
          <w:szCs w:val="23"/>
          <w:lang w:val="en-GB"/>
        </w:rPr>
      </w:pPr>
    </w:p>
    <w:p w14:paraId="0EBA4CB5" w14:textId="77777777" w:rsidR="00E60447" w:rsidRPr="003E3613" w:rsidRDefault="00B14D4D" w:rsidP="00204696">
      <w:pPr>
        <w:spacing w:after="0"/>
        <w:jc w:val="both"/>
        <w:rPr>
          <w:rFonts w:ascii="Book Antiqua" w:hAnsi="Book Antiqua" w:cs="Times New Roman"/>
          <w:sz w:val="23"/>
          <w:szCs w:val="23"/>
          <w:lang w:val="en-GB"/>
        </w:rPr>
      </w:pPr>
      <w:r w:rsidRPr="003E3613">
        <w:rPr>
          <w:rFonts w:ascii="Book Antiqua" w:hAnsi="Book Antiqua"/>
          <w:sz w:val="23"/>
          <w:szCs w:val="23"/>
          <w:lang w:val="en-GB"/>
        </w:rPr>
        <w:t xml:space="preserve">As far as paramilitary marches </w:t>
      </w:r>
      <w:r w:rsidR="00E60447" w:rsidRPr="003E3613">
        <w:rPr>
          <w:rFonts w:ascii="Book Antiqua" w:hAnsi="Book Antiqua" w:cs="Times New Roman"/>
          <w:sz w:val="23"/>
          <w:szCs w:val="23"/>
          <w:lang w:val="en-GB"/>
        </w:rPr>
        <w:t xml:space="preserve">and far-right organisations </w:t>
      </w:r>
      <w:r w:rsidRPr="003E3613">
        <w:rPr>
          <w:rFonts w:ascii="Book Antiqua" w:hAnsi="Book Antiqua"/>
          <w:sz w:val="23"/>
          <w:szCs w:val="23"/>
          <w:lang w:val="en-GB"/>
        </w:rPr>
        <w:t xml:space="preserve">are concerned, </w:t>
      </w:r>
      <w:r w:rsidR="00EA0CC3" w:rsidRPr="003E3613">
        <w:rPr>
          <w:rFonts w:ascii="Book Antiqua" w:hAnsi="Book Antiqua"/>
          <w:sz w:val="23"/>
          <w:szCs w:val="23"/>
          <w:lang w:val="en-GB"/>
        </w:rPr>
        <w:t xml:space="preserve">the </w:t>
      </w:r>
      <w:r w:rsidRPr="003E3613">
        <w:rPr>
          <w:rFonts w:ascii="Book Antiqua" w:hAnsi="Book Antiqua"/>
          <w:sz w:val="23"/>
          <w:szCs w:val="23"/>
          <w:lang w:val="en-GB"/>
        </w:rPr>
        <w:t>Hungarian Government initiated the amendment of</w:t>
      </w:r>
      <w:r w:rsidR="00615BFA" w:rsidRPr="003E3613">
        <w:rPr>
          <w:rFonts w:ascii="Book Antiqua" w:hAnsi="Book Antiqua"/>
          <w:sz w:val="23"/>
          <w:szCs w:val="23"/>
          <w:lang w:val="en-GB"/>
        </w:rPr>
        <w:t xml:space="preserve"> the </w:t>
      </w:r>
      <w:r w:rsidR="00B4533F" w:rsidRPr="003E3613">
        <w:rPr>
          <w:rFonts w:ascii="Book Antiqua" w:hAnsi="Book Antiqua"/>
          <w:sz w:val="23"/>
          <w:szCs w:val="23"/>
          <w:lang w:val="en-GB"/>
        </w:rPr>
        <w:t xml:space="preserve">Criminal </w:t>
      </w:r>
      <w:r w:rsidR="00615BFA" w:rsidRPr="003E3613">
        <w:rPr>
          <w:rFonts w:ascii="Book Antiqua" w:hAnsi="Book Antiqua"/>
          <w:sz w:val="23"/>
          <w:szCs w:val="23"/>
          <w:lang w:val="en-GB"/>
        </w:rPr>
        <w:t>Code in</w:t>
      </w:r>
      <w:r w:rsidR="00D10473" w:rsidRPr="003E3613">
        <w:rPr>
          <w:rFonts w:ascii="Book Antiqua" w:hAnsi="Book Antiqua"/>
          <w:sz w:val="23"/>
          <w:szCs w:val="23"/>
          <w:lang w:val="en-GB"/>
        </w:rPr>
        <w:t xml:space="preserve"> 2011 in</w:t>
      </w:r>
      <w:r w:rsidR="00615BFA" w:rsidRPr="003E3613">
        <w:rPr>
          <w:rFonts w:ascii="Book Antiqua" w:hAnsi="Book Antiqua"/>
          <w:sz w:val="23"/>
          <w:szCs w:val="23"/>
          <w:lang w:val="en-GB"/>
        </w:rPr>
        <w:t xml:space="preserve"> order to prevent campaigns of extreme right paramilitary groups, by introducing the so called</w:t>
      </w:r>
      <w:r w:rsidR="00E60447" w:rsidRPr="003E3613">
        <w:rPr>
          <w:rFonts w:ascii="Book Antiqua" w:hAnsi="Book Antiqua"/>
          <w:sz w:val="23"/>
          <w:szCs w:val="23"/>
          <w:lang w:val="en-GB"/>
        </w:rPr>
        <w:t xml:space="preserve"> </w:t>
      </w:r>
      <w:r w:rsidR="00E60447" w:rsidRPr="003E3613">
        <w:rPr>
          <w:rFonts w:ascii="Book Antiqua" w:hAnsi="Book Antiqua" w:cs="Times New Roman"/>
          <w:sz w:val="23"/>
          <w:szCs w:val="23"/>
          <w:lang w:val="en-GB"/>
        </w:rPr>
        <w:t>criminal offence ‘</w:t>
      </w:r>
      <w:r w:rsidR="00E60447" w:rsidRPr="003E3613">
        <w:rPr>
          <w:rFonts w:ascii="Book Antiqua" w:hAnsi="Book Antiqua" w:cs="Times New Roman"/>
          <w:bCs/>
          <w:sz w:val="23"/>
          <w:szCs w:val="23"/>
          <w:lang w:val="en-GB"/>
        </w:rPr>
        <w:t>Unlawful Organi</w:t>
      </w:r>
      <w:r w:rsidR="00050EAA" w:rsidRPr="003E3613">
        <w:rPr>
          <w:rFonts w:ascii="Book Antiqua" w:hAnsi="Book Antiqua" w:cs="Times New Roman"/>
          <w:bCs/>
          <w:sz w:val="23"/>
          <w:szCs w:val="23"/>
          <w:lang w:val="en-GB"/>
        </w:rPr>
        <w:t>s</w:t>
      </w:r>
      <w:r w:rsidR="00E60447" w:rsidRPr="003E3613">
        <w:rPr>
          <w:rFonts w:ascii="Book Antiqua" w:hAnsi="Book Antiqua" w:cs="Times New Roman"/>
          <w:bCs/>
          <w:sz w:val="23"/>
          <w:szCs w:val="23"/>
          <w:lang w:val="en-GB"/>
        </w:rPr>
        <w:t>ation of Public Safety Activities</w:t>
      </w:r>
      <w:r w:rsidR="00E60447" w:rsidRPr="003E3613">
        <w:rPr>
          <w:rFonts w:ascii="Book Antiqua" w:hAnsi="Book Antiqua" w:cs="Times New Roman"/>
          <w:sz w:val="23"/>
          <w:szCs w:val="23"/>
          <w:lang w:val="en-GB"/>
        </w:rPr>
        <w:t xml:space="preserve">’. </w:t>
      </w:r>
      <w:r w:rsidR="00E60447" w:rsidRPr="003E3613">
        <w:rPr>
          <w:rFonts w:ascii="Book Antiqua" w:hAnsi="Book Antiqua" w:cs="Times New Roman"/>
          <w:bCs/>
          <w:sz w:val="23"/>
          <w:szCs w:val="23"/>
          <w:lang w:val="en-GB"/>
        </w:rPr>
        <w:t>Organi</w:t>
      </w:r>
      <w:r w:rsidR="00050EAA" w:rsidRPr="003E3613">
        <w:rPr>
          <w:rFonts w:ascii="Book Antiqua" w:hAnsi="Book Antiqua" w:cs="Times New Roman"/>
          <w:bCs/>
          <w:sz w:val="23"/>
          <w:szCs w:val="23"/>
          <w:lang w:val="en-GB"/>
        </w:rPr>
        <w:t>s</w:t>
      </w:r>
      <w:r w:rsidR="00E60447" w:rsidRPr="003E3613">
        <w:rPr>
          <w:rFonts w:ascii="Book Antiqua" w:hAnsi="Book Antiqua" w:cs="Times New Roman"/>
          <w:bCs/>
          <w:sz w:val="23"/>
          <w:szCs w:val="23"/>
          <w:lang w:val="en-GB"/>
        </w:rPr>
        <w:t>ing an activity aimed at maintaining public safety and law and order can become unlawful if it is done without being authori</w:t>
      </w:r>
      <w:r w:rsidR="00050EAA" w:rsidRPr="003E3613">
        <w:rPr>
          <w:rFonts w:ascii="Book Antiqua" w:hAnsi="Book Antiqua" w:cs="Times New Roman"/>
          <w:bCs/>
          <w:sz w:val="23"/>
          <w:szCs w:val="23"/>
          <w:lang w:val="en-GB"/>
        </w:rPr>
        <w:t>s</w:t>
      </w:r>
      <w:r w:rsidR="00E60447" w:rsidRPr="003E3613">
        <w:rPr>
          <w:rFonts w:ascii="Book Antiqua" w:hAnsi="Book Antiqua" w:cs="Times New Roman"/>
          <w:bCs/>
          <w:sz w:val="23"/>
          <w:szCs w:val="23"/>
          <w:lang w:val="en-GB"/>
        </w:rPr>
        <w:t>ed by law to do so or aiming at making the impression of maintaining public safety and law and order</w:t>
      </w:r>
      <w:r w:rsidR="00615BFA" w:rsidRPr="003E3613">
        <w:rPr>
          <w:rFonts w:ascii="Book Antiqua" w:hAnsi="Book Antiqua"/>
          <w:sz w:val="23"/>
          <w:szCs w:val="23"/>
          <w:lang w:val="en-GB"/>
        </w:rPr>
        <w:t xml:space="preserve">. The amendment </w:t>
      </w:r>
      <w:r w:rsidR="00E60447" w:rsidRPr="003E3613">
        <w:rPr>
          <w:rFonts w:ascii="Book Antiqua" w:hAnsi="Book Antiqua" w:cs="Times New Roman"/>
          <w:sz w:val="23"/>
          <w:szCs w:val="23"/>
          <w:lang w:val="en-GB"/>
        </w:rPr>
        <w:t>also established a new sentence within the criminal offence of Violence Against a Member of the Community, as a result, it criminalises displaying conspicuously anti-social conduct, whereas the crime can even be establsihed, if the target of the action is an object (e.g. a vehicle parking on the street), and the action is only capable of resulting in alarm in the members of the offended group</w:t>
      </w:r>
      <w:r w:rsidR="00615BFA" w:rsidRPr="003E3613">
        <w:rPr>
          <w:rFonts w:ascii="Book Antiqua" w:hAnsi="Book Antiqua"/>
          <w:sz w:val="23"/>
          <w:szCs w:val="23"/>
          <w:lang w:val="en-GB"/>
        </w:rPr>
        <w:t>.</w:t>
      </w:r>
      <w:r w:rsidR="00E60447" w:rsidRPr="003E3613">
        <w:rPr>
          <w:rFonts w:ascii="Book Antiqua" w:hAnsi="Book Antiqua"/>
          <w:sz w:val="23"/>
          <w:szCs w:val="23"/>
          <w:lang w:val="en-GB"/>
        </w:rPr>
        <w:t xml:space="preserve"> </w:t>
      </w:r>
      <w:r w:rsidR="00E60447" w:rsidRPr="003E3613">
        <w:rPr>
          <w:rFonts w:ascii="Book Antiqua" w:hAnsi="Book Antiqua" w:cs="Times New Roman"/>
          <w:sz w:val="23"/>
          <w:szCs w:val="23"/>
          <w:lang w:val="en-GB"/>
        </w:rPr>
        <w:t xml:space="preserve">The Criminal Code also </w:t>
      </w:r>
      <w:r w:rsidR="00EC7C36" w:rsidRPr="003E3613">
        <w:rPr>
          <w:rFonts w:ascii="Book Antiqua" w:hAnsi="Book Antiqua" w:cs="Times New Roman"/>
          <w:sz w:val="23"/>
          <w:szCs w:val="23"/>
          <w:lang w:val="en-GB"/>
        </w:rPr>
        <w:t xml:space="preserve">includes a criminal offence </w:t>
      </w:r>
      <w:r w:rsidR="00E60447" w:rsidRPr="003E3613">
        <w:rPr>
          <w:rFonts w:ascii="Book Antiqua" w:hAnsi="Book Antiqua" w:cs="Times New Roman"/>
          <w:sz w:val="23"/>
          <w:szCs w:val="23"/>
          <w:lang w:val="en-GB"/>
        </w:rPr>
        <w:t>on the abuse of the right of association</w:t>
      </w:r>
      <w:r w:rsidR="00EC7C36" w:rsidRPr="003E3613">
        <w:rPr>
          <w:rFonts w:ascii="Book Antiqua" w:hAnsi="Book Antiqua" w:cs="Times New Roman"/>
          <w:sz w:val="23"/>
          <w:szCs w:val="23"/>
          <w:lang w:val="en-GB"/>
        </w:rPr>
        <w:t xml:space="preserve"> (Section 351)</w:t>
      </w:r>
      <w:r w:rsidR="00E60447" w:rsidRPr="003E3613">
        <w:rPr>
          <w:rFonts w:ascii="Book Antiqua" w:hAnsi="Book Antiqua" w:cs="Times New Roman"/>
          <w:sz w:val="23"/>
          <w:szCs w:val="23"/>
          <w:lang w:val="en-GB"/>
        </w:rPr>
        <w:t>, which renders punishable</w:t>
      </w:r>
      <w:r w:rsidR="00050EAA" w:rsidRPr="003E3613">
        <w:rPr>
          <w:rFonts w:ascii="Book Antiqua" w:hAnsi="Book Antiqua" w:cs="Times New Roman"/>
          <w:sz w:val="23"/>
          <w:szCs w:val="23"/>
          <w:lang w:val="en-GB"/>
        </w:rPr>
        <w:t>:</w:t>
      </w:r>
      <w:r w:rsidR="00E60447" w:rsidRPr="003E3613">
        <w:rPr>
          <w:rFonts w:ascii="Book Antiqua" w:hAnsi="Book Antiqua" w:cs="Times New Roman"/>
          <w:sz w:val="23"/>
          <w:szCs w:val="23"/>
          <w:lang w:val="en-GB"/>
        </w:rPr>
        <w:t xml:space="preserve"> </w:t>
      </w:r>
    </w:p>
    <w:p w14:paraId="1C1D712E" w14:textId="77777777" w:rsidR="00E60447" w:rsidRPr="003E3613" w:rsidRDefault="00E60447"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a) the participation in the leadership, and </w:t>
      </w:r>
    </w:p>
    <w:p w14:paraId="308BB8BF" w14:textId="77777777" w:rsidR="00E60447" w:rsidRPr="003E3613" w:rsidRDefault="00E60447"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b) the participation in a manner capable of disturbing public peace </w:t>
      </w:r>
    </w:p>
    <w:p w14:paraId="7B3B325A" w14:textId="77777777" w:rsidR="00E60447" w:rsidRPr="003E3613" w:rsidRDefault="00E60447"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in an association that has been dissolved by the court. Furthermore it is also punishable to provide the conditions necessary for or facilitating the operation of such an association.</w:t>
      </w:r>
    </w:p>
    <w:p w14:paraId="2552BA9D" w14:textId="77777777" w:rsidR="00815A80" w:rsidRPr="003E3613" w:rsidRDefault="00815A80" w:rsidP="00204696">
      <w:pPr>
        <w:spacing w:after="0"/>
        <w:jc w:val="both"/>
        <w:rPr>
          <w:rFonts w:ascii="Book Antiqua" w:hAnsi="Book Antiqua"/>
          <w:sz w:val="23"/>
          <w:szCs w:val="23"/>
          <w:lang w:val="en-GB"/>
        </w:rPr>
      </w:pPr>
    </w:p>
    <w:p w14:paraId="55E8D497" w14:textId="77777777" w:rsidR="00660031" w:rsidRDefault="00815A80" w:rsidP="00204696">
      <w:pPr>
        <w:spacing w:after="0"/>
        <w:jc w:val="both"/>
        <w:rPr>
          <w:rFonts w:ascii="Book Antiqua" w:hAnsi="Book Antiqua"/>
          <w:sz w:val="23"/>
          <w:szCs w:val="23"/>
          <w:lang w:val="en-GB"/>
        </w:rPr>
      </w:pPr>
      <w:r w:rsidRPr="003E3613">
        <w:rPr>
          <w:rFonts w:ascii="Book Antiqua" w:hAnsi="Book Antiqua"/>
          <w:sz w:val="23"/>
          <w:szCs w:val="23"/>
          <w:lang w:val="en-GB"/>
        </w:rPr>
        <w:t>Under the Socialist governments, a series of murders of Roma were committed in Hungary. The ‘Hungarian Guard’</w:t>
      </w:r>
      <w:r w:rsidR="001C73C8" w:rsidRPr="003E3613">
        <w:rPr>
          <w:rFonts w:ascii="Book Antiqua" w:hAnsi="Book Antiqua"/>
          <w:sz w:val="23"/>
          <w:szCs w:val="23"/>
          <w:lang w:val="en-GB"/>
        </w:rPr>
        <w:t>, a far right paramilitary formation,</w:t>
      </w:r>
      <w:r w:rsidRPr="003E3613">
        <w:rPr>
          <w:rFonts w:ascii="Book Antiqua" w:hAnsi="Book Antiqua"/>
          <w:sz w:val="23"/>
          <w:szCs w:val="23"/>
          <w:lang w:val="en-GB"/>
        </w:rPr>
        <w:t xml:space="preserve"> held marches, thus the European and Hungarian Roma were frightened. </w:t>
      </w:r>
      <w:r w:rsidR="007A37DB" w:rsidRPr="003E3613">
        <w:rPr>
          <w:rFonts w:ascii="Book Antiqua" w:hAnsi="Book Antiqua"/>
          <w:sz w:val="23"/>
          <w:szCs w:val="23"/>
          <w:lang w:val="en-GB"/>
        </w:rPr>
        <w:t>T</w:t>
      </w:r>
      <w:r w:rsidRPr="003E3613">
        <w:rPr>
          <w:rFonts w:ascii="Book Antiqua" w:hAnsi="Book Antiqua"/>
          <w:sz w:val="23"/>
          <w:szCs w:val="23"/>
          <w:lang w:val="en-GB"/>
        </w:rPr>
        <w:t>h</w:t>
      </w:r>
      <w:r w:rsidR="00C46340" w:rsidRPr="003E3613">
        <w:rPr>
          <w:rFonts w:ascii="Book Antiqua" w:hAnsi="Book Antiqua"/>
          <w:sz w:val="23"/>
          <w:szCs w:val="23"/>
          <w:lang w:val="en-GB"/>
        </w:rPr>
        <w:t xml:space="preserve">e current </w:t>
      </w:r>
      <w:r w:rsidRPr="003E3613">
        <w:rPr>
          <w:rFonts w:ascii="Book Antiqua" w:hAnsi="Book Antiqua"/>
          <w:sz w:val="23"/>
          <w:szCs w:val="23"/>
          <w:lang w:val="en-GB"/>
        </w:rPr>
        <w:t xml:space="preserve">Government made it </w:t>
      </w:r>
    </w:p>
    <w:p w14:paraId="43BAB352" w14:textId="77777777" w:rsidR="00660031" w:rsidRDefault="00660031">
      <w:pPr>
        <w:rPr>
          <w:rFonts w:ascii="Book Antiqua" w:hAnsi="Book Antiqua"/>
          <w:sz w:val="23"/>
          <w:szCs w:val="23"/>
          <w:lang w:val="en-GB"/>
        </w:rPr>
      </w:pPr>
      <w:r>
        <w:rPr>
          <w:rFonts w:ascii="Book Antiqua" w:hAnsi="Book Antiqua"/>
          <w:sz w:val="23"/>
          <w:szCs w:val="23"/>
          <w:lang w:val="en-GB"/>
        </w:rPr>
        <w:br w:type="page"/>
      </w:r>
    </w:p>
    <w:p w14:paraId="71CDCDEF" w14:textId="60309B17" w:rsidR="003963DD" w:rsidRPr="003E3613" w:rsidRDefault="00815A80"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 xml:space="preserve">possible for the Roma to change their houses from Roma settlements to houses with gardens with the help of the 10 million HUF support </w:t>
      </w:r>
      <w:r w:rsidR="00F920A3" w:rsidRPr="003E3613">
        <w:rPr>
          <w:rFonts w:ascii="Book Antiqua" w:hAnsi="Book Antiqua"/>
          <w:sz w:val="23"/>
          <w:szCs w:val="23"/>
          <w:lang w:val="en-GB"/>
        </w:rPr>
        <w:t xml:space="preserve">per family </w:t>
      </w:r>
      <w:r w:rsidRPr="003E3613">
        <w:rPr>
          <w:rFonts w:ascii="Book Antiqua" w:hAnsi="Book Antiqua"/>
          <w:sz w:val="23"/>
          <w:szCs w:val="23"/>
          <w:lang w:val="en-GB"/>
        </w:rPr>
        <w:t xml:space="preserve">of the Family Housing Support Program (CSOK). </w:t>
      </w:r>
      <w:r w:rsidR="003963DD" w:rsidRPr="003E3613">
        <w:rPr>
          <w:rFonts w:ascii="Book Antiqua" w:hAnsi="Book Antiqua"/>
          <w:sz w:val="23"/>
          <w:szCs w:val="23"/>
          <w:lang w:val="en-GB"/>
        </w:rPr>
        <w:t xml:space="preserve">The average number of those working in public employment programmes in 2018 were 135 600 persons, of which 20% (27 120 persons) were estimated to be of Roma origin. </w:t>
      </w:r>
    </w:p>
    <w:p w14:paraId="7F622CCD" w14:textId="77777777" w:rsidR="00225A7A" w:rsidRPr="003E3613" w:rsidRDefault="00225A7A" w:rsidP="00204696">
      <w:pPr>
        <w:spacing w:after="0"/>
        <w:jc w:val="both"/>
        <w:rPr>
          <w:rFonts w:ascii="Book Antiqua" w:hAnsi="Book Antiqua"/>
          <w:sz w:val="23"/>
          <w:szCs w:val="23"/>
          <w:lang w:val="en-GB"/>
        </w:rPr>
      </w:pPr>
    </w:p>
    <w:p w14:paraId="745DB2B9" w14:textId="77777777" w:rsidR="00815A80" w:rsidRPr="003E3613" w:rsidRDefault="00815A80"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w:t>
      </w:r>
      <w:r w:rsidR="008C62D1" w:rsidRPr="003E3613">
        <w:rPr>
          <w:rFonts w:ascii="Book Antiqua" w:hAnsi="Book Antiqua"/>
          <w:sz w:val="23"/>
          <w:szCs w:val="23"/>
          <w:lang w:val="en-GB"/>
        </w:rPr>
        <w:t>governing party FIDESZ was</w:t>
      </w:r>
      <w:r w:rsidRPr="003E3613">
        <w:rPr>
          <w:rFonts w:ascii="Book Antiqua" w:hAnsi="Book Antiqua"/>
          <w:sz w:val="23"/>
          <w:szCs w:val="23"/>
          <w:lang w:val="en-GB"/>
        </w:rPr>
        <w:t xml:space="preserve"> the first to send a Romani woman to the European Parliament: Lívia Járóka, who </w:t>
      </w:r>
      <w:r w:rsidR="00760915" w:rsidRPr="003E3613">
        <w:rPr>
          <w:rFonts w:ascii="Book Antiqua" w:hAnsi="Book Antiqua"/>
          <w:sz w:val="23"/>
          <w:szCs w:val="23"/>
          <w:lang w:val="en-GB"/>
        </w:rPr>
        <w:t>held</w:t>
      </w:r>
      <w:r w:rsidRPr="003E3613">
        <w:rPr>
          <w:rFonts w:ascii="Book Antiqua" w:hAnsi="Book Antiqua"/>
          <w:sz w:val="23"/>
          <w:szCs w:val="23"/>
          <w:lang w:val="en-GB"/>
        </w:rPr>
        <w:t xml:space="preserve"> the office of the Vice-President of the European Parliament</w:t>
      </w:r>
      <w:r w:rsidR="00760915" w:rsidRPr="003E3613">
        <w:rPr>
          <w:rFonts w:ascii="Book Antiqua" w:hAnsi="Book Antiqua"/>
          <w:sz w:val="23"/>
          <w:szCs w:val="23"/>
          <w:lang w:val="en-GB"/>
        </w:rPr>
        <w:t xml:space="preserve"> between November 2017 and May 2019</w:t>
      </w:r>
      <w:r w:rsidR="00FB0F96" w:rsidRPr="003E3613">
        <w:rPr>
          <w:rFonts w:ascii="Book Antiqua" w:hAnsi="Book Antiqua"/>
          <w:sz w:val="23"/>
          <w:szCs w:val="23"/>
          <w:lang w:val="en-GB"/>
        </w:rPr>
        <w:t xml:space="preserve"> and has been re-elected as Vice-President in July 2019</w:t>
      </w:r>
      <w:r w:rsidRPr="003E3613">
        <w:rPr>
          <w:rFonts w:ascii="Book Antiqua" w:hAnsi="Book Antiqua"/>
          <w:sz w:val="23"/>
          <w:szCs w:val="23"/>
          <w:lang w:val="en-GB"/>
        </w:rPr>
        <w:t xml:space="preserve">. Moreover, due to her efforts and the merit of Hungary, the </w:t>
      </w:r>
      <w:r w:rsidR="00E84FFC" w:rsidRPr="003E3613">
        <w:rPr>
          <w:rFonts w:ascii="Book Antiqua" w:hAnsi="Book Antiqua"/>
          <w:sz w:val="23"/>
          <w:szCs w:val="23"/>
          <w:lang w:val="en-GB"/>
        </w:rPr>
        <w:t>EU Framework for National</w:t>
      </w:r>
      <w:r w:rsidRPr="003E3613">
        <w:rPr>
          <w:rFonts w:ascii="Book Antiqua" w:hAnsi="Book Antiqua"/>
          <w:sz w:val="23"/>
          <w:szCs w:val="23"/>
          <w:lang w:val="en-GB"/>
        </w:rPr>
        <w:t xml:space="preserve"> Roma</w:t>
      </w:r>
      <w:r w:rsidR="00152E08" w:rsidRPr="003E3613">
        <w:rPr>
          <w:rFonts w:ascii="Book Antiqua" w:hAnsi="Book Antiqua"/>
          <w:sz w:val="23"/>
          <w:szCs w:val="23"/>
          <w:lang w:val="en-GB"/>
        </w:rPr>
        <w:t xml:space="preserve"> Integration</w:t>
      </w:r>
      <w:r w:rsidRPr="003E3613">
        <w:rPr>
          <w:rFonts w:ascii="Book Antiqua" w:hAnsi="Book Antiqua"/>
          <w:sz w:val="23"/>
          <w:szCs w:val="23"/>
          <w:lang w:val="en-GB"/>
        </w:rPr>
        <w:t xml:space="preserve"> Strateg</w:t>
      </w:r>
      <w:r w:rsidR="00152E08" w:rsidRPr="003E3613">
        <w:rPr>
          <w:rFonts w:ascii="Book Antiqua" w:hAnsi="Book Antiqua"/>
          <w:sz w:val="23"/>
          <w:szCs w:val="23"/>
          <w:lang w:val="en-GB"/>
        </w:rPr>
        <w:t>ies up to 2020 (hereafter EU Roma Framework)</w:t>
      </w:r>
      <w:r w:rsidRPr="003E3613">
        <w:rPr>
          <w:rFonts w:ascii="Book Antiqua" w:hAnsi="Book Antiqua"/>
          <w:sz w:val="23"/>
          <w:szCs w:val="23"/>
          <w:lang w:val="en-GB"/>
        </w:rPr>
        <w:t xml:space="preserve"> was </w:t>
      </w:r>
      <w:r w:rsidR="004032F2" w:rsidRPr="003E3613">
        <w:rPr>
          <w:rFonts w:ascii="Book Antiqua" w:hAnsi="Book Antiqua"/>
          <w:sz w:val="23"/>
          <w:szCs w:val="23"/>
          <w:lang w:val="en-GB"/>
        </w:rPr>
        <w:t xml:space="preserve">approved by </w:t>
      </w:r>
      <w:r w:rsidRPr="003E3613">
        <w:rPr>
          <w:rFonts w:ascii="Book Antiqua" w:hAnsi="Book Antiqua"/>
          <w:sz w:val="23"/>
          <w:szCs w:val="23"/>
          <w:lang w:val="en-GB"/>
        </w:rPr>
        <w:t>the Council, which triggered an exemplary and unprecedented inclusion program for the Roma</w:t>
      </w:r>
      <w:r w:rsidR="00B4533F" w:rsidRPr="003E3613">
        <w:rPr>
          <w:rFonts w:ascii="Book Antiqua" w:hAnsi="Book Antiqua"/>
          <w:sz w:val="23"/>
          <w:szCs w:val="23"/>
          <w:lang w:val="en-GB"/>
        </w:rPr>
        <w:t xml:space="preserve"> on the European level</w:t>
      </w:r>
      <w:r w:rsidRPr="003E3613">
        <w:rPr>
          <w:rFonts w:ascii="Book Antiqua" w:hAnsi="Book Antiqua"/>
          <w:sz w:val="23"/>
          <w:szCs w:val="23"/>
          <w:lang w:val="en-GB"/>
        </w:rPr>
        <w:t xml:space="preserve">. </w:t>
      </w:r>
    </w:p>
    <w:p w14:paraId="499E65F5" w14:textId="77777777" w:rsidR="008F74C4" w:rsidRPr="003E3613" w:rsidRDefault="008F74C4" w:rsidP="00204696">
      <w:pPr>
        <w:spacing w:after="0"/>
        <w:jc w:val="both"/>
        <w:rPr>
          <w:rFonts w:ascii="Book Antiqua" w:hAnsi="Book Antiqua"/>
          <w:sz w:val="23"/>
          <w:szCs w:val="23"/>
          <w:lang w:val="en-GB"/>
        </w:rPr>
      </w:pPr>
    </w:p>
    <w:p w14:paraId="5CBA407E" w14:textId="77777777" w:rsidR="00494B99" w:rsidRPr="003E3613" w:rsidRDefault="00494B99"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The Criminal Code </w:t>
      </w:r>
      <w:r w:rsidR="00DF0A24" w:rsidRPr="003E3613">
        <w:rPr>
          <w:rFonts w:ascii="Book Antiqua" w:hAnsi="Book Antiqua" w:cs="Times New Roman"/>
          <w:sz w:val="23"/>
          <w:szCs w:val="23"/>
          <w:lang w:val="en-GB"/>
        </w:rPr>
        <w:t xml:space="preserve">(Act C of 2012) </w:t>
      </w:r>
      <w:r w:rsidRPr="003E3613">
        <w:rPr>
          <w:rFonts w:ascii="Book Antiqua" w:hAnsi="Book Antiqua" w:cs="Times New Roman"/>
          <w:sz w:val="23"/>
          <w:szCs w:val="23"/>
          <w:lang w:val="en-GB"/>
        </w:rPr>
        <w:t xml:space="preserve">introduced </w:t>
      </w:r>
      <w:r w:rsidR="00647C7F" w:rsidRPr="003E3613">
        <w:rPr>
          <w:rFonts w:ascii="Book Antiqua" w:hAnsi="Book Antiqua" w:cs="Times New Roman"/>
          <w:sz w:val="23"/>
          <w:szCs w:val="23"/>
          <w:lang w:val="en-GB"/>
        </w:rPr>
        <w:t>further</w:t>
      </w:r>
      <w:r w:rsidRPr="003E3613">
        <w:rPr>
          <w:rFonts w:ascii="Book Antiqua" w:hAnsi="Book Antiqua" w:cs="Times New Roman"/>
          <w:sz w:val="23"/>
          <w:szCs w:val="23"/>
          <w:lang w:val="en-GB"/>
        </w:rPr>
        <w:t xml:space="preserve"> elements regarding hate crimes, resulting in a stricter regulation as before. This includes for example that</w:t>
      </w:r>
      <w:r w:rsidR="0086189D" w:rsidRPr="003E3613">
        <w:rPr>
          <w:rFonts w:ascii="Book Antiqua" w:hAnsi="Book Antiqua" w:cs="Times New Roman"/>
          <w:sz w:val="23"/>
          <w:szCs w:val="23"/>
          <w:lang w:val="en-GB"/>
        </w:rPr>
        <w:t xml:space="preserve"> since 2016, the criminal offence of</w:t>
      </w:r>
      <w:r w:rsidRPr="003E3613">
        <w:rPr>
          <w:rFonts w:ascii="Book Antiqua" w:hAnsi="Book Antiqua" w:cs="Times New Roman"/>
          <w:sz w:val="23"/>
          <w:szCs w:val="23"/>
          <w:lang w:val="en-GB"/>
        </w:rPr>
        <w:t xml:space="preserve"> Incitement against a Community </w:t>
      </w:r>
      <w:r w:rsidRPr="003E3613">
        <w:rPr>
          <w:rFonts w:ascii="Book Antiqua" w:hAnsi="Book Antiqua" w:cs="Times New Roman"/>
          <w:i/>
          <w:sz w:val="23"/>
          <w:szCs w:val="23"/>
          <w:lang w:val="en-GB"/>
        </w:rPr>
        <w:t>expressis verbis</w:t>
      </w:r>
      <w:r w:rsidRPr="003E3613">
        <w:rPr>
          <w:rFonts w:ascii="Book Antiqua" w:hAnsi="Book Antiqua" w:cs="Times New Roman"/>
          <w:sz w:val="23"/>
          <w:szCs w:val="23"/>
          <w:lang w:val="en-GB"/>
        </w:rPr>
        <w:t xml:space="preserve"> includes</w:t>
      </w:r>
      <w:r w:rsidR="0086189D" w:rsidRPr="003E3613">
        <w:rPr>
          <w:rFonts w:ascii="Book Antiqua" w:hAnsi="Book Antiqua" w:cs="Times New Roman"/>
          <w:sz w:val="23"/>
          <w:szCs w:val="23"/>
          <w:lang w:val="en-GB"/>
        </w:rPr>
        <w:t xml:space="preserve"> that both incitement to hatred and incitement to violence are punishable</w:t>
      </w:r>
      <w:r w:rsidRPr="003E3613">
        <w:rPr>
          <w:rFonts w:ascii="Book Antiqua" w:hAnsi="Book Antiqua" w:cs="Times New Roman"/>
          <w:sz w:val="23"/>
          <w:szCs w:val="23"/>
          <w:lang w:val="en-GB"/>
        </w:rPr>
        <w:t xml:space="preserve">, moreover, it includes not only certain group of populations as targets, but mentions members of the given groups as well. </w:t>
      </w:r>
    </w:p>
    <w:p w14:paraId="70490F77" w14:textId="77777777" w:rsidR="008C62D1" w:rsidRPr="003E3613" w:rsidRDefault="008C62D1" w:rsidP="00204696">
      <w:pPr>
        <w:spacing w:after="0"/>
        <w:jc w:val="both"/>
        <w:rPr>
          <w:rFonts w:ascii="Book Antiqua" w:hAnsi="Book Antiqua" w:cs="Times New Roman"/>
          <w:sz w:val="23"/>
          <w:szCs w:val="23"/>
          <w:lang w:val="en-GB"/>
        </w:rPr>
      </w:pPr>
    </w:p>
    <w:p w14:paraId="3DE34570" w14:textId="77777777" w:rsidR="008F74C4" w:rsidRPr="003E3613" w:rsidRDefault="00494B99"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It can be said that a positive change is noticeable in the area of national criminal procedures, especially concerning the approach and decisions of the proceeding authorities. As a result, the courts have </w:t>
      </w:r>
      <w:r w:rsidR="00B4533F" w:rsidRPr="003E3613">
        <w:rPr>
          <w:rFonts w:ascii="Book Antiqua" w:hAnsi="Book Antiqua" w:cs="Times New Roman"/>
          <w:sz w:val="23"/>
          <w:szCs w:val="23"/>
          <w:lang w:val="en-GB"/>
        </w:rPr>
        <w:t xml:space="preserve">imposed </w:t>
      </w:r>
      <w:r w:rsidRPr="003E3613">
        <w:rPr>
          <w:rFonts w:ascii="Book Antiqua" w:hAnsi="Book Antiqua" w:cs="Times New Roman"/>
          <w:sz w:val="23"/>
          <w:szCs w:val="23"/>
          <w:lang w:val="en-GB"/>
        </w:rPr>
        <w:t>special behavioural rules</w:t>
      </w:r>
      <w:r w:rsidR="00B4533F" w:rsidRPr="003E3613">
        <w:rPr>
          <w:rFonts w:ascii="Book Antiqua" w:hAnsi="Book Antiqua" w:cs="Times New Roman"/>
          <w:sz w:val="23"/>
          <w:szCs w:val="23"/>
          <w:lang w:val="en-GB"/>
        </w:rPr>
        <w:t xml:space="preserve"> as sanctions</w:t>
      </w:r>
      <w:r w:rsidRPr="003E3613">
        <w:rPr>
          <w:rFonts w:ascii="Book Antiqua" w:hAnsi="Book Antiqua" w:cs="Times New Roman"/>
          <w:sz w:val="23"/>
          <w:szCs w:val="23"/>
          <w:lang w:val="en-GB"/>
        </w:rPr>
        <w:t>, such as visiting certain memorials or read</w:t>
      </w:r>
      <w:r w:rsidR="00D15A07" w:rsidRPr="003E3613">
        <w:rPr>
          <w:rFonts w:ascii="Book Antiqua" w:hAnsi="Book Antiqua" w:cs="Times New Roman"/>
          <w:sz w:val="23"/>
          <w:szCs w:val="23"/>
          <w:lang w:val="en-GB"/>
        </w:rPr>
        <w:t>ing</w:t>
      </w:r>
      <w:r w:rsidRPr="003E3613">
        <w:rPr>
          <w:rFonts w:ascii="Book Antiqua" w:hAnsi="Book Antiqua" w:cs="Times New Roman"/>
          <w:sz w:val="23"/>
          <w:szCs w:val="23"/>
          <w:lang w:val="en-GB"/>
        </w:rPr>
        <w:t xml:space="preserve"> specific books.</w:t>
      </w:r>
    </w:p>
    <w:p w14:paraId="52EBA13E" w14:textId="77777777" w:rsidR="00815A80" w:rsidRPr="003E3613" w:rsidRDefault="00815A80" w:rsidP="00204696">
      <w:pPr>
        <w:spacing w:after="0"/>
        <w:jc w:val="both"/>
        <w:rPr>
          <w:rFonts w:ascii="Book Antiqua" w:hAnsi="Book Antiqua"/>
          <w:sz w:val="23"/>
          <w:szCs w:val="23"/>
          <w:lang w:val="en-GB"/>
        </w:rPr>
      </w:pPr>
    </w:p>
    <w:p w14:paraId="3495B345" w14:textId="77777777" w:rsidR="004102CA" w:rsidRPr="003E3613" w:rsidRDefault="004102CA" w:rsidP="00204696">
      <w:pPr>
        <w:pStyle w:val="Heading2"/>
        <w:keepNext w:val="0"/>
        <w:keepLines w:val="0"/>
        <w:spacing w:before="0"/>
        <w:rPr>
          <w:rFonts w:ascii="Book Antiqua" w:hAnsi="Book Antiqua"/>
          <w:color w:val="auto"/>
          <w:sz w:val="23"/>
          <w:szCs w:val="23"/>
          <w:lang w:val="en-GB"/>
        </w:rPr>
      </w:pPr>
      <w:bookmarkStart w:id="58" w:name="_Toc19120816"/>
      <w:r w:rsidRPr="003E3613">
        <w:rPr>
          <w:rFonts w:ascii="Book Antiqua" w:hAnsi="Book Antiqua"/>
          <w:color w:val="auto"/>
          <w:sz w:val="23"/>
          <w:szCs w:val="23"/>
          <w:lang w:val="en-GB"/>
        </w:rPr>
        <w:t>Roma discrimination</w:t>
      </w:r>
      <w:bookmarkEnd w:id="58"/>
    </w:p>
    <w:p w14:paraId="6E0B3F8C" w14:textId="77777777" w:rsidR="004102CA" w:rsidRPr="003E3613" w:rsidRDefault="004102CA" w:rsidP="00204696">
      <w:pPr>
        <w:spacing w:after="0"/>
        <w:jc w:val="both"/>
        <w:rPr>
          <w:rFonts w:ascii="Book Antiqua" w:hAnsi="Book Antiqua"/>
          <w:i/>
          <w:sz w:val="23"/>
          <w:szCs w:val="23"/>
          <w:lang w:val="en-GB"/>
        </w:rPr>
      </w:pPr>
    </w:p>
    <w:p w14:paraId="4091C3C3"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4258F3" w:rsidRPr="003E3613">
        <w:rPr>
          <w:rFonts w:ascii="Book Antiqua" w:hAnsi="Book Antiqua"/>
          <w:i/>
          <w:sz w:val="23"/>
          <w:szCs w:val="23"/>
          <w:lang w:val="en-GB"/>
        </w:rPr>
        <w:t>52</w:t>
      </w:r>
      <w:r w:rsidRPr="003E3613">
        <w:rPr>
          <w:rFonts w:ascii="Book Antiqua" w:hAnsi="Book Antiqua"/>
          <w:i/>
          <w:sz w:val="23"/>
          <w:szCs w:val="23"/>
          <w:lang w:val="en-GB"/>
        </w:rPr>
        <w:t>) In its Fourth Opinion on Hungary adopted on 25 February 2016, the Advisory Committee on the Framework Convention for the Protection of National Minorities noted that Roma continue to suffer systemic discrimination and inequality in all fields of life, including housing, employment, education, access to health and participation in social and political life. In its Resolution of 5 July 2017, the Committee of Ministers of the Council of Europe recommended the Hungarian authorities to make sustained and effective efforts to prevent, combat and sanction the inequality and discrimination suffered by Roma, improve, in close consultation with Roma representatives, the living conditions, access to health services and employment of Roma, take effective measures to end practices that lead to the continued segregation of Roma children at school and redouble efforts to remedy shortcomings faced by Roma children in the field of education, ensure that Roma children have equal opportunities for access to all levels of quality education, and continue to take measures to prevent children from being wrongfully placed in special schools and classes.</w:t>
      </w:r>
      <w:r w:rsidR="0052045A" w:rsidRPr="003E3613">
        <w:rPr>
          <w:rFonts w:ascii="Book Antiqua" w:hAnsi="Book Antiqua"/>
          <w:i/>
          <w:sz w:val="23"/>
          <w:szCs w:val="23"/>
          <w:lang w:val="en-GB"/>
        </w:rPr>
        <w:t xml:space="preserve"> The Hungarian Government has taken several substantial measures to foster the inclusion of Roma. On 4 July 2012, it adopted the Job Protection Action Plan on 4 July 2012 to protect the employment of disadvantaged employees and foster the employment of the long-term unemployed. It also adopted the “Healthy Hungary 2014–2020” Healthcare Sectoral Strategy to reduce health inequalities. In 2014, it adopted a strategy for the period </w:t>
      </w:r>
      <w:r w:rsidR="0052045A" w:rsidRPr="003E3613">
        <w:rPr>
          <w:rFonts w:ascii="Book Antiqua" w:hAnsi="Book Antiqua"/>
          <w:i/>
          <w:sz w:val="23"/>
          <w:szCs w:val="23"/>
          <w:lang w:val="en-GB"/>
        </w:rPr>
        <w:lastRenderedPageBreak/>
        <w:t>2014-2020 for the treatment of slum-like housing in segregated settlements. Nevertheless, according to FRA’s Fundamental Rights Report 2018, the percentage of young Roma with current main activity not in employment, education or training, has increased from 38 % in 2011 to 51 % in 2016.</w:t>
      </w:r>
    </w:p>
    <w:p w14:paraId="330FEAE1" w14:textId="77777777" w:rsidR="00175F1E" w:rsidRPr="003E3613" w:rsidRDefault="00175F1E" w:rsidP="00204696">
      <w:pPr>
        <w:spacing w:after="0"/>
        <w:jc w:val="both"/>
        <w:rPr>
          <w:rFonts w:ascii="Book Antiqua" w:hAnsi="Book Antiqua"/>
          <w:i/>
          <w:sz w:val="23"/>
          <w:szCs w:val="23"/>
          <w:lang w:val="en-GB"/>
        </w:rPr>
      </w:pPr>
    </w:p>
    <w:p w14:paraId="04B287D1" w14:textId="77777777" w:rsidR="00AE1342" w:rsidRPr="003E3613" w:rsidRDefault="00503C39" w:rsidP="00204696">
      <w:pPr>
        <w:spacing w:after="0"/>
        <w:jc w:val="both"/>
        <w:rPr>
          <w:rFonts w:ascii="Book Antiqua" w:hAnsi="Book Antiqua"/>
          <w:sz w:val="23"/>
          <w:szCs w:val="23"/>
          <w:lang w:val="en-GB"/>
        </w:rPr>
      </w:pPr>
      <w:r w:rsidRPr="003E3613">
        <w:rPr>
          <w:rFonts w:ascii="Book Antiqua" w:hAnsi="Book Antiqua"/>
          <w:sz w:val="23"/>
          <w:szCs w:val="23"/>
          <w:lang w:val="en-GB"/>
        </w:rPr>
        <w:t>The Hungarian Government is deeply committed to achieve the integration of Roma people.</w:t>
      </w:r>
      <w:r w:rsidR="00AE1342" w:rsidRPr="003E3613">
        <w:rPr>
          <w:rFonts w:ascii="Book Antiqua" w:hAnsi="Book Antiqua"/>
          <w:sz w:val="23"/>
          <w:szCs w:val="23"/>
          <w:lang w:val="en-GB"/>
        </w:rPr>
        <w:t xml:space="preserve"> </w:t>
      </w:r>
    </w:p>
    <w:p w14:paraId="50111ABE" w14:textId="77777777" w:rsidR="00AE1342" w:rsidRPr="003E3613" w:rsidRDefault="00AE1342" w:rsidP="00204696">
      <w:pPr>
        <w:spacing w:after="0"/>
        <w:jc w:val="both"/>
        <w:rPr>
          <w:rFonts w:ascii="Book Antiqua" w:hAnsi="Book Antiqua"/>
          <w:sz w:val="23"/>
          <w:szCs w:val="23"/>
          <w:lang w:val="en-GB"/>
        </w:rPr>
      </w:pPr>
    </w:p>
    <w:p w14:paraId="3B3BBF3E" w14:textId="77777777" w:rsidR="00503C39" w:rsidRPr="003E3613" w:rsidRDefault="00503C39"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This is manifested, on the one hand, by the fact that this issue was put to the political agenda of the European Union as the initiative of the Hungarian </w:t>
      </w:r>
      <w:r w:rsidR="008C62D1" w:rsidRPr="003E3613">
        <w:rPr>
          <w:rFonts w:ascii="Book Antiqua" w:hAnsi="Book Antiqua"/>
          <w:sz w:val="23"/>
          <w:szCs w:val="23"/>
          <w:lang w:val="en-GB"/>
        </w:rPr>
        <w:t>P</w:t>
      </w:r>
      <w:r w:rsidRPr="003E3613">
        <w:rPr>
          <w:rFonts w:ascii="Book Antiqua" w:hAnsi="Book Antiqua"/>
          <w:sz w:val="23"/>
          <w:szCs w:val="23"/>
          <w:lang w:val="en-GB"/>
        </w:rPr>
        <w:t xml:space="preserve">residency of the </w:t>
      </w:r>
      <w:r w:rsidR="00F87790" w:rsidRPr="003E3613">
        <w:rPr>
          <w:rFonts w:ascii="Book Antiqua" w:hAnsi="Book Antiqua"/>
          <w:sz w:val="23"/>
          <w:szCs w:val="23"/>
          <w:lang w:val="en-GB"/>
        </w:rPr>
        <w:t xml:space="preserve">Council of the </w:t>
      </w:r>
      <w:r w:rsidRPr="003E3613">
        <w:rPr>
          <w:rFonts w:ascii="Book Antiqua" w:hAnsi="Book Antiqua"/>
          <w:sz w:val="23"/>
          <w:szCs w:val="23"/>
          <w:lang w:val="en-GB"/>
        </w:rPr>
        <w:t>European Union in the first half of 2011, by the adoption of the EU Framework Strategy on Roma inclusion, which was followed by the channelling of the Framework Strategy into the EU policies (e.g. the European Semester, and the use of the cohesion funds). However, the novelty introduced by the initiative lied not only in this but also in that it dealt with this issue not merely based on a human rights approach but also from the aspects of poverty and social inclusion, recognising thereby that a complex approach is required in order to find a genuine solution for the problems.</w:t>
      </w:r>
      <w:r w:rsidR="008D05DE" w:rsidRPr="003E3613">
        <w:rPr>
          <w:rFonts w:ascii="Book Antiqua" w:hAnsi="Book Antiqua"/>
          <w:sz w:val="23"/>
          <w:szCs w:val="23"/>
          <w:lang w:val="en-GB"/>
        </w:rPr>
        <w:t xml:space="preserve"> On the other hand, </w:t>
      </w:r>
      <w:r w:rsidR="004258F3" w:rsidRPr="003E3613">
        <w:rPr>
          <w:rFonts w:ascii="Book Antiqua" w:hAnsi="Book Antiqua"/>
          <w:sz w:val="23"/>
          <w:szCs w:val="23"/>
          <w:lang w:val="en-GB"/>
        </w:rPr>
        <w:t xml:space="preserve">in order to implement the EU Roma Framework </w:t>
      </w:r>
      <w:r w:rsidR="008D05DE" w:rsidRPr="003E3613">
        <w:rPr>
          <w:rFonts w:ascii="Book Antiqua" w:hAnsi="Book Antiqua"/>
          <w:sz w:val="23"/>
          <w:szCs w:val="23"/>
          <w:lang w:val="en-GB"/>
        </w:rPr>
        <w:t xml:space="preserve">the </w:t>
      </w:r>
      <w:r w:rsidRPr="003E3613">
        <w:rPr>
          <w:rFonts w:ascii="Book Antiqua" w:hAnsi="Book Antiqua"/>
          <w:sz w:val="23"/>
          <w:szCs w:val="23"/>
          <w:lang w:val="en-GB"/>
        </w:rPr>
        <w:t xml:space="preserve">Government </w:t>
      </w:r>
      <w:r w:rsidR="004258F3" w:rsidRPr="003E3613">
        <w:rPr>
          <w:rFonts w:ascii="Book Antiqua" w:hAnsi="Book Antiqua"/>
          <w:sz w:val="23"/>
          <w:szCs w:val="23"/>
          <w:lang w:val="en-GB"/>
        </w:rPr>
        <w:t xml:space="preserve">adopted the Hungarian National Social Inclusion Strategy </w:t>
      </w:r>
      <w:r w:rsidRPr="003E3613">
        <w:rPr>
          <w:rFonts w:ascii="Book Antiqua" w:hAnsi="Book Antiqua"/>
          <w:sz w:val="23"/>
          <w:szCs w:val="23"/>
          <w:lang w:val="en-GB"/>
        </w:rPr>
        <w:t>in 2011 and then</w:t>
      </w:r>
      <w:r w:rsidR="002614FA" w:rsidRPr="003E3613">
        <w:rPr>
          <w:rFonts w:ascii="Book Antiqua" w:hAnsi="Book Antiqua"/>
          <w:sz w:val="23"/>
          <w:szCs w:val="23"/>
          <w:lang w:val="en-GB"/>
        </w:rPr>
        <w:t xml:space="preserve"> updated</w:t>
      </w:r>
      <w:r w:rsidRPr="003E3613">
        <w:rPr>
          <w:rFonts w:ascii="Book Antiqua" w:hAnsi="Book Antiqua"/>
          <w:sz w:val="23"/>
          <w:szCs w:val="23"/>
          <w:lang w:val="en-GB"/>
        </w:rPr>
        <w:t xml:space="preserve"> in 2014</w:t>
      </w:r>
      <w:r w:rsidR="002614FA" w:rsidRPr="003E3613">
        <w:rPr>
          <w:rFonts w:ascii="Book Antiqua" w:hAnsi="Book Antiqua"/>
          <w:sz w:val="23"/>
          <w:szCs w:val="23"/>
          <w:lang w:val="en-GB"/>
        </w:rPr>
        <w:t>.</w:t>
      </w:r>
      <w:r w:rsidR="004C255C" w:rsidRPr="003E3613">
        <w:rPr>
          <w:rFonts w:ascii="Book Antiqua" w:hAnsi="Book Antiqua"/>
          <w:sz w:val="23"/>
          <w:szCs w:val="23"/>
          <w:lang w:val="en-GB"/>
        </w:rPr>
        <w:t xml:space="preserve"> T</w:t>
      </w:r>
      <w:r w:rsidRPr="003E3613">
        <w:rPr>
          <w:rFonts w:ascii="Book Antiqua" w:hAnsi="Book Antiqua"/>
          <w:sz w:val="23"/>
          <w:szCs w:val="23"/>
          <w:lang w:val="en-GB"/>
        </w:rPr>
        <w:t>hree-year action plan</w:t>
      </w:r>
      <w:r w:rsidR="004C255C" w:rsidRPr="003E3613">
        <w:rPr>
          <w:rFonts w:ascii="Book Antiqua" w:hAnsi="Book Antiqua"/>
          <w:sz w:val="23"/>
          <w:szCs w:val="23"/>
          <w:lang w:val="en-GB"/>
        </w:rPr>
        <w:t>s were prepared</w:t>
      </w:r>
      <w:r w:rsidRPr="003E3613">
        <w:rPr>
          <w:rFonts w:ascii="Book Antiqua" w:hAnsi="Book Antiqua"/>
          <w:sz w:val="23"/>
          <w:szCs w:val="23"/>
          <w:lang w:val="en-GB"/>
        </w:rPr>
        <w:t xml:space="preserve"> for its implementation by designating responsible</w:t>
      </w:r>
      <w:r w:rsidR="004C255C" w:rsidRPr="003E3613">
        <w:rPr>
          <w:rFonts w:ascii="Book Antiqua" w:hAnsi="Book Antiqua"/>
          <w:sz w:val="23"/>
          <w:szCs w:val="23"/>
          <w:lang w:val="en-GB"/>
        </w:rPr>
        <w:t xml:space="preserve"> ministers</w:t>
      </w:r>
      <w:r w:rsidRPr="003E3613">
        <w:rPr>
          <w:rFonts w:ascii="Book Antiqua" w:hAnsi="Book Antiqua"/>
          <w:sz w:val="23"/>
          <w:szCs w:val="23"/>
          <w:lang w:val="en-GB"/>
        </w:rPr>
        <w:t xml:space="preserve">, deadlines and available funds. </w:t>
      </w:r>
    </w:p>
    <w:p w14:paraId="7E248DA7" w14:textId="77777777" w:rsidR="009569D6" w:rsidRPr="003E3613" w:rsidRDefault="009569D6" w:rsidP="00204696">
      <w:pPr>
        <w:spacing w:after="0"/>
        <w:jc w:val="both"/>
        <w:rPr>
          <w:rFonts w:ascii="Book Antiqua" w:hAnsi="Book Antiqua"/>
          <w:sz w:val="23"/>
          <w:szCs w:val="23"/>
          <w:lang w:val="en-GB"/>
        </w:rPr>
      </w:pPr>
    </w:p>
    <w:p w14:paraId="5B5B4198" w14:textId="7D0A1E05" w:rsidR="002B7462" w:rsidRPr="003E3613" w:rsidRDefault="002B7462"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Since 2010 the Government has implemented several social, social inclusion, family policy, health policy and educational measures. We have achieved a great number of positive results, all of which prove that we are on the right path: in addition to the improvement of economic indicators, almost all of our indicators related to fight against poverty and unemployment have been constantly improving since 2013. The results of such measures have manifested themselves in a measurable and provable way and have grown steadily proving that they reached the target groups. The data on poverty obtained from the major central surveys conducted by the Central Statistical Office (CSO) shows data separately for the Roma population, which we consider a great achievement even at European level. </w:t>
      </w:r>
      <w:r w:rsidR="004D6095" w:rsidRPr="003E3613">
        <w:rPr>
          <w:rFonts w:ascii="Book Antiqua" w:hAnsi="Book Antiqua"/>
          <w:sz w:val="23"/>
          <w:szCs w:val="23"/>
          <w:lang w:val="en-GB"/>
        </w:rPr>
        <w:t xml:space="preserve">The employment rate </w:t>
      </w:r>
      <w:r w:rsidR="00522CE5" w:rsidRPr="003E3613">
        <w:rPr>
          <w:rFonts w:ascii="Book Antiqua" w:hAnsi="Book Antiqua"/>
          <w:sz w:val="23"/>
          <w:szCs w:val="23"/>
          <w:lang w:val="en-GB"/>
        </w:rPr>
        <w:t>among</w:t>
      </w:r>
      <w:r w:rsidR="004D6095" w:rsidRPr="003E3613">
        <w:rPr>
          <w:rFonts w:ascii="Book Antiqua" w:hAnsi="Book Antiqua"/>
          <w:sz w:val="23"/>
          <w:szCs w:val="23"/>
          <w:lang w:val="en-GB"/>
        </w:rPr>
        <w:t xml:space="preserve"> the Roma minority has risen by 20% since 2013, in parallel the unemployment rate ha</w:t>
      </w:r>
      <w:r w:rsidR="00C46340" w:rsidRPr="003E3613">
        <w:rPr>
          <w:rFonts w:ascii="Book Antiqua" w:hAnsi="Book Antiqua"/>
          <w:sz w:val="23"/>
          <w:szCs w:val="23"/>
          <w:lang w:val="en-GB"/>
        </w:rPr>
        <w:t>s</w:t>
      </w:r>
      <w:r w:rsidR="004D6095" w:rsidRPr="003E3613">
        <w:rPr>
          <w:rFonts w:ascii="Book Antiqua" w:hAnsi="Book Antiqua"/>
          <w:sz w:val="23"/>
          <w:szCs w:val="23"/>
          <w:lang w:val="en-GB"/>
        </w:rPr>
        <w:t xml:space="preserve"> decreased by 20%. </w:t>
      </w:r>
      <w:r w:rsidR="0030415A" w:rsidRPr="003E3613">
        <w:rPr>
          <w:rFonts w:ascii="Book Antiqua" w:hAnsi="Book Antiqua"/>
          <w:sz w:val="23"/>
          <w:szCs w:val="23"/>
          <w:lang w:val="en-GB"/>
        </w:rPr>
        <w:t xml:space="preserve">In 2018, the employment rate in the 15-64 aged Roma population was 43.6%, which means a 10%-point increase since 2014. The increase in the employment rate of non-Roma poluation during this period was less (2014: 62,8% 2018: 70,0%). </w:t>
      </w:r>
      <w:r w:rsidR="004D6095" w:rsidRPr="003E3613">
        <w:rPr>
          <w:rFonts w:ascii="Book Antiqua" w:hAnsi="Book Antiqua"/>
          <w:sz w:val="23"/>
          <w:szCs w:val="23"/>
          <w:lang w:val="en-GB"/>
        </w:rPr>
        <w:t>At the same time the number of Roma households with no employed inhabitant has decreased by 25%, and the number of Roma children living in these households has decreased by the same rate.</w:t>
      </w:r>
    </w:p>
    <w:p w14:paraId="56F03CDC" w14:textId="77777777" w:rsidR="002B7462" w:rsidRPr="003E3613" w:rsidRDefault="002B7462" w:rsidP="00204696">
      <w:pPr>
        <w:spacing w:after="0"/>
        <w:jc w:val="both"/>
        <w:rPr>
          <w:rFonts w:ascii="Book Antiqua" w:hAnsi="Book Antiqua"/>
          <w:sz w:val="23"/>
          <w:szCs w:val="23"/>
          <w:lang w:val="en-GB"/>
        </w:rPr>
      </w:pPr>
    </w:p>
    <w:p w14:paraId="3BE3545D" w14:textId="77777777" w:rsidR="00660031" w:rsidRDefault="002B7462"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Perhaps the most promising result of the public policy interventions promoting social inclusion based on a </w:t>
      </w:r>
      <w:r w:rsidR="00596192" w:rsidRPr="003E3613">
        <w:rPr>
          <w:rFonts w:ascii="Book Antiqua" w:hAnsi="Book Antiqua"/>
          <w:sz w:val="23"/>
          <w:szCs w:val="23"/>
          <w:lang w:val="en-GB"/>
        </w:rPr>
        <w:t>labo</w:t>
      </w:r>
      <w:r w:rsidR="00F67DB9" w:rsidRPr="003E3613">
        <w:rPr>
          <w:rFonts w:ascii="Book Antiqua" w:hAnsi="Book Antiqua"/>
          <w:sz w:val="23"/>
          <w:szCs w:val="23"/>
          <w:lang w:val="en-GB"/>
        </w:rPr>
        <w:t>u</w:t>
      </w:r>
      <w:r w:rsidR="00596192" w:rsidRPr="003E3613">
        <w:rPr>
          <w:rFonts w:ascii="Book Antiqua" w:hAnsi="Book Antiqua"/>
          <w:sz w:val="23"/>
          <w:szCs w:val="23"/>
          <w:lang w:val="en-GB"/>
        </w:rPr>
        <w:t xml:space="preserve">r based society approach </w:t>
      </w:r>
      <w:r w:rsidRPr="003E3613">
        <w:rPr>
          <w:rFonts w:ascii="Book Antiqua" w:hAnsi="Book Antiqua"/>
          <w:sz w:val="23"/>
          <w:szCs w:val="23"/>
          <w:lang w:val="en-GB"/>
        </w:rPr>
        <w:t xml:space="preserve">is that we managed to raise a </w:t>
      </w:r>
    </w:p>
    <w:p w14:paraId="74D7BD8D" w14:textId="77777777" w:rsidR="00660031" w:rsidRDefault="00660031">
      <w:pPr>
        <w:rPr>
          <w:rFonts w:ascii="Book Antiqua" w:hAnsi="Book Antiqua"/>
          <w:sz w:val="23"/>
          <w:szCs w:val="23"/>
          <w:lang w:val="en-GB"/>
        </w:rPr>
      </w:pPr>
      <w:r>
        <w:rPr>
          <w:rFonts w:ascii="Book Antiqua" w:hAnsi="Book Antiqua"/>
          <w:sz w:val="23"/>
          <w:szCs w:val="23"/>
          <w:lang w:val="en-GB"/>
        </w:rPr>
        <w:br w:type="page"/>
      </w:r>
    </w:p>
    <w:p w14:paraId="595B9930" w14:textId="1B2851D3" w:rsidR="002B7462" w:rsidRPr="003E3613" w:rsidRDefault="002B7462"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 xml:space="preserve">significant number of those living in extreme poverty from the social assistance care system that confine them to passivity. We managed to change this passive behaviour and “activated” them by involving them in the public work scheme and training programmes. These schemes are organised in a way that the establishment and restoration of their skills for conducting their life and for earning their income autonomously can be started. As a result of the measures which this government has taken in the last </w:t>
      </w:r>
      <w:r w:rsidR="000564B3" w:rsidRPr="003E3613">
        <w:rPr>
          <w:rFonts w:ascii="Book Antiqua" w:hAnsi="Book Antiqua"/>
          <w:sz w:val="23"/>
          <w:szCs w:val="23"/>
          <w:lang w:val="en-GB"/>
        </w:rPr>
        <w:t xml:space="preserve">nine </w:t>
      </w:r>
      <w:r w:rsidRPr="003E3613">
        <w:rPr>
          <w:rFonts w:ascii="Book Antiqua" w:hAnsi="Book Antiqua"/>
          <w:sz w:val="23"/>
          <w:szCs w:val="23"/>
          <w:lang w:val="en-GB"/>
        </w:rPr>
        <w:t xml:space="preserve">years, those in need were given an opportunity to build a positive vision. Moreover, they could experience that there was a way out of the vicious circle of poverty and that they could participate in societal change. </w:t>
      </w:r>
    </w:p>
    <w:p w14:paraId="2A10BB67" w14:textId="77777777" w:rsidR="002B7462" w:rsidRPr="003E3613" w:rsidRDefault="002B7462"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 </w:t>
      </w:r>
    </w:p>
    <w:p w14:paraId="5EF226A6" w14:textId="77777777" w:rsidR="002B7462" w:rsidRPr="003E3613" w:rsidRDefault="002B7462"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Strengthening the role of public education and higher education in creating equal opportunities, as well as, that of inclusive education is supported by systematic measures (strengthening skills and key competences, operating an early warning system against early school leaving, increasing the salaries of teachers, career model for teachers, and training). </w:t>
      </w:r>
    </w:p>
    <w:p w14:paraId="0AC18C0B" w14:textId="77777777" w:rsidR="002B7462" w:rsidRPr="003E3613" w:rsidRDefault="002B7462" w:rsidP="00204696">
      <w:pPr>
        <w:spacing w:after="0"/>
        <w:jc w:val="both"/>
        <w:rPr>
          <w:rFonts w:ascii="Book Antiqua" w:hAnsi="Book Antiqua"/>
          <w:sz w:val="23"/>
          <w:szCs w:val="23"/>
          <w:lang w:val="en-GB"/>
        </w:rPr>
      </w:pPr>
    </w:p>
    <w:p w14:paraId="3E263E64" w14:textId="77777777" w:rsidR="002B7462" w:rsidRPr="003E3613" w:rsidRDefault="002B7462"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In order to promote the inclusion of children with disadvantages, we have several programmes in place ranging from the nursery school until the labour market (e.g. Sure Start Children's Homes, For the Road “Útravaló” scholarship programme, Tanoda complex educational programme, Arany János Talent Management Programme, mentoring programme for </w:t>
      </w:r>
      <w:r w:rsidR="00AC6807" w:rsidRPr="003E3613">
        <w:rPr>
          <w:rFonts w:ascii="Book Antiqua" w:hAnsi="Book Antiqua"/>
          <w:sz w:val="23"/>
          <w:szCs w:val="23"/>
          <w:lang w:val="en-GB"/>
        </w:rPr>
        <w:t>R</w:t>
      </w:r>
      <w:r w:rsidRPr="003E3613">
        <w:rPr>
          <w:rFonts w:ascii="Book Antiqua" w:hAnsi="Book Antiqua"/>
          <w:sz w:val="23"/>
          <w:szCs w:val="23"/>
          <w:lang w:val="en-GB"/>
        </w:rPr>
        <w:t xml:space="preserve">oma girls, </w:t>
      </w:r>
      <w:r w:rsidR="00522CE5" w:rsidRPr="003E3613">
        <w:rPr>
          <w:rFonts w:ascii="Book Antiqua" w:hAnsi="Book Antiqua"/>
          <w:sz w:val="23"/>
          <w:szCs w:val="23"/>
          <w:lang w:val="en-GB"/>
        </w:rPr>
        <w:t>etc.</w:t>
      </w:r>
      <w:r w:rsidRPr="003E3613">
        <w:rPr>
          <w:rFonts w:ascii="Book Antiqua" w:hAnsi="Book Antiqua"/>
          <w:sz w:val="23"/>
          <w:szCs w:val="23"/>
          <w:lang w:val="en-GB"/>
        </w:rPr>
        <w:t xml:space="preserve">). It is important to note, however, that the complex nature of the issue calls for a wider solution. This means that the abolishment of segregation is necessary, but not enough in itself. A complex set of actions is required to promote success in school and to support the child and </w:t>
      </w:r>
      <w:r w:rsidR="00AC6807" w:rsidRPr="003E3613">
        <w:rPr>
          <w:rFonts w:ascii="Book Antiqua" w:hAnsi="Book Antiqua"/>
          <w:sz w:val="23"/>
          <w:szCs w:val="23"/>
          <w:lang w:val="en-GB"/>
        </w:rPr>
        <w:t xml:space="preserve">his or her family from birth until </w:t>
      </w:r>
      <w:r w:rsidRPr="003E3613">
        <w:rPr>
          <w:rFonts w:ascii="Book Antiqua" w:hAnsi="Book Antiqua"/>
          <w:sz w:val="23"/>
          <w:szCs w:val="23"/>
          <w:lang w:val="en-GB"/>
        </w:rPr>
        <w:t>employment.</w:t>
      </w:r>
    </w:p>
    <w:p w14:paraId="5C34453D" w14:textId="77777777" w:rsidR="002B7462" w:rsidRPr="003E3613" w:rsidRDefault="002B7462" w:rsidP="00204696">
      <w:pPr>
        <w:spacing w:after="0"/>
        <w:jc w:val="both"/>
        <w:rPr>
          <w:rFonts w:ascii="Book Antiqua" w:hAnsi="Book Antiqua"/>
          <w:sz w:val="23"/>
          <w:szCs w:val="23"/>
          <w:lang w:val="en-GB"/>
        </w:rPr>
      </w:pPr>
    </w:p>
    <w:p w14:paraId="5C5116DE" w14:textId="77777777" w:rsidR="009569D6" w:rsidRPr="003E3613" w:rsidRDefault="002B7462"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family policy measures, such as obligatory kindergarten attendance from the age of 3, increasing children day-care capacities, establishment and operation of a new, more flexible and more differentiated system of day-care, tax allowance for families, ensuring home creation support for housing purposes, disbursement of pecuniary child-care allowances after the parent’s return to work (GYED </w:t>
      </w:r>
      <w:r w:rsidR="00B4533F" w:rsidRPr="003E3613">
        <w:rPr>
          <w:rFonts w:ascii="Book Antiqua" w:hAnsi="Book Antiqua"/>
          <w:sz w:val="23"/>
          <w:szCs w:val="23"/>
          <w:lang w:val="en-GB"/>
        </w:rPr>
        <w:t>EXTRA</w:t>
      </w:r>
      <w:r w:rsidRPr="003E3613">
        <w:rPr>
          <w:rFonts w:ascii="Book Antiqua" w:hAnsi="Book Antiqua"/>
          <w:sz w:val="23"/>
          <w:szCs w:val="23"/>
          <w:lang w:val="en-GB"/>
        </w:rPr>
        <w:t>), strengthening early childhood intervention, free–of-charge catering for children even during school holidays, have contributed to an increased integration of women with small children into the labour market, to managing balance between work and private life, and to the mitigation of regional inequalities</w:t>
      </w:r>
      <w:r w:rsidR="009569D6" w:rsidRPr="003E3613">
        <w:rPr>
          <w:rFonts w:ascii="Book Antiqua" w:hAnsi="Book Antiqua"/>
          <w:sz w:val="23"/>
          <w:szCs w:val="23"/>
          <w:lang w:val="en-GB"/>
        </w:rPr>
        <w:t xml:space="preserve">. </w:t>
      </w:r>
    </w:p>
    <w:p w14:paraId="2DE71718" w14:textId="77777777" w:rsidR="009569D6" w:rsidRPr="003E3613" w:rsidRDefault="009569D6" w:rsidP="00204696">
      <w:pPr>
        <w:spacing w:after="0"/>
        <w:jc w:val="both"/>
        <w:rPr>
          <w:rFonts w:ascii="Book Antiqua" w:hAnsi="Book Antiqua"/>
          <w:sz w:val="23"/>
          <w:szCs w:val="23"/>
          <w:lang w:val="en-GB"/>
        </w:rPr>
      </w:pPr>
    </w:p>
    <w:p w14:paraId="51D7F2D9" w14:textId="77777777" w:rsidR="00660031" w:rsidRDefault="00167196"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In Hungary the social inclusion policy is based on the </w:t>
      </w:r>
      <w:r w:rsidR="00AC6807" w:rsidRPr="003E3613">
        <w:rPr>
          <w:rFonts w:ascii="Book Antiqua" w:hAnsi="Book Antiqua"/>
          <w:sz w:val="23"/>
          <w:szCs w:val="23"/>
          <w:lang w:val="en-GB"/>
        </w:rPr>
        <w:t>“</w:t>
      </w:r>
      <w:r w:rsidRPr="003E3613">
        <w:rPr>
          <w:rFonts w:ascii="Book Antiqua" w:hAnsi="Book Antiqua"/>
          <w:sz w:val="23"/>
          <w:szCs w:val="23"/>
          <w:lang w:val="en-GB"/>
        </w:rPr>
        <w:t>nothing about them without them” principle. Therefore</w:t>
      </w:r>
      <w:r w:rsidR="007720EA" w:rsidRPr="003E3613">
        <w:rPr>
          <w:rFonts w:ascii="Book Antiqua" w:hAnsi="Book Antiqua"/>
          <w:sz w:val="23"/>
          <w:szCs w:val="23"/>
          <w:lang w:val="en-GB"/>
        </w:rPr>
        <w:t>,</w:t>
      </w:r>
      <w:r w:rsidRPr="003E3613">
        <w:rPr>
          <w:rFonts w:ascii="Book Antiqua" w:hAnsi="Book Antiqua"/>
          <w:sz w:val="23"/>
          <w:szCs w:val="23"/>
          <w:lang w:val="en-GB"/>
        </w:rPr>
        <w:t xml:space="preserve"> the Hungarian Government has announced and implemented a broad partnership and cooperation emphasizing that social inclusion and the inclusion of Roma people is a national issue. Those implementing the social inclusion programmes include civil society </w:t>
      </w:r>
      <w:r w:rsidR="00BD0A8B" w:rsidRPr="003E3613">
        <w:rPr>
          <w:rFonts w:ascii="Book Antiqua" w:hAnsi="Book Antiqua"/>
          <w:sz w:val="23"/>
          <w:szCs w:val="23"/>
          <w:lang w:val="en-GB"/>
        </w:rPr>
        <w:t>organisation</w:t>
      </w:r>
      <w:r w:rsidRPr="003E3613">
        <w:rPr>
          <w:rFonts w:ascii="Book Antiqua" w:hAnsi="Book Antiqua"/>
          <w:sz w:val="23"/>
          <w:szCs w:val="23"/>
          <w:lang w:val="en-GB"/>
        </w:rPr>
        <w:t xml:space="preserve">s, churches, non-profit </w:t>
      </w:r>
      <w:r w:rsidR="00BD0A8B" w:rsidRPr="003E3613">
        <w:rPr>
          <w:rFonts w:ascii="Book Antiqua" w:hAnsi="Book Antiqua"/>
          <w:sz w:val="23"/>
          <w:szCs w:val="23"/>
          <w:lang w:val="en-GB"/>
        </w:rPr>
        <w:t>organisation</w:t>
      </w:r>
      <w:r w:rsidRPr="003E3613">
        <w:rPr>
          <w:rFonts w:ascii="Book Antiqua" w:hAnsi="Book Antiqua"/>
          <w:sz w:val="23"/>
          <w:szCs w:val="23"/>
          <w:lang w:val="en-GB"/>
        </w:rPr>
        <w:t xml:space="preserve">s, local self-governments, minority self-governments, social cooperatives. The Government </w:t>
      </w:r>
    </w:p>
    <w:p w14:paraId="7584B7E0" w14:textId="77777777" w:rsidR="00660031" w:rsidRDefault="00660031">
      <w:pPr>
        <w:rPr>
          <w:rFonts w:ascii="Book Antiqua" w:hAnsi="Book Antiqua"/>
          <w:sz w:val="23"/>
          <w:szCs w:val="23"/>
          <w:lang w:val="en-GB"/>
        </w:rPr>
      </w:pPr>
      <w:r>
        <w:rPr>
          <w:rFonts w:ascii="Book Antiqua" w:hAnsi="Book Antiqua"/>
          <w:sz w:val="23"/>
          <w:szCs w:val="23"/>
          <w:lang w:val="en-GB"/>
        </w:rPr>
        <w:br w:type="page"/>
      </w:r>
    </w:p>
    <w:p w14:paraId="156DC265" w14:textId="648C4D77" w:rsidR="00167196" w:rsidRPr="003E3613" w:rsidRDefault="00167196"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 xml:space="preserve">operates five nationwide consultation forums (Social Inclusion and Roma Commitment Committee, Roma Coordination Council, “Let it be better for children!” evaluation committee, Anti-Segregation Round Table, Roma Thematic Meeting of the Human Rights Working Group), and there are conciliation mechanisms at county and local levels, too. </w:t>
      </w:r>
    </w:p>
    <w:p w14:paraId="2EC76BE4" w14:textId="77777777" w:rsidR="00873350" w:rsidRPr="003E3613" w:rsidRDefault="00873350" w:rsidP="00204696">
      <w:pPr>
        <w:spacing w:after="0"/>
        <w:jc w:val="both"/>
        <w:rPr>
          <w:rFonts w:ascii="Book Antiqua" w:hAnsi="Book Antiqua"/>
          <w:sz w:val="23"/>
          <w:szCs w:val="23"/>
          <w:lang w:val="en-GB"/>
        </w:rPr>
      </w:pPr>
    </w:p>
    <w:p w14:paraId="3382E372" w14:textId="77777777" w:rsidR="009569D6" w:rsidRPr="003E3613" w:rsidRDefault="00167196"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According to the Act </w:t>
      </w:r>
      <w:r w:rsidR="005D4613" w:rsidRPr="003E3613">
        <w:rPr>
          <w:rFonts w:ascii="Book Antiqua" w:hAnsi="Book Antiqua"/>
          <w:sz w:val="23"/>
          <w:szCs w:val="23"/>
          <w:lang w:val="en-GB"/>
        </w:rPr>
        <w:t xml:space="preserve">CLXXIX </w:t>
      </w:r>
      <w:r w:rsidRPr="003E3613">
        <w:rPr>
          <w:rFonts w:ascii="Book Antiqua" w:hAnsi="Book Antiqua"/>
          <w:sz w:val="23"/>
          <w:szCs w:val="23"/>
          <w:lang w:val="en-GB"/>
        </w:rPr>
        <w:t xml:space="preserve">of </w:t>
      </w:r>
      <w:r w:rsidR="005D4613" w:rsidRPr="003E3613">
        <w:rPr>
          <w:rFonts w:ascii="Book Antiqua" w:hAnsi="Book Antiqua"/>
          <w:sz w:val="23"/>
          <w:szCs w:val="23"/>
          <w:lang w:val="en-GB"/>
        </w:rPr>
        <w:t xml:space="preserve">2011 </w:t>
      </w:r>
      <w:r w:rsidRPr="003E3613">
        <w:rPr>
          <w:rFonts w:ascii="Book Antiqua" w:hAnsi="Book Antiqua"/>
          <w:sz w:val="23"/>
          <w:szCs w:val="23"/>
          <w:lang w:val="en-GB"/>
        </w:rPr>
        <w:t>on the Rights of National</w:t>
      </w:r>
      <w:r w:rsidR="000677CC" w:rsidRPr="003E3613">
        <w:rPr>
          <w:rFonts w:ascii="Book Antiqua" w:hAnsi="Book Antiqua"/>
          <w:sz w:val="23"/>
          <w:szCs w:val="23"/>
          <w:lang w:val="en-GB"/>
        </w:rPr>
        <w:t>ities</w:t>
      </w:r>
      <w:r w:rsidRPr="003E3613">
        <w:rPr>
          <w:rFonts w:ascii="Book Antiqua" w:hAnsi="Book Antiqua"/>
          <w:sz w:val="23"/>
          <w:szCs w:val="23"/>
          <w:lang w:val="en-GB"/>
        </w:rPr>
        <w:t xml:space="preserve"> – in line with the New Fundamental Law – Hungary recognizes the nationalities living in its territory as part of the Hungarian political community and acknowledges them as a state-forming factor. All nationalities can form local, regional and national self-governments under the conditions set by the Act XXXVI of 2013 on the election procedure. The number of the</w:t>
      </w:r>
      <w:r w:rsidR="000677CC" w:rsidRPr="003E3613">
        <w:rPr>
          <w:rFonts w:ascii="Book Antiqua" w:hAnsi="Book Antiqua"/>
          <w:sz w:val="23"/>
          <w:szCs w:val="23"/>
          <w:lang w:val="en-GB"/>
        </w:rPr>
        <w:t xml:space="preserve"> local</w:t>
      </w:r>
      <w:r w:rsidRPr="003E3613">
        <w:rPr>
          <w:rFonts w:ascii="Book Antiqua" w:hAnsi="Book Antiqua"/>
          <w:sz w:val="23"/>
          <w:szCs w:val="23"/>
          <w:lang w:val="en-GB"/>
        </w:rPr>
        <w:t xml:space="preserve"> Roma self-governments in Hungary </w:t>
      </w:r>
      <w:r w:rsidR="00D62679" w:rsidRPr="003E3613">
        <w:rPr>
          <w:rFonts w:ascii="Book Antiqua" w:hAnsi="Book Antiqua"/>
          <w:sz w:val="23"/>
          <w:szCs w:val="23"/>
          <w:lang w:val="en-GB"/>
        </w:rPr>
        <w:t>in 2018 wa</w:t>
      </w:r>
      <w:r w:rsidRPr="003E3613">
        <w:rPr>
          <w:rFonts w:ascii="Book Antiqua" w:hAnsi="Book Antiqua"/>
          <w:sz w:val="23"/>
          <w:szCs w:val="23"/>
          <w:lang w:val="en-GB"/>
        </w:rPr>
        <w:t>s 1031.</w:t>
      </w:r>
    </w:p>
    <w:p w14:paraId="3F5C492E" w14:textId="77777777" w:rsidR="00873350" w:rsidRPr="003E3613" w:rsidRDefault="00873350" w:rsidP="00204696">
      <w:pPr>
        <w:spacing w:after="0"/>
        <w:jc w:val="both"/>
        <w:rPr>
          <w:rFonts w:ascii="Book Antiqua" w:hAnsi="Book Antiqua"/>
          <w:iCs/>
          <w:sz w:val="23"/>
          <w:szCs w:val="23"/>
          <w:lang w:val="en-GB"/>
        </w:rPr>
      </w:pPr>
    </w:p>
    <w:p w14:paraId="52704F76" w14:textId="77777777" w:rsidR="00503C39" w:rsidRPr="003E3613" w:rsidRDefault="00503C39" w:rsidP="00204696">
      <w:pPr>
        <w:spacing w:after="0"/>
        <w:jc w:val="both"/>
        <w:rPr>
          <w:rFonts w:ascii="Book Antiqua" w:hAnsi="Book Antiqua"/>
          <w:sz w:val="23"/>
          <w:szCs w:val="23"/>
          <w:lang w:val="en-GB"/>
        </w:rPr>
      </w:pPr>
      <w:r w:rsidRPr="003E3613">
        <w:rPr>
          <w:rFonts w:ascii="Book Antiqua" w:hAnsi="Book Antiqua"/>
          <w:sz w:val="23"/>
          <w:szCs w:val="23"/>
          <w:lang w:val="en-GB"/>
        </w:rPr>
        <w:t>As for the employment of Roma, the fundamental aim is to integrate unused social resources in the support of society, i.e. to reduce child deprivation, facilitate the inclusion of those living in persistent poverty including Roma, put an end to peripheral living conditions, make multiply disadvantaged people capable of entering the labour market and taking part in labour market instruments, and increase the local retaining power of settlements. Hungary has introduced and intends to introduce several measures to improve the employability of the long-term unemployed and to involve the inactive population</w:t>
      </w:r>
      <w:r w:rsidR="000677CC" w:rsidRPr="003E3613">
        <w:rPr>
          <w:rFonts w:ascii="Book Antiqua" w:hAnsi="Book Antiqua"/>
          <w:sz w:val="23"/>
          <w:szCs w:val="23"/>
          <w:lang w:val="en-GB"/>
        </w:rPr>
        <w:t xml:space="preserve"> into the labour market</w:t>
      </w:r>
      <w:r w:rsidRPr="003E3613">
        <w:rPr>
          <w:rFonts w:ascii="Book Antiqua" w:hAnsi="Book Antiqua"/>
          <w:sz w:val="23"/>
          <w:szCs w:val="23"/>
          <w:lang w:val="en-GB"/>
        </w:rPr>
        <w:t xml:space="preserve">. On 4 July 2012, the </w:t>
      </w:r>
      <w:r w:rsidR="00B4533F" w:rsidRPr="003E3613">
        <w:rPr>
          <w:rFonts w:ascii="Book Antiqua" w:hAnsi="Book Antiqua"/>
          <w:sz w:val="23"/>
          <w:szCs w:val="23"/>
          <w:lang w:val="en-GB"/>
        </w:rPr>
        <w:t>G</w:t>
      </w:r>
      <w:r w:rsidRPr="003E3613">
        <w:rPr>
          <w:rFonts w:ascii="Book Antiqua" w:hAnsi="Book Antiqua"/>
          <w:sz w:val="23"/>
          <w:szCs w:val="23"/>
          <w:lang w:val="en-GB"/>
        </w:rPr>
        <w:t>overnment adopted the Job Protection Action Plan, the primary aim of which was to preserve jobs and protect the employment of disadvantaged employees. To this end, it is increasing the competitiveness of employers utilizing a disadvantaged or otherwise less competitive workforce by reducing the costs of employment. The action plan reduces employers’ burden (social security contribution and vocational training levy) to foster the employment of employees under 25 and above 55 years of age, career starters, the long-term unemployed, women returning from child home care allowance/child care fee and employees employed in unskilled jobs, and as a new element as of 1 July 2015, employees in the agricultural sector.</w:t>
      </w:r>
    </w:p>
    <w:p w14:paraId="39A55555" w14:textId="77777777" w:rsidR="00503C39" w:rsidRPr="003E3613" w:rsidRDefault="00503C39" w:rsidP="00204696">
      <w:pPr>
        <w:spacing w:after="0"/>
        <w:jc w:val="both"/>
        <w:rPr>
          <w:rFonts w:ascii="Book Antiqua" w:hAnsi="Book Antiqua"/>
          <w:sz w:val="23"/>
          <w:szCs w:val="23"/>
          <w:lang w:val="en-GB"/>
        </w:rPr>
      </w:pPr>
    </w:p>
    <w:p w14:paraId="16C77433" w14:textId="16053115" w:rsidR="008367F7" w:rsidRPr="00204696" w:rsidRDefault="008367F7" w:rsidP="00204696">
      <w:pPr>
        <w:spacing w:after="0"/>
        <w:jc w:val="both"/>
        <w:rPr>
          <w:rFonts w:ascii="Book Antiqua" w:hAnsi="Book Antiqua"/>
          <w:sz w:val="23"/>
          <w:szCs w:val="23"/>
          <w:lang w:val="en-GB"/>
        </w:rPr>
      </w:pPr>
      <w:r w:rsidRPr="003E3613">
        <w:rPr>
          <w:rFonts w:ascii="Book Antiqua" w:hAnsi="Book Antiqua"/>
          <w:sz w:val="23"/>
          <w:szCs w:val="23"/>
          <w:lang w:val="en-GB"/>
        </w:rPr>
        <w:t>The European Commission confirmed the results of these measures in the Country</w:t>
      </w:r>
      <w:r w:rsidRPr="00204696">
        <w:rPr>
          <w:rFonts w:ascii="Book Antiqua" w:hAnsi="Book Antiqua"/>
          <w:sz w:val="23"/>
          <w:szCs w:val="23"/>
          <w:lang w:val="en-GB"/>
        </w:rPr>
        <w:t xml:space="preserve"> Report published within the European Semester in 2019. It highlights that </w:t>
      </w:r>
      <w:r w:rsidR="00204696">
        <w:rPr>
          <w:rFonts w:ascii="Book Antiqua" w:hAnsi="Book Antiqua"/>
          <w:sz w:val="23"/>
          <w:szCs w:val="23"/>
          <w:lang w:val="en-GB"/>
        </w:rPr>
        <w:t>“</w:t>
      </w:r>
      <w:r w:rsidRPr="00204696">
        <w:rPr>
          <w:rFonts w:ascii="Book Antiqua" w:hAnsi="Book Antiqua"/>
          <w:sz w:val="23"/>
          <w:szCs w:val="23"/>
          <w:lang w:val="en-GB"/>
        </w:rPr>
        <w:t>The</w:t>
      </w:r>
      <w:r w:rsidRPr="003E3613">
        <w:rPr>
          <w:rFonts w:ascii="Book Antiqua" w:hAnsi="Book Antiqua"/>
          <w:i/>
          <w:sz w:val="23"/>
          <w:szCs w:val="23"/>
          <w:lang w:val="en-GB"/>
        </w:rPr>
        <w:t xml:space="preserve"> </w:t>
      </w:r>
      <w:r w:rsidRPr="00204696">
        <w:rPr>
          <w:rFonts w:ascii="Book Antiqua" w:hAnsi="Book Antiqua"/>
          <w:sz w:val="23"/>
          <w:szCs w:val="23"/>
          <w:lang w:val="en-GB"/>
        </w:rPr>
        <w:t>employment of Roma has increased, but challenges remain. Between 2014 and 2017 the employment rate of Roma increased from 33 % to 45 %, but a large share of those in employment (36.6 %) work in the Public Work Scheme (HCSO, 2018c).</w:t>
      </w:r>
      <w:r w:rsidR="00204696">
        <w:rPr>
          <w:rFonts w:ascii="Book Antiqua" w:hAnsi="Book Antiqua"/>
          <w:sz w:val="23"/>
          <w:szCs w:val="23"/>
          <w:lang w:val="en-GB"/>
        </w:rPr>
        <w:t>”</w:t>
      </w:r>
    </w:p>
    <w:p w14:paraId="7CC18597" w14:textId="77777777" w:rsidR="008367F7" w:rsidRPr="003E3613" w:rsidRDefault="008367F7" w:rsidP="00204696">
      <w:pPr>
        <w:spacing w:after="0"/>
        <w:jc w:val="both"/>
        <w:rPr>
          <w:rFonts w:ascii="Book Antiqua" w:hAnsi="Book Antiqua"/>
          <w:sz w:val="23"/>
          <w:szCs w:val="23"/>
          <w:lang w:val="en-GB"/>
        </w:rPr>
      </w:pPr>
    </w:p>
    <w:p w14:paraId="5EAFCD0C" w14:textId="77777777" w:rsidR="00660031" w:rsidRDefault="00503C39"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objective of the public employment scheme is to provide a transition between benefits and the open labour market; moreover, it promotes catching up to a significant degree. Long-term unemployment can be terminated only with a multi-phase support process that includes training and employment as well. Its efficiency depends, among others, on the nature of the socio-economic disadvantages of the given settlement or </w:t>
      </w:r>
    </w:p>
    <w:p w14:paraId="31579A1B" w14:textId="77777777" w:rsidR="00660031" w:rsidRDefault="00660031">
      <w:pPr>
        <w:rPr>
          <w:rFonts w:ascii="Book Antiqua" w:hAnsi="Book Antiqua"/>
          <w:sz w:val="23"/>
          <w:szCs w:val="23"/>
          <w:lang w:val="en-GB"/>
        </w:rPr>
      </w:pPr>
      <w:r>
        <w:rPr>
          <w:rFonts w:ascii="Book Antiqua" w:hAnsi="Book Antiqua"/>
          <w:sz w:val="23"/>
          <w:szCs w:val="23"/>
          <w:lang w:val="en-GB"/>
        </w:rPr>
        <w:br w:type="page"/>
      </w:r>
    </w:p>
    <w:p w14:paraId="272EF37C" w14:textId="195A1EAD" w:rsidR="00503C39" w:rsidRPr="003E3613" w:rsidRDefault="00503C39"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district. However, it is to be noted that it can serve only as a temporary solution. For this reason, in the coming period bigger emphasis will be laid on the measures that promote exit from the public employment scheme, support economic recovery and enhance mobility. As of 1 January 2016, a new incentive system was introduced for individuals involved in the public employment scheme. The targeted job search allowances encourage people involved in the public employment scheme to find a job in the private sector in such a way that if they find a job before the term of the legal relationship with the public employment scheme expires, they receive job search allowances. The public employment scheme is becoming more targeted as a result of an EU-funded project aiming at offering training opportunities and training-related mentoring services. In 201</w:t>
      </w:r>
      <w:r w:rsidR="00E16A54" w:rsidRPr="003E3613">
        <w:rPr>
          <w:rFonts w:ascii="Book Antiqua" w:hAnsi="Book Antiqua"/>
          <w:sz w:val="23"/>
          <w:szCs w:val="23"/>
          <w:lang w:val="en-GB"/>
        </w:rPr>
        <w:t>8</w:t>
      </w:r>
      <w:r w:rsidRPr="003E3613">
        <w:rPr>
          <w:rFonts w:ascii="Book Antiqua" w:hAnsi="Book Antiqua"/>
          <w:sz w:val="23"/>
          <w:szCs w:val="23"/>
          <w:lang w:val="en-GB"/>
        </w:rPr>
        <w:t xml:space="preserve">, </w:t>
      </w:r>
      <w:r w:rsidR="00E16A54" w:rsidRPr="003E3613">
        <w:rPr>
          <w:rFonts w:ascii="Book Antiqua" w:hAnsi="Book Antiqua"/>
          <w:sz w:val="23"/>
          <w:szCs w:val="23"/>
          <w:lang w:val="en-GB"/>
        </w:rPr>
        <w:t>135</w:t>
      </w:r>
      <w:r w:rsidR="008C62D1" w:rsidRPr="003E3613">
        <w:rPr>
          <w:rFonts w:ascii="Book Antiqua" w:hAnsi="Book Antiqua"/>
          <w:sz w:val="23"/>
          <w:szCs w:val="23"/>
          <w:lang w:val="en-GB"/>
        </w:rPr>
        <w:t xml:space="preserve"> </w:t>
      </w:r>
      <w:r w:rsidR="00E16A54" w:rsidRPr="003E3613">
        <w:rPr>
          <w:rFonts w:ascii="Book Antiqua" w:hAnsi="Book Antiqua"/>
          <w:sz w:val="23"/>
          <w:szCs w:val="23"/>
          <w:lang w:val="en-GB"/>
        </w:rPr>
        <w:t>600</w:t>
      </w:r>
      <w:r w:rsidRPr="003E3613">
        <w:rPr>
          <w:rFonts w:ascii="Book Antiqua" w:hAnsi="Book Antiqua"/>
          <w:sz w:val="23"/>
          <w:szCs w:val="23"/>
          <w:lang w:val="en-GB"/>
        </w:rPr>
        <w:t xml:space="preserve"> persons participated in the programme; according to the estimations, 20% of them were Roma. 1</w:t>
      </w:r>
      <w:r w:rsidR="00E16A54" w:rsidRPr="003E3613">
        <w:rPr>
          <w:rFonts w:ascii="Book Antiqua" w:hAnsi="Book Antiqua"/>
          <w:sz w:val="23"/>
          <w:szCs w:val="23"/>
          <w:lang w:val="en-GB"/>
        </w:rPr>
        <w:t>8.2</w:t>
      </w:r>
      <w:r w:rsidRPr="003E3613">
        <w:rPr>
          <w:rFonts w:ascii="Book Antiqua" w:hAnsi="Book Antiqua"/>
          <w:sz w:val="23"/>
          <w:szCs w:val="23"/>
          <w:lang w:val="en-GB"/>
        </w:rPr>
        <w:t>% of the participants found employment on the primary labour market within 180 days after leaving the public employment scheme</w:t>
      </w:r>
      <w:r w:rsidR="00E16A54" w:rsidRPr="003E3613">
        <w:rPr>
          <w:rFonts w:ascii="Book Antiqua" w:hAnsi="Book Antiqua"/>
          <w:sz w:val="23"/>
          <w:szCs w:val="23"/>
          <w:lang w:val="en-GB"/>
        </w:rPr>
        <w:t>, which</w:t>
      </w:r>
      <w:r w:rsidR="001F6F2B" w:rsidRPr="003E3613">
        <w:rPr>
          <w:rFonts w:ascii="Book Antiqua" w:hAnsi="Book Antiqua"/>
          <w:sz w:val="23"/>
          <w:szCs w:val="23"/>
          <w:lang w:val="en-GB"/>
        </w:rPr>
        <w:t xml:space="preserve"> </w:t>
      </w:r>
      <w:r w:rsidR="00E16A54" w:rsidRPr="003E3613">
        <w:rPr>
          <w:rFonts w:ascii="Book Antiqua" w:hAnsi="Book Antiqua"/>
          <w:sz w:val="23"/>
          <w:szCs w:val="23"/>
          <w:lang w:val="en-GB"/>
        </w:rPr>
        <w:t>shows an increasing trend (in 2014 it was 13% and in 2015 15.6%)</w:t>
      </w:r>
      <w:r w:rsidRPr="003E3613">
        <w:rPr>
          <w:rFonts w:ascii="Book Antiqua" w:hAnsi="Book Antiqua"/>
          <w:sz w:val="23"/>
          <w:szCs w:val="23"/>
          <w:lang w:val="en-GB"/>
        </w:rPr>
        <w:t xml:space="preserve">. This is due, among others, to the fact that </w:t>
      </w:r>
      <w:r w:rsidR="00E16A54" w:rsidRPr="003E3613">
        <w:rPr>
          <w:rFonts w:ascii="Book Antiqua" w:hAnsi="Book Antiqua"/>
          <w:sz w:val="23"/>
          <w:szCs w:val="23"/>
          <w:lang w:val="en-GB"/>
        </w:rPr>
        <w:t xml:space="preserve">84 600 </w:t>
      </w:r>
      <w:r w:rsidRPr="003E3613">
        <w:rPr>
          <w:rFonts w:ascii="Book Antiqua" w:hAnsi="Book Antiqua"/>
          <w:sz w:val="23"/>
          <w:szCs w:val="23"/>
          <w:lang w:val="en-GB"/>
        </w:rPr>
        <w:t>participants received training within the framework of the programme, acquiring a basic knowledge in various professions.</w:t>
      </w:r>
    </w:p>
    <w:p w14:paraId="4F3F98D0" w14:textId="77777777" w:rsidR="009569D6" w:rsidRPr="003E3613" w:rsidRDefault="009569D6" w:rsidP="00204696">
      <w:pPr>
        <w:spacing w:after="0"/>
        <w:jc w:val="right"/>
        <w:rPr>
          <w:rFonts w:ascii="Book Antiqua" w:hAnsi="Book Antiqua"/>
          <w:sz w:val="23"/>
          <w:szCs w:val="23"/>
          <w:lang w:val="en-GB"/>
        </w:rPr>
      </w:pPr>
    </w:p>
    <w:p w14:paraId="55D64950" w14:textId="6038C26D" w:rsidR="00BF012C" w:rsidRPr="003E3613" w:rsidRDefault="00BF012C"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European Commission also acknowledged the efficiency of these measures in its Staff Working Document to the Country Report noting that the participation in the Public Employment Scheme has decreased. It noted that „between the first and third quarters of 2018 the number of participants fell by 40 000, or 22%. Its budget for 2019 is lower by 20% compared to 2018. The favourable economic cycle and </w:t>
      </w:r>
      <w:r w:rsidRPr="003E3613">
        <w:rPr>
          <w:rFonts w:ascii="Book Antiqua" w:hAnsi="Book Antiqua"/>
          <w:bCs/>
          <w:iCs/>
          <w:sz w:val="23"/>
          <w:szCs w:val="23"/>
          <w:lang w:val="en-GB"/>
        </w:rPr>
        <w:t>targeted measures improved the efficiency of the scheme</w:t>
      </w:r>
      <w:r w:rsidRPr="003E3613">
        <w:rPr>
          <w:rFonts w:ascii="Book Antiqua" w:hAnsi="Book Antiqua"/>
          <w:sz w:val="23"/>
          <w:szCs w:val="23"/>
          <w:lang w:val="en-GB"/>
        </w:rPr>
        <w:t>."</w:t>
      </w:r>
      <w:r w:rsidRPr="003E3613">
        <w:rPr>
          <w:rStyle w:val="FootnoteReference"/>
          <w:rFonts w:ascii="Book Antiqua" w:hAnsi="Book Antiqua"/>
          <w:sz w:val="23"/>
          <w:szCs w:val="23"/>
          <w:lang w:val="en-GB"/>
        </w:rPr>
        <w:footnoteReference w:id="34"/>
      </w:r>
    </w:p>
    <w:p w14:paraId="18C77588" w14:textId="77777777" w:rsidR="00BF012C" w:rsidRPr="003E3613" w:rsidRDefault="00BF012C" w:rsidP="00204696">
      <w:pPr>
        <w:spacing w:after="0"/>
        <w:jc w:val="both"/>
        <w:rPr>
          <w:rFonts w:ascii="Book Antiqua" w:hAnsi="Book Antiqua"/>
          <w:sz w:val="23"/>
          <w:szCs w:val="23"/>
          <w:lang w:val="en-GB"/>
        </w:rPr>
      </w:pPr>
    </w:p>
    <w:p w14:paraId="36F4925C" w14:textId="77777777" w:rsidR="009569D6" w:rsidRPr="003E3613" w:rsidRDefault="00167196"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Targeted measures were </w:t>
      </w:r>
      <w:r w:rsidR="00BF012C" w:rsidRPr="003E3613">
        <w:rPr>
          <w:rFonts w:ascii="Book Antiqua" w:hAnsi="Book Antiqua"/>
          <w:sz w:val="23"/>
          <w:szCs w:val="23"/>
          <w:lang w:val="en-GB"/>
        </w:rPr>
        <w:t xml:space="preserve">also </w:t>
      </w:r>
      <w:r w:rsidRPr="003E3613">
        <w:rPr>
          <w:rFonts w:ascii="Book Antiqua" w:hAnsi="Book Antiqua"/>
          <w:sz w:val="23"/>
          <w:szCs w:val="23"/>
          <w:lang w:val="en-GB"/>
        </w:rPr>
        <w:t>taken in order to strengthen the employment of Roma women: the ‘Growing Chances’ programme assists the employment of Roma women in social and childcare institutions and supports them in obtaining qualifications. More than 1000 Roma women had participated in the programme before 2016, and another 1000 people are still joining the programmes</w:t>
      </w:r>
      <w:r w:rsidR="009569D6" w:rsidRPr="003E3613">
        <w:rPr>
          <w:rFonts w:ascii="Book Antiqua" w:hAnsi="Book Antiqua"/>
          <w:sz w:val="23"/>
          <w:szCs w:val="23"/>
          <w:lang w:val="en-GB"/>
        </w:rPr>
        <w:t>.</w:t>
      </w:r>
    </w:p>
    <w:p w14:paraId="5F9FB6DA" w14:textId="77777777" w:rsidR="00503C39" w:rsidRPr="003E3613" w:rsidRDefault="00503C39" w:rsidP="00204696">
      <w:pPr>
        <w:spacing w:after="0"/>
        <w:jc w:val="both"/>
        <w:rPr>
          <w:rFonts w:ascii="Book Antiqua" w:hAnsi="Book Antiqua"/>
          <w:sz w:val="23"/>
          <w:szCs w:val="23"/>
          <w:lang w:val="en-GB"/>
        </w:rPr>
      </w:pPr>
    </w:p>
    <w:p w14:paraId="0D36A476" w14:textId="77777777" w:rsidR="00760E33" w:rsidRPr="003E3613" w:rsidRDefault="00503C39"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“Healthy Hungary 2014–2020” Healthcare Sectoral Strategy designated the reduction of inequalities and, within that, the reduction of health inequalities, as a fundamental interest of Hungarian society, which requires complex interventions working in synergy as well as specific programmes, adequate resources and a longer timescale. A number of public healthcare measures were taken </w:t>
      </w:r>
      <w:r w:rsidR="005611CD" w:rsidRPr="003E3613">
        <w:rPr>
          <w:rFonts w:ascii="Book Antiqua" w:hAnsi="Book Antiqua"/>
          <w:sz w:val="23"/>
          <w:szCs w:val="23"/>
          <w:lang w:val="en-GB"/>
        </w:rPr>
        <w:t xml:space="preserve">since 2010 </w:t>
      </w:r>
      <w:r w:rsidRPr="003E3613">
        <w:rPr>
          <w:rFonts w:ascii="Book Antiqua" w:hAnsi="Book Antiqua"/>
          <w:sz w:val="23"/>
          <w:szCs w:val="23"/>
          <w:lang w:val="en-GB"/>
        </w:rPr>
        <w:t>to combat the health inequality of the Roma population and to improve their health status.</w:t>
      </w:r>
    </w:p>
    <w:p w14:paraId="044FFF7D" w14:textId="77777777" w:rsidR="00730FCA" w:rsidRPr="003E3613" w:rsidRDefault="00730FCA" w:rsidP="00204696">
      <w:pPr>
        <w:spacing w:after="0"/>
        <w:jc w:val="both"/>
        <w:rPr>
          <w:rFonts w:ascii="Book Antiqua" w:hAnsi="Book Antiqua"/>
          <w:sz w:val="23"/>
          <w:szCs w:val="23"/>
          <w:lang w:val="en-GB"/>
        </w:rPr>
      </w:pPr>
    </w:p>
    <w:p w14:paraId="0C090FDE" w14:textId="77777777" w:rsidR="00730FCA" w:rsidRPr="003E3613" w:rsidRDefault="00730FCA" w:rsidP="00204696">
      <w:pPr>
        <w:spacing w:after="0"/>
        <w:jc w:val="both"/>
        <w:rPr>
          <w:rFonts w:ascii="Book Antiqua" w:hAnsi="Book Antiqua"/>
          <w:sz w:val="23"/>
          <w:szCs w:val="23"/>
          <w:lang w:val="en-GB"/>
        </w:rPr>
      </w:pPr>
      <w:r w:rsidRPr="003E3613">
        <w:rPr>
          <w:rFonts w:ascii="Book Antiqua" w:hAnsi="Book Antiqua"/>
          <w:sz w:val="23"/>
          <w:szCs w:val="23"/>
          <w:lang w:val="en-GB"/>
        </w:rPr>
        <w:t>It is worth mentioning some of the government measures:</w:t>
      </w:r>
    </w:p>
    <w:p w14:paraId="52B266A1" w14:textId="11CD9092" w:rsidR="00BC2242" w:rsidRPr="003E3613" w:rsidRDefault="005611CD" w:rsidP="00204696">
      <w:pPr>
        <w:pStyle w:val="ListParagraph"/>
        <w:numPr>
          <w:ilvl w:val="0"/>
          <w:numId w:val="22"/>
        </w:numPr>
        <w:spacing w:after="0"/>
        <w:jc w:val="both"/>
        <w:rPr>
          <w:rFonts w:ascii="Book Antiqua" w:hAnsi="Book Antiqua"/>
          <w:sz w:val="23"/>
          <w:szCs w:val="23"/>
          <w:lang w:val="en-GB"/>
        </w:rPr>
      </w:pPr>
      <w:r w:rsidRPr="003E3613">
        <w:rPr>
          <w:rFonts w:ascii="Book Antiqua" w:hAnsi="Book Antiqua"/>
          <w:sz w:val="23"/>
          <w:szCs w:val="23"/>
          <w:lang w:val="en-GB"/>
        </w:rPr>
        <w:t xml:space="preserve">The </w:t>
      </w:r>
      <w:r w:rsidR="00492C79" w:rsidRPr="003E3613">
        <w:rPr>
          <w:rFonts w:ascii="Book Antiqua" w:hAnsi="Book Antiqua"/>
          <w:sz w:val="23"/>
          <w:szCs w:val="23"/>
          <w:lang w:val="en-GB"/>
        </w:rPr>
        <w:t xml:space="preserve">nurseries provide four meals, kindergartens and </w:t>
      </w:r>
      <w:r w:rsidRPr="003E3613">
        <w:rPr>
          <w:rFonts w:ascii="Book Antiqua" w:hAnsi="Book Antiqua"/>
          <w:sz w:val="23"/>
          <w:szCs w:val="23"/>
          <w:lang w:val="en-GB"/>
        </w:rPr>
        <w:t xml:space="preserve">schools provide </w:t>
      </w:r>
      <w:r w:rsidR="00492C79" w:rsidRPr="003E3613">
        <w:rPr>
          <w:rFonts w:ascii="Book Antiqua" w:hAnsi="Book Antiqua"/>
          <w:sz w:val="23"/>
          <w:szCs w:val="23"/>
          <w:lang w:val="en-GB"/>
        </w:rPr>
        <w:t xml:space="preserve">three </w:t>
      </w:r>
      <w:r w:rsidRPr="003E3613">
        <w:rPr>
          <w:rFonts w:ascii="Book Antiqua" w:hAnsi="Book Antiqua"/>
          <w:sz w:val="23"/>
          <w:szCs w:val="23"/>
          <w:lang w:val="en-GB"/>
        </w:rPr>
        <w:t>free meal</w:t>
      </w:r>
      <w:r w:rsidR="00492C79" w:rsidRPr="003E3613">
        <w:rPr>
          <w:rFonts w:ascii="Book Antiqua" w:hAnsi="Book Antiqua"/>
          <w:sz w:val="23"/>
          <w:szCs w:val="23"/>
          <w:lang w:val="en-GB"/>
        </w:rPr>
        <w:t>s</w:t>
      </w:r>
      <w:r w:rsidRPr="003E3613">
        <w:rPr>
          <w:rFonts w:ascii="Book Antiqua" w:hAnsi="Book Antiqua"/>
          <w:sz w:val="23"/>
          <w:szCs w:val="23"/>
          <w:lang w:val="en-GB"/>
        </w:rPr>
        <w:t>/per day</w:t>
      </w:r>
      <w:r w:rsidR="00492C79" w:rsidRPr="003E3613">
        <w:rPr>
          <w:rFonts w:ascii="Book Antiqua" w:hAnsi="Book Antiqua"/>
          <w:sz w:val="23"/>
          <w:szCs w:val="23"/>
          <w:lang w:val="en-GB"/>
        </w:rPr>
        <w:t xml:space="preserve">, and in the holidays local governments provide one hot free meal per </w:t>
      </w:r>
      <w:r w:rsidR="00492C79" w:rsidRPr="003E3613">
        <w:rPr>
          <w:rFonts w:ascii="Book Antiqua" w:hAnsi="Book Antiqua"/>
          <w:sz w:val="23"/>
          <w:szCs w:val="23"/>
          <w:lang w:val="en-GB"/>
        </w:rPr>
        <w:lastRenderedPageBreak/>
        <w:t>day</w:t>
      </w:r>
      <w:r w:rsidRPr="003E3613">
        <w:rPr>
          <w:rFonts w:ascii="Book Antiqua" w:hAnsi="Book Antiqua"/>
          <w:sz w:val="23"/>
          <w:szCs w:val="23"/>
          <w:lang w:val="en-GB"/>
        </w:rPr>
        <w:t xml:space="preserve"> for the disadvantaged children.</w:t>
      </w:r>
      <w:r w:rsidR="001F6F2B" w:rsidRPr="003E3613">
        <w:rPr>
          <w:rFonts w:ascii="Book Antiqua" w:hAnsi="Book Antiqua"/>
          <w:sz w:val="23"/>
          <w:szCs w:val="23"/>
          <w:lang w:val="en-GB"/>
        </w:rPr>
        <w:t xml:space="preserve"> </w:t>
      </w:r>
      <w:r w:rsidRPr="003E3613">
        <w:rPr>
          <w:rFonts w:ascii="Book Antiqua" w:hAnsi="Book Antiqua"/>
          <w:sz w:val="23"/>
          <w:szCs w:val="23"/>
          <w:lang w:val="en-GB"/>
        </w:rPr>
        <w:t>For most of them this is the only chance to recieve healthy, nutritious meal.</w:t>
      </w:r>
    </w:p>
    <w:p w14:paraId="2118040F" w14:textId="77777777" w:rsidR="004D28AA" w:rsidRPr="003E3613" w:rsidRDefault="00BC2242" w:rsidP="00204696">
      <w:pPr>
        <w:pStyle w:val="ListParagraph"/>
        <w:numPr>
          <w:ilvl w:val="0"/>
          <w:numId w:val="22"/>
        </w:numPr>
        <w:spacing w:after="0"/>
        <w:jc w:val="both"/>
        <w:rPr>
          <w:rFonts w:ascii="Book Antiqua" w:hAnsi="Book Antiqua"/>
          <w:sz w:val="23"/>
          <w:szCs w:val="23"/>
          <w:lang w:val="en-GB"/>
        </w:rPr>
      </w:pPr>
      <w:r w:rsidRPr="003E3613">
        <w:rPr>
          <w:rFonts w:ascii="Book Antiqua" w:hAnsi="Book Antiqua"/>
          <w:sz w:val="23"/>
          <w:szCs w:val="23"/>
          <w:lang w:val="en-GB"/>
        </w:rPr>
        <w:t>Hungary</w:t>
      </w:r>
      <w:r w:rsidR="005611CD" w:rsidRPr="003E3613">
        <w:rPr>
          <w:rFonts w:ascii="Book Antiqua" w:hAnsi="Book Antiqua"/>
          <w:sz w:val="23"/>
          <w:szCs w:val="23"/>
          <w:lang w:val="en-GB"/>
        </w:rPr>
        <w:t xml:space="preserve"> provides compulsory (and optional) vaccines for children and the general public covering a wide range of infectious diseases in order to ensure equal access and to tackle disadvantages between different socio-economic groups.</w:t>
      </w:r>
    </w:p>
    <w:p w14:paraId="3160778F" w14:textId="77777777" w:rsidR="004D28AA" w:rsidRPr="003E3613" w:rsidRDefault="004D28AA" w:rsidP="00204696">
      <w:pPr>
        <w:pStyle w:val="ListParagraph"/>
        <w:numPr>
          <w:ilvl w:val="0"/>
          <w:numId w:val="22"/>
        </w:numPr>
        <w:spacing w:after="0"/>
        <w:jc w:val="both"/>
        <w:rPr>
          <w:rFonts w:ascii="Book Antiqua" w:hAnsi="Book Antiqua"/>
          <w:sz w:val="23"/>
          <w:szCs w:val="23"/>
          <w:lang w:val="en-GB"/>
        </w:rPr>
      </w:pPr>
      <w:r w:rsidRPr="003E3613">
        <w:rPr>
          <w:rFonts w:ascii="Book Antiqua" w:hAnsi="Book Antiqua"/>
          <w:sz w:val="23"/>
          <w:szCs w:val="23"/>
          <w:lang w:val="en-GB"/>
        </w:rPr>
        <w:t>N</w:t>
      </w:r>
      <w:r w:rsidR="005611CD" w:rsidRPr="003E3613">
        <w:rPr>
          <w:rFonts w:ascii="Book Antiqua" w:hAnsi="Book Antiqua"/>
          <w:sz w:val="23"/>
          <w:szCs w:val="23"/>
          <w:lang w:val="en-GB"/>
        </w:rPr>
        <w:t>ationally organi</w:t>
      </w:r>
      <w:r w:rsidR="00BD0A8B" w:rsidRPr="003E3613">
        <w:rPr>
          <w:rFonts w:ascii="Book Antiqua" w:hAnsi="Book Antiqua"/>
          <w:sz w:val="23"/>
          <w:szCs w:val="23"/>
          <w:lang w:val="en-GB"/>
        </w:rPr>
        <w:t>s</w:t>
      </w:r>
      <w:r w:rsidR="005611CD" w:rsidRPr="003E3613">
        <w:rPr>
          <w:rFonts w:ascii="Book Antiqua" w:hAnsi="Book Antiqua"/>
          <w:sz w:val="23"/>
          <w:szCs w:val="23"/>
          <w:lang w:val="en-GB"/>
        </w:rPr>
        <w:t xml:space="preserve">ed system of public </w:t>
      </w:r>
      <w:r w:rsidRPr="003E3613">
        <w:rPr>
          <w:rFonts w:ascii="Book Antiqua" w:hAnsi="Book Antiqua"/>
          <w:sz w:val="23"/>
          <w:szCs w:val="23"/>
          <w:lang w:val="en-GB"/>
        </w:rPr>
        <w:t>health screening: its</w:t>
      </w:r>
      <w:r w:rsidR="005611CD" w:rsidRPr="003E3613">
        <w:rPr>
          <w:rFonts w:ascii="Book Antiqua" w:hAnsi="Book Antiqua"/>
          <w:sz w:val="23"/>
          <w:szCs w:val="23"/>
          <w:lang w:val="en-GB"/>
        </w:rPr>
        <w:t xml:space="preserve"> goal is to halt the current tendency of increasing cancer incidence and to reduce the number of cancer deaths. </w:t>
      </w:r>
    </w:p>
    <w:p w14:paraId="0F573B9A" w14:textId="77777777" w:rsidR="00492C79" w:rsidRPr="003E3613" w:rsidRDefault="005611CD" w:rsidP="00204696">
      <w:pPr>
        <w:pStyle w:val="ListParagraph"/>
        <w:numPr>
          <w:ilvl w:val="0"/>
          <w:numId w:val="22"/>
        </w:numPr>
        <w:spacing w:after="0"/>
        <w:jc w:val="both"/>
        <w:rPr>
          <w:rFonts w:ascii="Book Antiqua" w:hAnsi="Book Antiqua"/>
          <w:sz w:val="23"/>
          <w:szCs w:val="23"/>
          <w:lang w:val="en-GB"/>
        </w:rPr>
      </w:pPr>
      <w:r w:rsidRPr="003E3613">
        <w:rPr>
          <w:rFonts w:ascii="Book Antiqua" w:hAnsi="Book Antiqua"/>
          <w:sz w:val="23"/>
          <w:szCs w:val="23"/>
          <w:lang w:val="en-GB"/>
        </w:rPr>
        <w:t>In order to support the healthcare system 5 National Healthcare Programs (cancer, cardiovascular diseases, musculoskeletal diseases mental health, child health) have been developed.</w:t>
      </w:r>
      <w:r w:rsidR="004D28AA" w:rsidRPr="003E3613">
        <w:rPr>
          <w:rFonts w:ascii="Book Antiqua" w:hAnsi="Book Antiqua"/>
          <w:sz w:val="23"/>
          <w:szCs w:val="23"/>
          <w:lang w:val="en-GB"/>
        </w:rPr>
        <w:t xml:space="preserve"> </w:t>
      </w:r>
      <w:r w:rsidRPr="003E3613">
        <w:rPr>
          <w:rFonts w:ascii="Book Antiqua" w:hAnsi="Book Antiqua"/>
          <w:sz w:val="23"/>
          <w:szCs w:val="23"/>
          <w:lang w:val="en-GB"/>
        </w:rPr>
        <w:t>The programs are consistent with the WHO's Europe 2020 Strategy, taking into account the national health programs of several EU Member States and the relevant European guidelines</w:t>
      </w:r>
      <w:r w:rsidR="00492C79" w:rsidRPr="003E3613">
        <w:rPr>
          <w:rFonts w:ascii="Book Antiqua" w:hAnsi="Book Antiqua"/>
          <w:sz w:val="23"/>
          <w:szCs w:val="23"/>
          <w:lang w:val="en-GB"/>
        </w:rPr>
        <w:t>,</w:t>
      </w:r>
    </w:p>
    <w:p w14:paraId="5CD7870F" w14:textId="209644CF" w:rsidR="005611CD" w:rsidRPr="003E3613" w:rsidRDefault="00492C79" w:rsidP="00204696">
      <w:pPr>
        <w:pStyle w:val="ListParagraph"/>
        <w:numPr>
          <w:ilvl w:val="0"/>
          <w:numId w:val="22"/>
        </w:numPr>
        <w:spacing w:after="0"/>
        <w:jc w:val="both"/>
        <w:rPr>
          <w:rFonts w:ascii="Book Antiqua" w:hAnsi="Book Antiqua"/>
          <w:sz w:val="23"/>
          <w:szCs w:val="23"/>
          <w:lang w:val="en-GB"/>
        </w:rPr>
      </w:pPr>
      <w:r w:rsidRPr="003E3613">
        <w:rPr>
          <w:rFonts w:ascii="Book Antiqua" w:hAnsi="Book Antiqua"/>
          <w:sz w:val="23"/>
          <w:szCs w:val="23"/>
          <w:lang w:val="en-GB"/>
        </w:rPr>
        <w:t>116 Health Promoting Offices (HPO’s) in 112 micro regions (31 in the disadvantaged regions). The primary aim is to organize and coordinate healthy lifestyle programs and to mobilize the target population to participate in organized screening as well as screening of CVD risk factors. 93 out of the 116 HPO’s provide mental health promoting services, as well. HPOs are involved in reaching people in disadvantaged regions</w:t>
      </w:r>
      <w:r w:rsidR="005611CD" w:rsidRPr="003E3613">
        <w:rPr>
          <w:rFonts w:ascii="Book Antiqua" w:hAnsi="Book Antiqua"/>
          <w:sz w:val="23"/>
          <w:szCs w:val="23"/>
          <w:lang w:val="en-GB"/>
        </w:rPr>
        <w:t>.</w:t>
      </w:r>
    </w:p>
    <w:p w14:paraId="536529AF" w14:textId="77777777" w:rsidR="00760E33" w:rsidRPr="003E3613" w:rsidRDefault="00760E33" w:rsidP="00204696">
      <w:pPr>
        <w:spacing w:after="0"/>
        <w:jc w:val="both"/>
        <w:rPr>
          <w:rFonts w:ascii="Book Antiqua" w:hAnsi="Book Antiqua"/>
          <w:sz w:val="23"/>
          <w:szCs w:val="23"/>
          <w:lang w:val="en-GB"/>
        </w:rPr>
      </w:pPr>
    </w:p>
    <w:p w14:paraId="6AFCF33E" w14:textId="77777777" w:rsidR="00503C39" w:rsidRPr="003E3613" w:rsidRDefault="00503C39" w:rsidP="00204696">
      <w:pPr>
        <w:spacing w:after="0"/>
        <w:jc w:val="both"/>
        <w:rPr>
          <w:rFonts w:ascii="Book Antiqua" w:hAnsi="Book Antiqua"/>
          <w:sz w:val="23"/>
          <w:szCs w:val="23"/>
          <w:lang w:val="en-GB"/>
        </w:rPr>
      </w:pPr>
      <w:r w:rsidRPr="003E3613">
        <w:rPr>
          <w:rFonts w:ascii="Book Antiqua" w:hAnsi="Book Antiqua"/>
          <w:sz w:val="23"/>
          <w:szCs w:val="23"/>
          <w:lang w:val="en-GB"/>
        </w:rPr>
        <w:t>In the field of the development of primary care, 4 practice communities were set up with the participation of 24 primary care practices in the North Great-Plain and Northern Hungary regions in the framework of the Swiss-Hungarian Cooperation Programme. The objective of the programme is to develop and test a model of primary care that focuses on prevention and the care of patients with chronic diseases, is oriented at the community and involves local communities (in particular the Roma population) in close cooperation with local and ethnic local governments, local health-care and social services and medical faculties, and also to formulate recommendations (based on experience) for national health-care policy. Enhancing the quality and equality of access to primary healthcare services for the Roma population living in the areas of the practice community are priorities of this programme; local Roma communities are involved (Roma mother-child health programme; training Roma health guardians; training Roma health representatives). In the framework of the programme, the health status of 20</w:t>
      </w:r>
      <w:r w:rsidR="008C62D1" w:rsidRPr="003E3613">
        <w:rPr>
          <w:rFonts w:ascii="Book Antiqua" w:hAnsi="Book Antiqua"/>
          <w:sz w:val="23"/>
          <w:szCs w:val="23"/>
          <w:lang w:val="en-GB"/>
        </w:rPr>
        <w:t xml:space="preserve"> </w:t>
      </w:r>
      <w:r w:rsidRPr="003E3613">
        <w:rPr>
          <w:rFonts w:ascii="Book Antiqua" w:hAnsi="Book Antiqua"/>
          <w:sz w:val="23"/>
          <w:szCs w:val="23"/>
          <w:lang w:val="en-GB"/>
        </w:rPr>
        <w:t>000 adults (40% of whom are Roma) w</w:t>
      </w:r>
      <w:r w:rsidR="00AE3084" w:rsidRPr="003E3613">
        <w:rPr>
          <w:rFonts w:ascii="Book Antiqua" w:hAnsi="Book Antiqua"/>
          <w:sz w:val="23"/>
          <w:szCs w:val="23"/>
          <w:lang w:val="en-GB"/>
        </w:rPr>
        <w:t>ere</w:t>
      </w:r>
      <w:r w:rsidRPr="003E3613">
        <w:rPr>
          <w:rFonts w:ascii="Book Antiqua" w:hAnsi="Book Antiqua"/>
          <w:sz w:val="23"/>
          <w:szCs w:val="23"/>
          <w:lang w:val="en-GB"/>
        </w:rPr>
        <w:t xml:space="preserve"> surveyed. </w:t>
      </w:r>
    </w:p>
    <w:p w14:paraId="050C751B" w14:textId="77777777" w:rsidR="00503C39" w:rsidRPr="003E3613" w:rsidRDefault="00503C39" w:rsidP="00204696">
      <w:pPr>
        <w:spacing w:after="0"/>
        <w:jc w:val="both"/>
        <w:rPr>
          <w:rFonts w:ascii="Book Antiqua" w:hAnsi="Book Antiqua"/>
          <w:sz w:val="23"/>
          <w:szCs w:val="23"/>
          <w:lang w:val="en-GB"/>
        </w:rPr>
      </w:pPr>
    </w:p>
    <w:p w14:paraId="5BE7F5B1" w14:textId="482F6A3A" w:rsidR="00660031" w:rsidRDefault="00503C39"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Regarding housing, in 2014 the </w:t>
      </w:r>
      <w:r w:rsidR="00B4533F" w:rsidRPr="003E3613">
        <w:rPr>
          <w:rFonts w:ascii="Book Antiqua" w:hAnsi="Book Antiqua"/>
          <w:sz w:val="23"/>
          <w:szCs w:val="23"/>
          <w:lang w:val="en-GB"/>
        </w:rPr>
        <w:t>G</w:t>
      </w:r>
      <w:r w:rsidRPr="003E3613">
        <w:rPr>
          <w:rFonts w:ascii="Book Antiqua" w:hAnsi="Book Antiqua"/>
          <w:sz w:val="23"/>
          <w:szCs w:val="23"/>
          <w:lang w:val="en-GB"/>
        </w:rPr>
        <w:t xml:space="preserve">overnment adopted a </w:t>
      </w:r>
      <w:r w:rsidR="00826E32" w:rsidRPr="003E3613">
        <w:rPr>
          <w:rFonts w:ascii="Book Antiqua" w:hAnsi="Book Antiqua"/>
          <w:sz w:val="23"/>
          <w:szCs w:val="23"/>
          <w:lang w:val="en-GB"/>
        </w:rPr>
        <w:t xml:space="preserve">policy </w:t>
      </w:r>
      <w:r w:rsidRPr="003E3613">
        <w:rPr>
          <w:rFonts w:ascii="Book Antiqua" w:hAnsi="Book Antiqua"/>
          <w:sz w:val="23"/>
          <w:szCs w:val="23"/>
          <w:lang w:val="en-GB"/>
        </w:rPr>
        <w:t>strategy for the period from 2014 to 2020 that lays down the foundations of the treatment of slum-like housing in segregated settlements. The general objective is to eliminate slum-like areas that are often hardly suitable for the housing of people and, in certain cases, to rehabilitate slum-like areas, connecting them to the urban tissue. The main objective of the strategy is to present and institutionalise a set of tools for hindering the re-establishment of slums,</w:t>
      </w:r>
      <w:r w:rsidR="00660031">
        <w:rPr>
          <w:rFonts w:ascii="Book Antiqua" w:hAnsi="Book Antiqua"/>
          <w:sz w:val="23"/>
          <w:szCs w:val="23"/>
          <w:lang w:val="en-GB"/>
        </w:rPr>
        <w:t xml:space="preserve"> </w:t>
      </w:r>
    </w:p>
    <w:p w14:paraId="06B15BF5" w14:textId="77777777" w:rsidR="00660031" w:rsidRDefault="00660031">
      <w:pPr>
        <w:rPr>
          <w:rFonts w:ascii="Book Antiqua" w:hAnsi="Book Antiqua"/>
          <w:sz w:val="23"/>
          <w:szCs w:val="23"/>
          <w:lang w:val="en-GB"/>
        </w:rPr>
      </w:pPr>
      <w:r>
        <w:rPr>
          <w:rFonts w:ascii="Book Antiqua" w:hAnsi="Book Antiqua"/>
          <w:sz w:val="23"/>
          <w:szCs w:val="23"/>
          <w:lang w:val="en-GB"/>
        </w:rPr>
        <w:br w:type="page"/>
      </w:r>
    </w:p>
    <w:p w14:paraId="49F54FB8" w14:textId="53E938AC" w:rsidR="004102CA" w:rsidRPr="003E3613" w:rsidRDefault="00503C39"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 xml:space="preserve">degrading parts of settlements and settlements – collectively, housing marginalisation and the spatial concentration thereof, – in order to stop segregation and lagging processes, and to eliminate current living situations in slums; in order to eliminate slum-like housing long-term. With the use of EU funding, Hungary committed itself to </w:t>
      </w:r>
      <w:r w:rsidR="00826E32" w:rsidRPr="003E3613">
        <w:rPr>
          <w:rFonts w:ascii="Book Antiqua" w:hAnsi="Book Antiqua"/>
          <w:sz w:val="23"/>
          <w:szCs w:val="23"/>
          <w:lang w:val="en-GB"/>
        </w:rPr>
        <w:t xml:space="preserve">involve </w:t>
      </w:r>
      <w:r w:rsidRPr="003E3613">
        <w:rPr>
          <w:rFonts w:ascii="Book Antiqua" w:hAnsi="Book Antiqua"/>
          <w:sz w:val="23"/>
          <w:szCs w:val="23"/>
          <w:lang w:val="en-GB"/>
        </w:rPr>
        <w:t xml:space="preserve">one in every seven segregated areas in rehabilitation programmes. </w:t>
      </w:r>
      <w:r w:rsidR="00F6339C" w:rsidRPr="003E3613">
        <w:rPr>
          <w:rFonts w:ascii="Book Antiqua" w:hAnsi="Book Antiqua"/>
          <w:sz w:val="23"/>
          <w:szCs w:val="23"/>
          <w:lang w:val="en-GB"/>
        </w:rPr>
        <w:t>A</w:t>
      </w:r>
      <w:r w:rsidRPr="003E3613">
        <w:rPr>
          <w:rFonts w:ascii="Book Antiqua" w:hAnsi="Book Antiqua"/>
          <w:sz w:val="23"/>
          <w:szCs w:val="23"/>
          <w:lang w:val="en-GB"/>
        </w:rPr>
        <w:t xml:space="preserve"> map of segregated area</w:t>
      </w:r>
      <w:r w:rsidR="00AC6807" w:rsidRPr="003E3613">
        <w:rPr>
          <w:rFonts w:ascii="Book Antiqua" w:hAnsi="Book Antiqua"/>
          <w:sz w:val="23"/>
          <w:szCs w:val="23"/>
          <w:lang w:val="en-GB"/>
        </w:rPr>
        <w:t>s</w:t>
      </w:r>
      <w:r w:rsidRPr="003E3613">
        <w:rPr>
          <w:rFonts w:ascii="Book Antiqua" w:hAnsi="Book Antiqua"/>
          <w:sz w:val="23"/>
          <w:szCs w:val="23"/>
          <w:lang w:val="en-GB"/>
        </w:rPr>
        <w:t xml:space="preserve"> was compiled, which shows the territorial concentration of disadvantaged population (based on academic qualification and income status rather than on ethnicity). According </w:t>
      </w:r>
      <w:r w:rsidR="00B4533F" w:rsidRPr="003E3613">
        <w:rPr>
          <w:rFonts w:ascii="Book Antiqua" w:hAnsi="Book Antiqua"/>
          <w:sz w:val="23"/>
          <w:szCs w:val="23"/>
          <w:lang w:val="en-GB"/>
        </w:rPr>
        <w:t xml:space="preserve">to </w:t>
      </w:r>
      <w:r w:rsidRPr="003E3613">
        <w:rPr>
          <w:rFonts w:ascii="Book Antiqua" w:hAnsi="Book Antiqua"/>
          <w:sz w:val="23"/>
          <w:szCs w:val="23"/>
          <w:lang w:val="en-GB"/>
        </w:rPr>
        <w:t>the map data, EU-funded developments are being implemented in 197 segregated areas.</w:t>
      </w:r>
    </w:p>
    <w:p w14:paraId="6300278C" w14:textId="77777777" w:rsidR="00FD7B29" w:rsidRPr="003E3613" w:rsidRDefault="00FD7B29" w:rsidP="00204696">
      <w:pPr>
        <w:spacing w:after="0"/>
        <w:jc w:val="both"/>
        <w:rPr>
          <w:rFonts w:ascii="Book Antiqua" w:hAnsi="Book Antiqua"/>
          <w:sz w:val="23"/>
          <w:szCs w:val="23"/>
          <w:lang w:val="en-GB"/>
        </w:rPr>
      </w:pPr>
    </w:p>
    <w:p w14:paraId="17FA20AB" w14:textId="77777777" w:rsidR="00C7210E" w:rsidRPr="003E3613" w:rsidRDefault="00FD7B29"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results of the Government’s initiatives launched in recent years can already be measured by data. </w:t>
      </w:r>
      <w:r w:rsidR="00C7210E" w:rsidRPr="003E3613">
        <w:rPr>
          <w:rFonts w:ascii="Book Antiqua" w:hAnsi="Book Antiqua"/>
          <w:sz w:val="23"/>
          <w:szCs w:val="23"/>
          <w:lang w:val="en-GB"/>
        </w:rPr>
        <w:t>Since 2013, the Central Statistical Office (CSO) has been examining the living conditions of the Roma population, including the development of poverty indicators.</w:t>
      </w:r>
      <w:r w:rsidR="00C7210E" w:rsidRPr="003E3613">
        <w:rPr>
          <w:lang w:val="en-GB"/>
        </w:rPr>
        <w:t xml:space="preserve"> </w:t>
      </w:r>
      <w:r w:rsidRPr="003E3613">
        <w:rPr>
          <w:rFonts w:ascii="Book Antiqua" w:hAnsi="Book Antiqua"/>
          <w:sz w:val="23"/>
          <w:szCs w:val="23"/>
          <w:lang w:val="en-GB"/>
        </w:rPr>
        <w:t>According to the data published by the CSO</w:t>
      </w:r>
      <w:r w:rsidRPr="003E3613">
        <w:rPr>
          <w:rFonts w:ascii="Book Antiqua" w:hAnsi="Book Antiqua"/>
          <w:sz w:val="23"/>
          <w:szCs w:val="23"/>
          <w:vertAlign w:val="superscript"/>
          <w:lang w:val="en-GB"/>
        </w:rPr>
        <w:footnoteReference w:id="35"/>
      </w:r>
      <w:r w:rsidRPr="003E3613">
        <w:rPr>
          <w:rFonts w:ascii="Book Antiqua" w:hAnsi="Book Antiqua"/>
          <w:sz w:val="23"/>
          <w:szCs w:val="23"/>
          <w:lang w:val="en-GB"/>
        </w:rPr>
        <w:t xml:space="preserve"> the rate of those at risk of poverty or social exclusion was </w:t>
      </w:r>
      <w:r w:rsidR="00C7210E" w:rsidRPr="003E3613">
        <w:rPr>
          <w:rFonts w:ascii="Book Antiqua" w:hAnsi="Book Antiqua"/>
          <w:sz w:val="23"/>
          <w:szCs w:val="23"/>
          <w:lang w:val="en-GB"/>
        </w:rPr>
        <w:t>19</w:t>
      </w:r>
      <w:r w:rsidRPr="003E3613">
        <w:rPr>
          <w:rFonts w:ascii="Book Antiqua" w:hAnsi="Book Antiqua"/>
          <w:sz w:val="23"/>
          <w:szCs w:val="23"/>
          <w:lang w:val="en-GB"/>
        </w:rPr>
        <w:t>.6% in 201</w:t>
      </w:r>
      <w:r w:rsidR="00C7210E" w:rsidRPr="003E3613">
        <w:rPr>
          <w:rFonts w:ascii="Book Antiqua" w:hAnsi="Book Antiqua"/>
          <w:sz w:val="23"/>
          <w:szCs w:val="23"/>
          <w:lang w:val="en-GB"/>
        </w:rPr>
        <w:t>7</w:t>
      </w:r>
      <w:r w:rsidRPr="003E3613">
        <w:rPr>
          <w:rFonts w:ascii="Book Antiqua" w:hAnsi="Book Antiqua"/>
          <w:sz w:val="23"/>
          <w:szCs w:val="23"/>
          <w:lang w:val="en-GB"/>
        </w:rPr>
        <w:t xml:space="preserve">, which signifies a decrease of </w:t>
      </w:r>
      <w:r w:rsidR="00C7210E" w:rsidRPr="003E3613">
        <w:rPr>
          <w:rFonts w:ascii="Book Antiqua" w:hAnsi="Book Antiqua"/>
          <w:sz w:val="23"/>
          <w:szCs w:val="23"/>
          <w:lang w:val="en-GB"/>
        </w:rPr>
        <w:t>15</w:t>
      </w:r>
      <w:r w:rsidRPr="003E3613">
        <w:rPr>
          <w:rFonts w:ascii="Book Antiqua" w:hAnsi="Book Antiqua"/>
          <w:sz w:val="23"/>
          <w:szCs w:val="23"/>
          <w:lang w:val="en-GB"/>
        </w:rPr>
        <w:t>.2 percentage points as compared to the peak in 2012, while it represents a decrease of 0.</w:t>
      </w:r>
      <w:r w:rsidR="00C7210E" w:rsidRPr="003E3613">
        <w:rPr>
          <w:rFonts w:ascii="Book Antiqua" w:hAnsi="Book Antiqua"/>
          <w:sz w:val="23"/>
          <w:szCs w:val="23"/>
          <w:lang w:val="en-GB"/>
        </w:rPr>
        <w:t>6</w:t>
      </w:r>
      <w:r w:rsidRPr="003E3613">
        <w:rPr>
          <w:rFonts w:ascii="Book Antiqua" w:hAnsi="Book Antiqua"/>
          <w:sz w:val="23"/>
          <w:szCs w:val="23"/>
          <w:lang w:val="en-GB"/>
        </w:rPr>
        <w:t xml:space="preserve"> percentage points as compared to the data of 201</w:t>
      </w:r>
      <w:r w:rsidR="00C7210E" w:rsidRPr="003E3613">
        <w:rPr>
          <w:rFonts w:ascii="Book Antiqua" w:hAnsi="Book Antiqua"/>
          <w:sz w:val="23"/>
          <w:szCs w:val="23"/>
          <w:lang w:val="en-GB"/>
        </w:rPr>
        <w:t>6</w:t>
      </w:r>
      <w:r w:rsidRPr="003E3613">
        <w:rPr>
          <w:rFonts w:ascii="Book Antiqua" w:hAnsi="Book Antiqua"/>
          <w:sz w:val="23"/>
          <w:szCs w:val="23"/>
          <w:lang w:val="en-GB"/>
        </w:rPr>
        <w:t xml:space="preserve">. </w:t>
      </w:r>
      <w:r w:rsidR="00C7210E" w:rsidRPr="003E3613">
        <w:rPr>
          <w:rFonts w:ascii="Book Antiqua" w:hAnsi="Book Antiqua"/>
          <w:sz w:val="23"/>
          <w:szCs w:val="23"/>
          <w:lang w:val="en-GB"/>
        </w:rPr>
        <w:t>In the case of the Roma population, the proportion of people at risk of poverty or social exclusion was 67.8% in 2017, which is 7.8 percentage points lower than in 2016 and 15 percentage points lower as compared to the data of 2015. A significant improvement can be recognised in the labour intensity indicator as well: in 2016, every fourth person, while in 2017, only 15.1% of Roma lived in a low work intensity household, which can mainly be attributed to the introduction of the active employment policy measures.</w:t>
      </w:r>
    </w:p>
    <w:p w14:paraId="71C40ECB" w14:textId="77777777" w:rsidR="00FD7B29" w:rsidRPr="003E3613" w:rsidRDefault="00FD7B29" w:rsidP="00204696">
      <w:pPr>
        <w:spacing w:after="0"/>
        <w:jc w:val="both"/>
        <w:rPr>
          <w:rFonts w:ascii="Book Antiqua" w:hAnsi="Book Antiqua"/>
          <w:sz w:val="23"/>
          <w:szCs w:val="23"/>
          <w:lang w:val="en-GB"/>
        </w:rPr>
      </w:pPr>
    </w:p>
    <w:p w14:paraId="09787750" w14:textId="77777777" w:rsidR="00FD7B29" w:rsidRPr="003E3613" w:rsidRDefault="00FD7B29" w:rsidP="00204696">
      <w:pPr>
        <w:spacing w:after="0"/>
        <w:jc w:val="both"/>
        <w:rPr>
          <w:rFonts w:ascii="Book Antiqua" w:hAnsi="Book Antiqua"/>
          <w:sz w:val="23"/>
          <w:szCs w:val="23"/>
          <w:lang w:val="en-GB"/>
        </w:rPr>
      </w:pPr>
      <w:r w:rsidRPr="003E3613">
        <w:rPr>
          <w:rFonts w:ascii="Book Antiqua" w:hAnsi="Book Antiqua"/>
          <w:sz w:val="23"/>
          <w:szCs w:val="23"/>
          <w:lang w:val="en-GB"/>
        </w:rPr>
        <w:t>The results are apparent even in international comparison, they are highlighted both by the communication of the European Commission published on 30 August 2017 and by a survey of the European Union Agency for Fundamental Rights (FRA)</w:t>
      </w:r>
      <w:r w:rsidRPr="003E3613">
        <w:rPr>
          <w:rFonts w:ascii="Book Antiqua" w:hAnsi="Book Antiqua"/>
          <w:sz w:val="23"/>
          <w:szCs w:val="23"/>
          <w:vertAlign w:val="superscript"/>
          <w:lang w:val="en-GB"/>
        </w:rPr>
        <w:footnoteReference w:id="36"/>
      </w:r>
      <w:r w:rsidRPr="003E3613">
        <w:rPr>
          <w:rFonts w:ascii="Book Antiqua" w:hAnsi="Book Antiqua"/>
          <w:sz w:val="23"/>
          <w:szCs w:val="23"/>
          <w:lang w:val="en-GB"/>
        </w:rPr>
        <w:t xml:space="preserve"> conducted in 2016. According to the survey of the FRA, in </w:t>
      </w:r>
      <w:r w:rsidR="007A2C29" w:rsidRPr="003E3613">
        <w:rPr>
          <w:rFonts w:ascii="Book Antiqua" w:hAnsi="Book Antiqua"/>
          <w:sz w:val="23"/>
          <w:szCs w:val="23"/>
          <w:lang w:val="en-GB"/>
        </w:rPr>
        <w:t xml:space="preserve">three Member States who took part in the survey </w:t>
      </w:r>
      <w:r w:rsidRPr="003E3613">
        <w:rPr>
          <w:rFonts w:ascii="Book Antiqua" w:hAnsi="Book Antiqua"/>
          <w:sz w:val="23"/>
          <w:szCs w:val="23"/>
          <w:lang w:val="en-GB"/>
        </w:rPr>
        <w:t xml:space="preserve">it is true for almost all the Roma that their income is lower than the national poverty threshold. In contrast </w:t>
      </w:r>
      <w:r w:rsidR="007A2C29" w:rsidRPr="003E3613">
        <w:rPr>
          <w:rFonts w:ascii="Book Antiqua" w:hAnsi="Book Antiqua"/>
          <w:sz w:val="23"/>
          <w:szCs w:val="23"/>
          <w:lang w:val="en-GB"/>
        </w:rPr>
        <w:t xml:space="preserve">to </w:t>
      </w:r>
      <w:r w:rsidRPr="003E3613">
        <w:rPr>
          <w:rFonts w:ascii="Book Antiqua" w:hAnsi="Book Antiqua"/>
          <w:sz w:val="23"/>
          <w:szCs w:val="23"/>
          <w:lang w:val="en-GB"/>
        </w:rPr>
        <w:t xml:space="preserve">that, from among the countries involved in the analysis, Hungary </w:t>
      </w:r>
      <w:r w:rsidR="007A2C29" w:rsidRPr="003E3613">
        <w:rPr>
          <w:rFonts w:ascii="Book Antiqua" w:hAnsi="Book Antiqua"/>
          <w:sz w:val="23"/>
          <w:szCs w:val="23"/>
          <w:lang w:val="en-GB"/>
        </w:rPr>
        <w:t xml:space="preserve">was among the top three with </w:t>
      </w:r>
      <w:r w:rsidRPr="003E3613">
        <w:rPr>
          <w:rFonts w:ascii="Book Antiqua" w:hAnsi="Book Antiqua"/>
          <w:sz w:val="23"/>
          <w:szCs w:val="23"/>
          <w:lang w:val="en-GB"/>
        </w:rPr>
        <w:t xml:space="preserve">the best indicators. On the Roma’s own admission, </w:t>
      </w:r>
      <w:r w:rsidR="007A2C29" w:rsidRPr="003E3613">
        <w:rPr>
          <w:rFonts w:ascii="Book Antiqua" w:hAnsi="Book Antiqua"/>
          <w:sz w:val="23"/>
          <w:szCs w:val="23"/>
          <w:lang w:val="en-GB"/>
        </w:rPr>
        <w:t xml:space="preserve">Hungary scored second on </w:t>
      </w:r>
      <w:r w:rsidRPr="003E3613">
        <w:rPr>
          <w:rFonts w:ascii="Book Antiqua" w:hAnsi="Book Antiqua"/>
          <w:sz w:val="23"/>
          <w:szCs w:val="23"/>
          <w:lang w:val="en-GB"/>
        </w:rPr>
        <w:t xml:space="preserve">the highest employment. In the field of education, the FRA survey points out that from among the countries involved </w:t>
      </w:r>
      <w:r w:rsidR="007A2C29" w:rsidRPr="003E3613">
        <w:rPr>
          <w:rFonts w:ascii="Book Antiqua" w:hAnsi="Book Antiqua"/>
          <w:sz w:val="23"/>
          <w:szCs w:val="23"/>
          <w:lang w:val="en-GB"/>
        </w:rPr>
        <w:t xml:space="preserve">only Hungary and another Member State </w:t>
      </w:r>
      <w:r w:rsidRPr="003E3613">
        <w:rPr>
          <w:rFonts w:ascii="Book Antiqua" w:hAnsi="Book Antiqua"/>
          <w:sz w:val="23"/>
          <w:szCs w:val="23"/>
          <w:lang w:val="en-GB"/>
        </w:rPr>
        <w:t xml:space="preserve">have attained a result near to the target for participation in early childhood education in the Education and Training 2020 Strategic Framework. From among children subject to school attendance obligation, Hungary </w:t>
      </w:r>
      <w:r w:rsidR="007A2C29" w:rsidRPr="003E3613">
        <w:rPr>
          <w:rFonts w:ascii="Book Antiqua" w:hAnsi="Book Antiqua"/>
          <w:sz w:val="23"/>
          <w:szCs w:val="23"/>
          <w:lang w:val="en-GB"/>
        </w:rPr>
        <w:t xml:space="preserve">with its </w:t>
      </w:r>
      <w:r w:rsidRPr="003E3613">
        <w:rPr>
          <w:rFonts w:ascii="Book Antiqua" w:hAnsi="Book Antiqua"/>
          <w:sz w:val="23"/>
          <w:szCs w:val="23"/>
          <w:lang w:val="en-GB"/>
        </w:rPr>
        <w:t>98%</w:t>
      </w:r>
      <w:r w:rsidR="007A2C29" w:rsidRPr="003E3613">
        <w:rPr>
          <w:rFonts w:ascii="Book Antiqua" w:hAnsi="Book Antiqua"/>
          <w:sz w:val="23"/>
          <w:szCs w:val="23"/>
          <w:lang w:val="en-GB"/>
        </w:rPr>
        <w:t xml:space="preserve"> index is second among the Member States</w:t>
      </w:r>
      <w:r w:rsidRPr="003E3613">
        <w:rPr>
          <w:rFonts w:ascii="Book Antiqua" w:hAnsi="Book Antiqua"/>
          <w:sz w:val="23"/>
          <w:szCs w:val="23"/>
          <w:lang w:val="en-GB"/>
        </w:rPr>
        <w:t>, while th</w:t>
      </w:r>
      <w:r w:rsidR="007A2C29" w:rsidRPr="003E3613">
        <w:rPr>
          <w:rFonts w:ascii="Book Antiqua" w:hAnsi="Book Antiqua"/>
          <w:sz w:val="23"/>
          <w:szCs w:val="23"/>
          <w:lang w:val="en-GB"/>
        </w:rPr>
        <w:t xml:space="preserve">ere are others with a rate of </w:t>
      </w:r>
      <w:r w:rsidRPr="003E3613">
        <w:rPr>
          <w:rFonts w:ascii="Book Antiqua" w:hAnsi="Book Antiqua"/>
          <w:sz w:val="23"/>
          <w:szCs w:val="23"/>
          <w:lang w:val="en-GB"/>
        </w:rPr>
        <w:t xml:space="preserve">only 69%. </w:t>
      </w:r>
      <w:r w:rsidR="009F10E0" w:rsidRPr="003E3613">
        <w:rPr>
          <w:rFonts w:ascii="Book Antiqua" w:hAnsi="Book Antiqua"/>
          <w:sz w:val="23"/>
          <w:szCs w:val="23"/>
          <w:lang w:val="en-GB"/>
        </w:rPr>
        <w:t>It is worth noting that in Hungary 91% of Roma children attend kindergarten, which is around the participation rate of non-Roma children, being the highest in the region.</w:t>
      </w:r>
      <w:r w:rsidR="009F10E0" w:rsidRPr="003E3613">
        <w:rPr>
          <w:rStyle w:val="FootnoteReference"/>
          <w:rFonts w:ascii="Book Antiqua" w:hAnsi="Book Antiqua"/>
          <w:sz w:val="23"/>
          <w:szCs w:val="23"/>
          <w:lang w:val="en-GB"/>
        </w:rPr>
        <w:footnoteReference w:id="37"/>
      </w:r>
    </w:p>
    <w:p w14:paraId="6D85EB63" w14:textId="77777777" w:rsidR="00FD7B29" w:rsidRPr="003E3613" w:rsidRDefault="00FD7B29" w:rsidP="00204696">
      <w:pPr>
        <w:spacing w:after="0"/>
        <w:jc w:val="both"/>
        <w:rPr>
          <w:rFonts w:ascii="Book Antiqua" w:hAnsi="Book Antiqua"/>
          <w:sz w:val="23"/>
          <w:szCs w:val="23"/>
          <w:lang w:val="en-GB"/>
        </w:rPr>
      </w:pPr>
    </w:p>
    <w:p w14:paraId="45A41F10" w14:textId="77777777" w:rsidR="00FD7B29" w:rsidRPr="003E3613" w:rsidRDefault="00FD7B29"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 xml:space="preserve">The Commission’s Communication pointed out that at European level the results achieved in the field of education did not manifest themselves in employment, however, in some Member States, such as Hungary, the employment rate of Roma has increased, while the changes are either more moderate or negative elsewhere. It indicates, however, that the gap existing between the employment of women and men in some Member States, poses a challenge. However, the self-appraisal of Roma has improved in general as far as their own health condition is concerned, the greatest extent of improvement can be observed </w:t>
      </w:r>
      <w:r w:rsidR="00A63AE1" w:rsidRPr="003E3613">
        <w:rPr>
          <w:rFonts w:ascii="Book Antiqua" w:hAnsi="Book Antiqua"/>
          <w:sz w:val="23"/>
          <w:szCs w:val="23"/>
          <w:lang w:val="en-GB"/>
        </w:rPr>
        <w:t xml:space="preserve">among others </w:t>
      </w:r>
      <w:r w:rsidRPr="003E3613">
        <w:rPr>
          <w:rFonts w:ascii="Book Antiqua" w:hAnsi="Book Antiqua"/>
          <w:sz w:val="23"/>
          <w:szCs w:val="23"/>
          <w:lang w:val="en-GB"/>
        </w:rPr>
        <w:t xml:space="preserve">in Hungary. </w:t>
      </w:r>
    </w:p>
    <w:p w14:paraId="44488A72" w14:textId="77777777" w:rsidR="00503C39" w:rsidRPr="003E3613" w:rsidRDefault="00503C39" w:rsidP="00204696">
      <w:pPr>
        <w:pStyle w:val="Heading2"/>
        <w:keepNext w:val="0"/>
        <w:keepLines w:val="0"/>
        <w:spacing w:before="0"/>
        <w:rPr>
          <w:rFonts w:ascii="Book Antiqua" w:hAnsi="Book Antiqua"/>
          <w:color w:val="auto"/>
          <w:sz w:val="23"/>
          <w:szCs w:val="23"/>
          <w:lang w:val="en-GB"/>
        </w:rPr>
      </w:pPr>
    </w:p>
    <w:p w14:paraId="2DF404E4" w14:textId="77777777" w:rsidR="008501E7" w:rsidRPr="003E3613" w:rsidRDefault="008501E7"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One unique recent development in the field of Roma integration </w:t>
      </w:r>
      <w:r w:rsidR="008E3539" w:rsidRPr="003E3613">
        <w:rPr>
          <w:rFonts w:ascii="Book Antiqua" w:hAnsi="Book Antiqua"/>
          <w:sz w:val="23"/>
          <w:szCs w:val="23"/>
          <w:lang w:val="en-GB"/>
        </w:rPr>
        <w:t>is that the G</w:t>
      </w:r>
      <w:r w:rsidRPr="003E3613">
        <w:rPr>
          <w:rFonts w:ascii="Book Antiqua" w:hAnsi="Book Antiqua"/>
          <w:sz w:val="23"/>
          <w:szCs w:val="23"/>
          <w:lang w:val="en-GB"/>
        </w:rPr>
        <w:t>overnment deceided to implement a complex and long-term programme aiming to enhance the social conditons of the 300 most disadvantaged settlements in Hungary, based on a good practice of an NGO (Hungarian Charity Service of the Order of Malta). The so</w:t>
      </w:r>
      <w:r w:rsidR="008E3539" w:rsidRPr="003E3613">
        <w:rPr>
          <w:rFonts w:ascii="Book Antiqua" w:hAnsi="Book Antiqua"/>
          <w:sz w:val="23"/>
          <w:szCs w:val="23"/>
          <w:lang w:val="en-GB"/>
        </w:rPr>
        <w:t>-</w:t>
      </w:r>
      <w:r w:rsidRPr="003E3613">
        <w:rPr>
          <w:rFonts w:ascii="Book Antiqua" w:hAnsi="Book Antiqua"/>
          <w:sz w:val="23"/>
          <w:szCs w:val="23"/>
          <w:lang w:val="en-GB"/>
        </w:rPr>
        <w:t xml:space="preserve">called </w:t>
      </w:r>
      <w:r w:rsidR="008E3539" w:rsidRPr="003E3613">
        <w:rPr>
          <w:rFonts w:ascii="Book Antiqua" w:hAnsi="Book Antiqua"/>
          <w:sz w:val="23"/>
          <w:szCs w:val="23"/>
          <w:lang w:val="en-GB"/>
        </w:rPr>
        <w:t>‘</w:t>
      </w:r>
      <w:r w:rsidRPr="003E3613">
        <w:rPr>
          <w:rFonts w:ascii="Book Antiqua" w:hAnsi="Book Antiqua"/>
          <w:sz w:val="23"/>
          <w:szCs w:val="23"/>
          <w:lang w:val="en-GB"/>
        </w:rPr>
        <w:t>Presence</w:t>
      </w:r>
      <w:r w:rsidR="008E3539" w:rsidRPr="003E3613">
        <w:rPr>
          <w:rFonts w:ascii="Book Antiqua" w:hAnsi="Book Antiqua"/>
          <w:sz w:val="23"/>
          <w:szCs w:val="23"/>
          <w:lang w:val="en-GB"/>
        </w:rPr>
        <w:t>’</w:t>
      </w:r>
      <w:r w:rsidRPr="003E3613">
        <w:rPr>
          <w:rFonts w:ascii="Book Antiqua" w:hAnsi="Book Antiqua"/>
          <w:sz w:val="23"/>
          <w:szCs w:val="23"/>
          <w:lang w:val="en-GB"/>
        </w:rPr>
        <w:t xml:space="preserve"> programme aims to implement settlement-level measures in the field of social support (also a social office is installed on every settlement), health care, public health, living conditions, employment, local economic development, education and community development. The involvement of locals and local professionals is a key element of the process. Civil and religious organi</w:t>
      </w:r>
      <w:r w:rsidR="00BD0A8B" w:rsidRPr="003E3613">
        <w:rPr>
          <w:rFonts w:ascii="Book Antiqua" w:hAnsi="Book Antiqua"/>
          <w:sz w:val="23"/>
          <w:szCs w:val="23"/>
          <w:lang w:val="en-GB"/>
        </w:rPr>
        <w:t>s</w:t>
      </w:r>
      <w:r w:rsidRPr="003E3613">
        <w:rPr>
          <w:rFonts w:ascii="Book Antiqua" w:hAnsi="Book Antiqua"/>
          <w:sz w:val="23"/>
          <w:szCs w:val="23"/>
          <w:lang w:val="en-GB"/>
        </w:rPr>
        <w:t>ations are the key partners of the responsible policy actor,</w:t>
      </w:r>
      <w:r w:rsidR="008E3539" w:rsidRPr="003E3613">
        <w:rPr>
          <w:rFonts w:ascii="Book Antiqua" w:hAnsi="Book Antiqua"/>
          <w:sz w:val="23"/>
          <w:szCs w:val="23"/>
          <w:lang w:val="en-GB"/>
        </w:rPr>
        <w:t xml:space="preserve"> and</w:t>
      </w:r>
      <w:r w:rsidRPr="003E3613">
        <w:rPr>
          <w:rFonts w:ascii="Book Antiqua" w:hAnsi="Book Antiqua"/>
          <w:sz w:val="23"/>
          <w:szCs w:val="23"/>
          <w:lang w:val="en-GB"/>
        </w:rPr>
        <w:t xml:space="preserve"> the Ministry of Interior in the implementation of the programme. A prime ministerial commissioner was also appointed for the coordination of the process, which begins on the first 31 settlements in 2019.</w:t>
      </w:r>
    </w:p>
    <w:p w14:paraId="056C71A1" w14:textId="77777777" w:rsidR="008501E7" w:rsidRPr="003E3613" w:rsidRDefault="008501E7" w:rsidP="00204696">
      <w:pPr>
        <w:rPr>
          <w:lang w:val="en-GB"/>
        </w:rPr>
      </w:pPr>
    </w:p>
    <w:p w14:paraId="2C4FD5F3" w14:textId="77777777" w:rsidR="00542104" w:rsidRPr="003E3613" w:rsidRDefault="004102CA" w:rsidP="00204696">
      <w:pPr>
        <w:pStyle w:val="Heading2"/>
        <w:keepNext w:val="0"/>
        <w:keepLines w:val="0"/>
        <w:spacing w:before="0"/>
        <w:rPr>
          <w:rFonts w:ascii="Book Antiqua" w:eastAsia="Calibri" w:hAnsi="Book Antiqua"/>
          <w:color w:val="auto"/>
          <w:sz w:val="23"/>
          <w:szCs w:val="23"/>
          <w:lang w:val="en-GB"/>
        </w:rPr>
      </w:pPr>
      <w:bookmarkStart w:id="59" w:name="_Toc19120817"/>
      <w:r w:rsidRPr="003E3613">
        <w:rPr>
          <w:rFonts w:ascii="Book Antiqua" w:hAnsi="Book Antiqua"/>
          <w:color w:val="auto"/>
          <w:sz w:val="23"/>
          <w:szCs w:val="23"/>
          <w:lang w:val="en-GB"/>
        </w:rPr>
        <w:t>Segregation of Roma children (Horváth and Kiss v. Hungary)</w:t>
      </w:r>
      <w:bookmarkEnd w:id="59"/>
    </w:p>
    <w:p w14:paraId="0DCFA86B" w14:textId="77777777" w:rsidR="00B9677E" w:rsidRPr="003E3613" w:rsidRDefault="00B9677E" w:rsidP="00204696">
      <w:pPr>
        <w:spacing w:after="0"/>
        <w:jc w:val="both"/>
        <w:rPr>
          <w:rFonts w:ascii="Book Antiqua" w:hAnsi="Book Antiqua"/>
          <w:i/>
          <w:sz w:val="23"/>
          <w:szCs w:val="23"/>
          <w:lang w:val="en-GB"/>
        </w:rPr>
      </w:pPr>
    </w:p>
    <w:p w14:paraId="727CBBE1"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52045A" w:rsidRPr="003E3613">
        <w:rPr>
          <w:rFonts w:ascii="Book Antiqua" w:hAnsi="Book Antiqua"/>
          <w:i/>
          <w:sz w:val="23"/>
          <w:szCs w:val="23"/>
          <w:lang w:val="en-GB"/>
        </w:rPr>
        <w:t>5</w:t>
      </w:r>
      <w:r w:rsidR="00C712F9" w:rsidRPr="003E3613">
        <w:rPr>
          <w:rFonts w:ascii="Book Antiqua" w:hAnsi="Book Antiqua"/>
          <w:i/>
          <w:sz w:val="23"/>
          <w:szCs w:val="23"/>
          <w:lang w:val="en-GB"/>
        </w:rPr>
        <w:t>3</w:t>
      </w:r>
      <w:r w:rsidRPr="003E3613">
        <w:rPr>
          <w:rFonts w:ascii="Book Antiqua" w:hAnsi="Book Antiqua"/>
          <w:i/>
          <w:sz w:val="23"/>
          <w:szCs w:val="23"/>
          <w:lang w:val="en-GB"/>
        </w:rPr>
        <w:t>) In its judgement of 29 January 2013, Horváth and Kiss v. Hungary, the ECtHR found that the relevant Hungarian legislation as applied in practice lacked adequate safeguards and resulted in the over-representation and segregation of Roma children in special schools due to the systematic misdiagnosis of mental disability, which amounted to a violation of the right to education free from discrimination. The execution of that judgment is still pending.</w:t>
      </w:r>
    </w:p>
    <w:p w14:paraId="36408A9E" w14:textId="77777777" w:rsidR="00175F1E" w:rsidRPr="003E3613" w:rsidRDefault="00175F1E" w:rsidP="00204696">
      <w:pPr>
        <w:spacing w:after="0"/>
        <w:jc w:val="both"/>
        <w:rPr>
          <w:rFonts w:ascii="Book Antiqua" w:hAnsi="Book Antiqua"/>
          <w:i/>
          <w:sz w:val="23"/>
          <w:szCs w:val="23"/>
          <w:lang w:val="en-GB"/>
        </w:rPr>
      </w:pPr>
    </w:p>
    <w:p w14:paraId="6512AE2E" w14:textId="77777777" w:rsidR="0084566D" w:rsidRPr="003E3613" w:rsidRDefault="00175F1E" w:rsidP="00204696">
      <w:pPr>
        <w:spacing w:after="0"/>
        <w:jc w:val="both"/>
        <w:rPr>
          <w:rFonts w:ascii="Book Antiqua" w:hAnsi="Book Antiqua"/>
          <w:sz w:val="23"/>
          <w:szCs w:val="23"/>
          <w:lang w:val="en-GB"/>
        </w:rPr>
      </w:pPr>
      <w:r w:rsidRPr="003E3613">
        <w:rPr>
          <w:rFonts w:ascii="Book Antiqua" w:hAnsi="Book Antiqua"/>
          <w:sz w:val="23"/>
          <w:szCs w:val="23"/>
          <w:lang w:val="en-GB"/>
        </w:rPr>
        <w:t>It must be highlighted that, according to the findings of the ECtHR, the unjustified redirecting of Roma pupils into special education institutions has a long tradition throughout Europe. The Court condemned numerous Member States</w:t>
      </w:r>
      <w:r w:rsidR="00C46340" w:rsidRPr="003E3613">
        <w:rPr>
          <w:rFonts w:ascii="Book Antiqua" w:hAnsi="Book Antiqua"/>
          <w:sz w:val="23"/>
          <w:szCs w:val="23"/>
          <w:lang w:val="en-GB"/>
        </w:rPr>
        <w:t xml:space="preserve"> </w:t>
      </w:r>
      <w:r w:rsidR="00B4533F" w:rsidRPr="003E3613">
        <w:rPr>
          <w:rFonts w:ascii="Book Antiqua" w:hAnsi="Book Antiqua"/>
          <w:sz w:val="23"/>
          <w:szCs w:val="23"/>
          <w:lang w:val="en-GB"/>
        </w:rPr>
        <w:t xml:space="preserve">in similar cases. In the EU, </w:t>
      </w:r>
      <w:r w:rsidR="00C712F9" w:rsidRPr="003E3613">
        <w:rPr>
          <w:rFonts w:ascii="Book Antiqua" w:hAnsi="Book Antiqua"/>
          <w:sz w:val="23"/>
          <w:szCs w:val="23"/>
          <w:lang w:val="en-GB"/>
        </w:rPr>
        <w:t>Hungary was the third Member State,</w:t>
      </w:r>
      <w:r w:rsidR="00315BC4" w:rsidRPr="003E3613">
        <w:rPr>
          <w:rFonts w:ascii="Book Antiqua" w:hAnsi="Book Antiqua"/>
          <w:sz w:val="23"/>
          <w:szCs w:val="23"/>
          <w:lang w:val="en-GB"/>
        </w:rPr>
        <w:t xml:space="preserve"> </w:t>
      </w:r>
      <w:r w:rsidR="00B4533F" w:rsidRPr="003E3613">
        <w:rPr>
          <w:rFonts w:ascii="Book Antiqua" w:hAnsi="Book Antiqua"/>
          <w:sz w:val="23"/>
          <w:szCs w:val="23"/>
          <w:lang w:val="en-GB"/>
        </w:rPr>
        <w:t xml:space="preserve">against </w:t>
      </w:r>
      <w:r w:rsidR="00315BC4" w:rsidRPr="003E3613">
        <w:rPr>
          <w:rFonts w:ascii="Book Antiqua" w:hAnsi="Book Antiqua"/>
          <w:sz w:val="23"/>
          <w:szCs w:val="23"/>
          <w:lang w:val="en-GB"/>
        </w:rPr>
        <w:t>which</w:t>
      </w:r>
      <w:r w:rsidRPr="003E3613">
        <w:rPr>
          <w:rFonts w:ascii="Book Antiqua" w:hAnsi="Book Antiqua"/>
          <w:sz w:val="23"/>
          <w:szCs w:val="23"/>
          <w:lang w:val="en-GB"/>
        </w:rPr>
        <w:t xml:space="preserve"> </w:t>
      </w:r>
      <w:r w:rsidR="006E0E75" w:rsidRPr="003E3613">
        <w:rPr>
          <w:rFonts w:ascii="Book Antiqua" w:hAnsi="Book Antiqua"/>
          <w:sz w:val="23"/>
          <w:szCs w:val="23"/>
          <w:lang w:val="en-GB"/>
        </w:rPr>
        <w:t xml:space="preserve">the </w:t>
      </w:r>
      <w:r w:rsidRPr="003E3613">
        <w:rPr>
          <w:rFonts w:ascii="Book Antiqua" w:hAnsi="Book Antiqua"/>
          <w:sz w:val="23"/>
          <w:szCs w:val="23"/>
          <w:lang w:val="en-GB"/>
        </w:rPr>
        <w:t>Commission has launched</w:t>
      </w:r>
      <w:r w:rsidR="00315BC4" w:rsidRPr="003E3613">
        <w:rPr>
          <w:rFonts w:ascii="Book Antiqua" w:hAnsi="Book Antiqua"/>
          <w:sz w:val="23"/>
          <w:szCs w:val="23"/>
          <w:lang w:val="en-GB"/>
        </w:rPr>
        <w:t xml:space="preserve"> an</w:t>
      </w:r>
      <w:r w:rsidRPr="003E3613">
        <w:rPr>
          <w:rFonts w:ascii="Book Antiqua" w:hAnsi="Book Antiqua"/>
          <w:sz w:val="23"/>
          <w:szCs w:val="23"/>
          <w:lang w:val="en-GB"/>
        </w:rPr>
        <w:t xml:space="preserve"> infringement proceeding concerning the ban of racial or ethnical discrimination </w:t>
      </w:r>
      <w:r w:rsidR="00D525E8" w:rsidRPr="003E3613">
        <w:rPr>
          <w:rFonts w:ascii="Book Antiqua" w:hAnsi="Book Antiqua"/>
          <w:sz w:val="23"/>
          <w:szCs w:val="23"/>
          <w:lang w:val="en-GB"/>
        </w:rPr>
        <w:t xml:space="preserve">of Roma children </w:t>
      </w:r>
      <w:r w:rsidRPr="003E3613">
        <w:rPr>
          <w:rFonts w:ascii="Book Antiqua" w:hAnsi="Book Antiqua"/>
          <w:sz w:val="23"/>
          <w:szCs w:val="23"/>
          <w:lang w:val="en-GB"/>
        </w:rPr>
        <w:t>at schools</w:t>
      </w:r>
      <w:r w:rsidR="00D525E8" w:rsidRPr="003E3613">
        <w:rPr>
          <w:rFonts w:ascii="Book Antiqua" w:hAnsi="Book Antiqua"/>
          <w:sz w:val="23"/>
          <w:szCs w:val="23"/>
          <w:lang w:val="en-GB"/>
        </w:rPr>
        <w:t>. Similar procedure</w:t>
      </w:r>
      <w:r w:rsidR="00AE6A7D" w:rsidRPr="003E3613">
        <w:rPr>
          <w:rFonts w:ascii="Book Antiqua" w:hAnsi="Book Antiqua"/>
          <w:sz w:val="23"/>
          <w:szCs w:val="23"/>
          <w:lang w:val="en-GB"/>
        </w:rPr>
        <w:t>s</w:t>
      </w:r>
      <w:r w:rsidR="00D525E8" w:rsidRPr="003E3613">
        <w:rPr>
          <w:rFonts w:ascii="Book Antiqua" w:hAnsi="Book Antiqua"/>
          <w:sz w:val="23"/>
          <w:szCs w:val="23"/>
          <w:lang w:val="en-GB"/>
        </w:rPr>
        <w:t xml:space="preserve"> have been initiated </w:t>
      </w:r>
      <w:r w:rsidR="00B4533F" w:rsidRPr="003E3613">
        <w:rPr>
          <w:rFonts w:ascii="Book Antiqua" w:hAnsi="Book Antiqua"/>
          <w:sz w:val="23"/>
          <w:szCs w:val="23"/>
          <w:lang w:val="en-GB"/>
        </w:rPr>
        <w:t>against t</w:t>
      </w:r>
      <w:r w:rsidR="007B23D7" w:rsidRPr="003E3613">
        <w:rPr>
          <w:rFonts w:ascii="Book Antiqua" w:hAnsi="Book Antiqua"/>
          <w:sz w:val="23"/>
          <w:szCs w:val="23"/>
          <w:lang w:val="en-GB"/>
        </w:rPr>
        <w:t>wo other Member States</w:t>
      </w:r>
      <w:r w:rsidRPr="003E3613">
        <w:rPr>
          <w:rFonts w:ascii="Book Antiqua" w:hAnsi="Book Antiqua"/>
          <w:sz w:val="23"/>
          <w:szCs w:val="23"/>
          <w:lang w:val="en-GB"/>
        </w:rPr>
        <w:t xml:space="preserve">. In the procedure Hungary </w:t>
      </w:r>
      <w:r w:rsidR="004032F2" w:rsidRPr="003E3613">
        <w:rPr>
          <w:rFonts w:ascii="Book Antiqua" w:hAnsi="Book Antiqua"/>
          <w:sz w:val="23"/>
          <w:szCs w:val="23"/>
          <w:lang w:val="en-GB"/>
        </w:rPr>
        <w:t>cooperates</w:t>
      </w:r>
      <w:r w:rsidR="006611AB" w:rsidRPr="003E3613">
        <w:rPr>
          <w:rFonts w:ascii="Book Antiqua" w:hAnsi="Book Antiqua"/>
          <w:sz w:val="23"/>
          <w:szCs w:val="23"/>
          <w:lang w:val="en-GB"/>
        </w:rPr>
        <w:t xml:space="preserve"> </w:t>
      </w:r>
      <w:r w:rsidRPr="003E3613">
        <w:rPr>
          <w:rFonts w:ascii="Book Antiqua" w:hAnsi="Book Antiqua"/>
          <w:sz w:val="23"/>
          <w:szCs w:val="23"/>
          <w:lang w:val="en-GB"/>
        </w:rPr>
        <w:t>with the Commission, the demanded legal amendments took place as a whole which was acknowledged by the Commission as well. Continuous consultations are in place for resolving practical issues in this regard, the Hungarian Government has taken several steps to solve these</w:t>
      </w:r>
      <w:r w:rsidR="00450061" w:rsidRPr="003E3613">
        <w:rPr>
          <w:rFonts w:ascii="Book Antiqua" w:hAnsi="Book Antiqua"/>
          <w:sz w:val="23"/>
          <w:szCs w:val="23"/>
          <w:lang w:val="en-GB"/>
        </w:rPr>
        <w:t xml:space="preserve"> questions</w:t>
      </w:r>
      <w:r w:rsidR="0033156D" w:rsidRPr="003E3613">
        <w:rPr>
          <w:rFonts w:ascii="Book Antiqua" w:hAnsi="Book Antiqua"/>
          <w:sz w:val="23"/>
          <w:szCs w:val="23"/>
          <w:lang w:val="en-GB"/>
        </w:rPr>
        <w:t>, also including</w:t>
      </w:r>
      <w:r w:rsidRPr="003E3613">
        <w:rPr>
          <w:rFonts w:ascii="Book Antiqua" w:hAnsi="Book Antiqua"/>
          <w:sz w:val="23"/>
          <w:szCs w:val="23"/>
          <w:lang w:val="en-GB"/>
        </w:rPr>
        <w:t xml:space="preserve"> fulfilling the decision of the ECtHR. The Commission is also aware that this is an extraordinarily complex and sensitive topic in the society meaning that</w:t>
      </w:r>
      <w:r w:rsidR="00AB5D29" w:rsidRPr="003E3613">
        <w:rPr>
          <w:rFonts w:ascii="Book Antiqua" w:hAnsi="Book Antiqua"/>
          <w:sz w:val="23"/>
          <w:szCs w:val="23"/>
          <w:lang w:val="en-GB"/>
        </w:rPr>
        <w:t xml:space="preserve"> quick and tangible</w:t>
      </w:r>
      <w:r w:rsidRPr="003E3613">
        <w:rPr>
          <w:rFonts w:ascii="Book Antiqua" w:hAnsi="Book Antiqua"/>
          <w:sz w:val="23"/>
          <w:szCs w:val="23"/>
          <w:lang w:val="en-GB"/>
        </w:rPr>
        <w:t xml:space="preserve"> </w:t>
      </w:r>
      <w:r w:rsidR="00B4533F" w:rsidRPr="003E3613">
        <w:rPr>
          <w:rFonts w:ascii="Book Antiqua" w:hAnsi="Book Antiqua"/>
          <w:sz w:val="23"/>
          <w:szCs w:val="23"/>
          <w:lang w:val="en-GB"/>
        </w:rPr>
        <w:t xml:space="preserve">results </w:t>
      </w:r>
      <w:r w:rsidRPr="003E3613">
        <w:rPr>
          <w:rFonts w:ascii="Book Antiqua" w:hAnsi="Book Antiqua"/>
          <w:sz w:val="23"/>
          <w:szCs w:val="23"/>
          <w:lang w:val="en-GB"/>
        </w:rPr>
        <w:t>cannot</w:t>
      </w:r>
      <w:r w:rsidR="00315BC4" w:rsidRPr="003E3613">
        <w:rPr>
          <w:rFonts w:ascii="Book Antiqua" w:hAnsi="Book Antiqua"/>
          <w:sz w:val="23"/>
          <w:szCs w:val="23"/>
          <w:lang w:val="en-GB"/>
        </w:rPr>
        <w:t xml:space="preserve"> be </w:t>
      </w:r>
      <w:r w:rsidRPr="003E3613">
        <w:rPr>
          <w:rFonts w:ascii="Book Antiqua" w:hAnsi="Book Antiqua"/>
          <w:sz w:val="23"/>
          <w:szCs w:val="23"/>
          <w:lang w:val="en-GB"/>
        </w:rPr>
        <w:t>expect</w:t>
      </w:r>
      <w:r w:rsidR="00315BC4" w:rsidRPr="003E3613">
        <w:rPr>
          <w:rFonts w:ascii="Book Antiqua" w:hAnsi="Book Antiqua"/>
          <w:sz w:val="23"/>
          <w:szCs w:val="23"/>
          <w:lang w:val="en-GB"/>
        </w:rPr>
        <w:t>ed,</w:t>
      </w:r>
      <w:r w:rsidRPr="003E3613">
        <w:rPr>
          <w:rFonts w:ascii="Book Antiqua" w:hAnsi="Book Antiqua"/>
          <w:sz w:val="23"/>
          <w:szCs w:val="23"/>
          <w:lang w:val="en-GB"/>
        </w:rPr>
        <w:t xml:space="preserve"> therefore one cannot anticipate perceivable effects from day to day. The purpose is to get an improving tendency.</w:t>
      </w:r>
      <w:r w:rsidR="00B4533F" w:rsidRPr="003E3613">
        <w:rPr>
          <w:rFonts w:ascii="Book Antiqua" w:hAnsi="Book Antiqua"/>
          <w:sz w:val="23"/>
          <w:szCs w:val="23"/>
          <w:lang w:val="en-GB"/>
        </w:rPr>
        <w:t xml:space="preserve"> </w:t>
      </w:r>
      <w:r w:rsidR="00B4533F" w:rsidRPr="003E3613">
        <w:rPr>
          <w:rFonts w:ascii="Book Antiqua" w:hAnsi="Book Antiqua"/>
          <w:sz w:val="23"/>
          <w:szCs w:val="23"/>
          <w:lang w:val="en-GB"/>
        </w:rPr>
        <w:lastRenderedPageBreak/>
        <w:t>The Government had a discussion of this topic with the representatives of the Council of Europe’s Department of the Execution of the Court’s judgments at their visit in Budapest, on 10-11 October 2018.</w:t>
      </w:r>
    </w:p>
    <w:p w14:paraId="18B1124D" w14:textId="77777777" w:rsidR="001E5BDC" w:rsidRPr="003E3613" w:rsidRDefault="001E5BDC" w:rsidP="00204696">
      <w:pPr>
        <w:spacing w:after="0"/>
        <w:jc w:val="both"/>
        <w:rPr>
          <w:rFonts w:ascii="Book Antiqua" w:hAnsi="Book Antiqua"/>
          <w:sz w:val="23"/>
          <w:szCs w:val="23"/>
          <w:lang w:val="en-GB"/>
        </w:rPr>
      </w:pPr>
    </w:p>
    <w:p w14:paraId="5C17C38D" w14:textId="6E76EBE2" w:rsidR="00203FB8" w:rsidRPr="003E3613" w:rsidRDefault="00203FB8" w:rsidP="00204696">
      <w:pPr>
        <w:pStyle w:val="Header"/>
        <w:suppressAutoHyphens/>
        <w:spacing w:line="276" w:lineRule="auto"/>
        <w:jc w:val="both"/>
        <w:rPr>
          <w:rFonts w:ascii="Book Antiqua" w:eastAsiaTheme="minorEastAsia" w:hAnsi="Book Antiqua"/>
          <w:sz w:val="23"/>
          <w:szCs w:val="23"/>
          <w:lang w:val="en-GB" w:eastAsia="hu-HU"/>
        </w:rPr>
      </w:pPr>
      <w:r w:rsidRPr="003E3613">
        <w:rPr>
          <w:rFonts w:ascii="Book Antiqua" w:eastAsiaTheme="minorEastAsia" w:hAnsi="Book Antiqua"/>
          <w:sz w:val="23"/>
          <w:szCs w:val="23"/>
          <w:lang w:val="en-GB" w:eastAsia="hu-HU"/>
        </w:rPr>
        <w:t>I</w:t>
      </w:r>
      <w:r w:rsidR="00DB17F1" w:rsidRPr="003E3613">
        <w:rPr>
          <w:rFonts w:ascii="Book Antiqua" w:eastAsiaTheme="minorEastAsia" w:hAnsi="Book Antiqua"/>
          <w:sz w:val="23"/>
          <w:szCs w:val="23"/>
          <w:lang w:val="en-GB" w:eastAsia="hu-HU"/>
        </w:rPr>
        <w:t xml:space="preserve">n the last decade we adapted new IQ tests in diagnostical process (WISC-IV, WAIS-IV, WPPSI-IV, UNIT2) </w:t>
      </w:r>
      <w:r w:rsidRPr="003E3613">
        <w:rPr>
          <w:rFonts w:ascii="Book Antiqua" w:eastAsiaTheme="minorEastAsia" w:hAnsi="Book Antiqua"/>
          <w:sz w:val="23"/>
          <w:szCs w:val="23"/>
          <w:lang w:val="en-GB" w:eastAsia="hu-HU"/>
        </w:rPr>
        <w:t>in order to avoi</w:t>
      </w:r>
      <w:r w:rsidR="00DB17F1" w:rsidRPr="003E3613">
        <w:rPr>
          <w:rFonts w:ascii="Book Antiqua" w:eastAsiaTheme="minorEastAsia" w:hAnsi="Book Antiqua"/>
          <w:sz w:val="23"/>
          <w:szCs w:val="23"/>
          <w:lang w:val="en-GB" w:eastAsia="hu-HU"/>
        </w:rPr>
        <w:t>d misdiagnosis and channelling R</w:t>
      </w:r>
      <w:r w:rsidRPr="003E3613">
        <w:rPr>
          <w:rFonts w:ascii="Book Antiqua" w:eastAsiaTheme="minorEastAsia" w:hAnsi="Book Antiqua"/>
          <w:sz w:val="23"/>
          <w:szCs w:val="23"/>
          <w:lang w:val="en-GB" w:eastAsia="hu-HU"/>
        </w:rPr>
        <w:t xml:space="preserve">oma children in special education as a way of segregation. The committee of experts (professional diagnostical committee) on the county pedagogical assistance service institution shall draw up an expert opinion on the basis of their complex psychological, pedagogical-special educational, and medical examination of the child/student, and shall make suggestions method, form and place of education. In the case of initiating the examination of socially disadvantaged child/student, the so-called „equal opportunities expert” can be present at the examination, the parents must be informed about this opportunity. At the beginning </w:t>
      </w:r>
      <w:r w:rsidR="004D57CF" w:rsidRPr="003E3613">
        <w:rPr>
          <w:rFonts w:ascii="Book Antiqua" w:eastAsiaTheme="minorEastAsia" w:hAnsi="Book Antiqua"/>
          <w:sz w:val="23"/>
          <w:szCs w:val="23"/>
          <w:lang w:val="en-GB" w:eastAsia="hu-HU"/>
        </w:rPr>
        <w:t xml:space="preserve">of </w:t>
      </w:r>
      <w:r w:rsidRPr="003E3613">
        <w:rPr>
          <w:rFonts w:ascii="Book Antiqua" w:eastAsiaTheme="minorEastAsia" w:hAnsi="Book Antiqua"/>
          <w:sz w:val="23"/>
          <w:szCs w:val="23"/>
          <w:lang w:val="en-GB" w:eastAsia="hu-HU"/>
        </w:rPr>
        <w:t>the diagnostical process, the parents can make a voluntary declaration in connection with the child’s ethnicity.</w:t>
      </w:r>
    </w:p>
    <w:p w14:paraId="16B5DF2D" w14:textId="77777777" w:rsidR="00203FB8" w:rsidRPr="003E3613" w:rsidRDefault="00203FB8" w:rsidP="00204696">
      <w:pPr>
        <w:pStyle w:val="Header"/>
        <w:suppressAutoHyphens/>
        <w:spacing w:line="276" w:lineRule="auto"/>
        <w:jc w:val="both"/>
        <w:rPr>
          <w:rFonts w:ascii="Book Antiqua" w:eastAsiaTheme="minorEastAsia" w:hAnsi="Book Antiqua"/>
          <w:sz w:val="23"/>
          <w:szCs w:val="23"/>
          <w:lang w:val="en-GB" w:eastAsia="hu-HU"/>
        </w:rPr>
      </w:pPr>
      <w:r w:rsidRPr="003E3613">
        <w:rPr>
          <w:rFonts w:ascii="Book Antiqua" w:eastAsiaTheme="minorEastAsia" w:hAnsi="Book Antiqua"/>
          <w:sz w:val="23"/>
          <w:szCs w:val="23"/>
          <w:lang w:val="en-GB" w:eastAsia="hu-HU"/>
        </w:rPr>
        <w:t xml:space="preserve"> </w:t>
      </w:r>
    </w:p>
    <w:p w14:paraId="5A3F8ADA" w14:textId="77777777" w:rsidR="00203FB8" w:rsidRPr="003E3613" w:rsidRDefault="00203FB8" w:rsidP="00204696">
      <w:pPr>
        <w:pStyle w:val="Header"/>
        <w:suppressAutoHyphens/>
        <w:spacing w:line="276" w:lineRule="auto"/>
        <w:jc w:val="both"/>
        <w:rPr>
          <w:rFonts w:ascii="Book Antiqua" w:hAnsi="Book Antiqua"/>
          <w:i/>
          <w:color w:val="000000"/>
          <w:sz w:val="23"/>
          <w:szCs w:val="23"/>
          <w:lang w:val="en-GB"/>
        </w:rPr>
      </w:pPr>
      <w:r w:rsidRPr="003E3613">
        <w:rPr>
          <w:rFonts w:ascii="Book Antiqua" w:eastAsiaTheme="minorEastAsia" w:hAnsi="Book Antiqua"/>
          <w:sz w:val="23"/>
          <w:szCs w:val="23"/>
          <w:lang w:val="en-GB" w:eastAsia="hu-HU"/>
        </w:rPr>
        <w:t xml:space="preserve">The professional diagnostical committees shall conduct a review procedure </w:t>
      </w:r>
      <w:r w:rsidRPr="003E3613">
        <w:rPr>
          <w:rFonts w:ascii="Book Antiqua" w:eastAsiaTheme="minorEastAsia" w:hAnsi="Book Antiqua"/>
          <w:i/>
          <w:sz w:val="23"/>
          <w:szCs w:val="23"/>
          <w:lang w:val="en-GB" w:eastAsia="hu-HU"/>
        </w:rPr>
        <w:t>ex officio</w:t>
      </w:r>
      <w:r w:rsidR="00A51E6E" w:rsidRPr="003E3613">
        <w:rPr>
          <w:rFonts w:ascii="Book Antiqua" w:eastAsiaTheme="minorEastAsia" w:hAnsi="Book Antiqua"/>
          <w:sz w:val="23"/>
          <w:szCs w:val="23"/>
          <w:lang w:val="en-GB" w:eastAsia="hu-HU"/>
        </w:rPr>
        <w:t xml:space="preserve"> one academic year later.</w:t>
      </w:r>
      <w:r w:rsidRPr="003E3613">
        <w:rPr>
          <w:rFonts w:ascii="Book Antiqua" w:eastAsiaTheme="minorEastAsia" w:hAnsi="Book Antiqua"/>
          <w:sz w:val="23"/>
          <w:szCs w:val="23"/>
          <w:lang w:val="en-GB" w:eastAsia="hu-HU"/>
        </w:rPr>
        <w:t xml:space="preserve"> The expert opinion must be reviewed </w:t>
      </w:r>
      <w:r w:rsidRPr="003E3613">
        <w:rPr>
          <w:rFonts w:ascii="Book Antiqua" w:eastAsiaTheme="minorEastAsia" w:hAnsi="Book Antiqua"/>
          <w:i/>
          <w:sz w:val="23"/>
          <w:szCs w:val="23"/>
          <w:lang w:val="en-GB" w:eastAsia="hu-HU"/>
        </w:rPr>
        <w:t>ex officio</w:t>
      </w:r>
      <w:r w:rsidRPr="003E3613">
        <w:rPr>
          <w:rFonts w:ascii="Book Antiqua" w:eastAsiaTheme="minorEastAsia" w:hAnsi="Book Antiqua"/>
          <w:sz w:val="23"/>
          <w:szCs w:val="23"/>
          <w:lang w:val="en-GB" w:eastAsia="hu-HU"/>
        </w:rPr>
        <w:t xml:space="preserve"> in every second academic year after the first </w:t>
      </w:r>
      <w:r w:rsidRPr="003E3613">
        <w:rPr>
          <w:rFonts w:ascii="Book Antiqua" w:eastAsiaTheme="minorEastAsia" w:hAnsi="Book Antiqua"/>
          <w:i/>
          <w:sz w:val="23"/>
          <w:szCs w:val="23"/>
          <w:lang w:val="en-GB" w:eastAsia="hu-HU"/>
        </w:rPr>
        <w:t>ex officio</w:t>
      </w:r>
      <w:r w:rsidRPr="003E3613">
        <w:rPr>
          <w:rFonts w:ascii="Book Antiqua" w:eastAsiaTheme="minorEastAsia" w:hAnsi="Book Antiqua"/>
          <w:sz w:val="23"/>
          <w:szCs w:val="23"/>
          <w:lang w:val="en-GB" w:eastAsia="hu-HU"/>
        </w:rPr>
        <w:t xml:space="preserve"> review until the academic year in which the student reaches the age of ten, respectively in every three years thereafter and until the academic year in which the student reaches the age of sixteen. In 15 years, the proportion of learners with mild intellectual disabilities (compared to all learners) decreased from 2.1% to 1.4%.</w:t>
      </w:r>
    </w:p>
    <w:p w14:paraId="52BEAE4D" w14:textId="77777777" w:rsidR="00203FB8" w:rsidRPr="003E3613" w:rsidRDefault="00203FB8" w:rsidP="00204696">
      <w:pPr>
        <w:spacing w:after="0"/>
        <w:jc w:val="both"/>
        <w:rPr>
          <w:rFonts w:ascii="Book Antiqua" w:hAnsi="Book Antiqua"/>
          <w:sz w:val="23"/>
          <w:szCs w:val="23"/>
          <w:lang w:val="en-GB"/>
        </w:rPr>
      </w:pPr>
    </w:p>
    <w:p w14:paraId="7831A965" w14:textId="77777777" w:rsidR="001E5BDC" w:rsidRPr="003E3613" w:rsidRDefault="001E5BDC" w:rsidP="00204696">
      <w:pPr>
        <w:spacing w:after="0"/>
        <w:jc w:val="both"/>
        <w:rPr>
          <w:rFonts w:ascii="Book Antiqua" w:hAnsi="Book Antiqua"/>
          <w:sz w:val="23"/>
          <w:szCs w:val="23"/>
          <w:lang w:val="en-GB"/>
        </w:rPr>
      </w:pPr>
      <w:r w:rsidRPr="003E3613">
        <w:rPr>
          <w:rFonts w:ascii="Book Antiqua" w:hAnsi="Book Antiqua"/>
          <w:sz w:val="23"/>
          <w:szCs w:val="23"/>
          <w:lang w:val="en-GB"/>
        </w:rPr>
        <w:t>It is the normal procedure for every EC</w:t>
      </w:r>
      <w:r w:rsidR="00C021C3" w:rsidRPr="003E3613">
        <w:rPr>
          <w:rFonts w:ascii="Book Antiqua" w:hAnsi="Book Antiqua"/>
          <w:sz w:val="23"/>
          <w:szCs w:val="23"/>
          <w:lang w:val="en-GB"/>
        </w:rPr>
        <w:t>t</w:t>
      </w:r>
      <w:r w:rsidRPr="003E3613">
        <w:rPr>
          <w:rFonts w:ascii="Book Antiqua" w:hAnsi="Book Antiqua"/>
          <w:sz w:val="23"/>
          <w:szCs w:val="23"/>
          <w:lang w:val="en-GB"/>
        </w:rPr>
        <w:t>HR judgment that the Committee of Ministers of the Council of Europe supervises the enforcement</w:t>
      </w:r>
      <w:r w:rsidR="00AE3084" w:rsidRPr="003E3613">
        <w:rPr>
          <w:rFonts w:ascii="Book Antiqua" w:hAnsi="Book Antiqua"/>
          <w:sz w:val="23"/>
          <w:szCs w:val="23"/>
          <w:lang w:val="en-GB"/>
        </w:rPr>
        <w:t>.</w:t>
      </w:r>
      <w:r w:rsidRPr="003E3613">
        <w:rPr>
          <w:rFonts w:ascii="Book Antiqua" w:hAnsi="Book Antiqua"/>
          <w:sz w:val="23"/>
          <w:szCs w:val="23"/>
          <w:lang w:val="en-GB"/>
        </w:rPr>
        <w:t xml:space="preserve"> The single fact that the supervision is ongoing cannot</w:t>
      </w:r>
      <w:r w:rsidR="00C021C3" w:rsidRPr="003E3613">
        <w:rPr>
          <w:rFonts w:ascii="Book Antiqua" w:hAnsi="Book Antiqua"/>
          <w:sz w:val="23"/>
          <w:szCs w:val="23"/>
          <w:lang w:val="en-GB"/>
        </w:rPr>
        <w:t xml:space="preserve"> be</w:t>
      </w:r>
      <w:r w:rsidRPr="003E3613">
        <w:rPr>
          <w:rFonts w:ascii="Book Antiqua" w:hAnsi="Book Antiqua"/>
          <w:sz w:val="23"/>
          <w:szCs w:val="23"/>
          <w:lang w:val="en-GB"/>
        </w:rPr>
        <w:t xml:space="preserve"> interpreted in a way that there is a clear risk of a serious breach by Hungary of the values as stipulated in Article 7(1) TEU.</w:t>
      </w:r>
    </w:p>
    <w:p w14:paraId="243C7756" w14:textId="77777777" w:rsidR="00B57260" w:rsidRPr="003E3613" w:rsidRDefault="00B57260" w:rsidP="00204696">
      <w:pPr>
        <w:spacing w:after="0"/>
        <w:jc w:val="both"/>
        <w:rPr>
          <w:rFonts w:ascii="Book Antiqua" w:eastAsiaTheme="majorEastAsia" w:hAnsi="Book Antiqua" w:cstheme="majorBidi"/>
          <w:b/>
          <w:bCs/>
          <w:sz w:val="23"/>
          <w:szCs w:val="23"/>
          <w:lang w:val="en-GB"/>
        </w:rPr>
      </w:pPr>
    </w:p>
    <w:p w14:paraId="3EBAEA98" w14:textId="77777777" w:rsidR="008A0C55" w:rsidRPr="003E3613" w:rsidRDefault="008A0C55" w:rsidP="00204696">
      <w:pPr>
        <w:pStyle w:val="Heading2"/>
        <w:keepNext w:val="0"/>
        <w:keepLines w:val="0"/>
        <w:spacing w:before="0"/>
        <w:rPr>
          <w:rFonts w:ascii="Book Antiqua" w:hAnsi="Book Antiqua"/>
          <w:color w:val="auto"/>
          <w:sz w:val="23"/>
          <w:szCs w:val="23"/>
          <w:lang w:val="en-GB"/>
        </w:rPr>
      </w:pPr>
      <w:bookmarkStart w:id="60" w:name="_Toc19120818"/>
      <w:r w:rsidRPr="003E3613">
        <w:rPr>
          <w:rFonts w:ascii="Book Antiqua" w:hAnsi="Book Antiqua"/>
          <w:color w:val="auto"/>
          <w:sz w:val="23"/>
          <w:szCs w:val="23"/>
          <w:lang w:val="en-GB"/>
        </w:rPr>
        <w:t>Segregated education of Roma children</w:t>
      </w:r>
      <w:bookmarkEnd w:id="60"/>
    </w:p>
    <w:p w14:paraId="23C6A695" w14:textId="77777777" w:rsidR="008A0C55" w:rsidRPr="003E3613" w:rsidRDefault="008A0C55" w:rsidP="00204696">
      <w:pPr>
        <w:spacing w:after="0"/>
        <w:jc w:val="both"/>
        <w:rPr>
          <w:rFonts w:ascii="Book Antiqua" w:hAnsi="Book Antiqua"/>
          <w:i/>
          <w:sz w:val="23"/>
          <w:szCs w:val="23"/>
          <w:lang w:val="en-GB"/>
        </w:rPr>
      </w:pPr>
    </w:p>
    <w:p w14:paraId="304E42F1" w14:textId="77777777" w:rsidR="00660031"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AE6A7D" w:rsidRPr="003E3613">
        <w:rPr>
          <w:rFonts w:ascii="Book Antiqua" w:hAnsi="Book Antiqua"/>
          <w:i/>
          <w:sz w:val="23"/>
          <w:szCs w:val="23"/>
          <w:lang w:val="en-GB"/>
        </w:rPr>
        <w:t>54</w:t>
      </w:r>
      <w:r w:rsidRPr="003E3613">
        <w:rPr>
          <w:rFonts w:ascii="Book Antiqua" w:hAnsi="Book Antiqua"/>
          <w:i/>
          <w:sz w:val="23"/>
          <w:szCs w:val="23"/>
          <w:lang w:val="en-GB"/>
        </w:rPr>
        <w:t>) On 26 May 2016, the Commission sent a letter of formal notice to the Hungarian authorities in relation to both Hungarian legislation and administrative practices which result in Roma children being disproportionately over-represented in special schools for mentally disabled children and subject to a considerable degree of segregated education in mainstream schools</w:t>
      </w:r>
      <w:r w:rsidR="008104F6" w:rsidRPr="003E3613">
        <w:rPr>
          <w:rFonts w:ascii="Book Antiqua" w:hAnsi="Book Antiqua"/>
          <w:i/>
          <w:sz w:val="23"/>
          <w:szCs w:val="23"/>
          <w:lang w:val="en-GB"/>
        </w:rPr>
        <w:t xml:space="preserve">, thus </w:t>
      </w:r>
    </w:p>
    <w:p w14:paraId="2F995F15" w14:textId="77777777" w:rsidR="00660031" w:rsidRDefault="00660031">
      <w:pPr>
        <w:rPr>
          <w:rFonts w:ascii="Book Antiqua" w:hAnsi="Book Antiqua"/>
          <w:i/>
          <w:sz w:val="23"/>
          <w:szCs w:val="23"/>
          <w:lang w:val="en-GB"/>
        </w:rPr>
      </w:pPr>
      <w:r>
        <w:rPr>
          <w:rFonts w:ascii="Book Antiqua" w:hAnsi="Book Antiqua"/>
          <w:i/>
          <w:sz w:val="23"/>
          <w:szCs w:val="23"/>
          <w:lang w:val="en-GB"/>
        </w:rPr>
        <w:br w:type="page"/>
      </w:r>
    </w:p>
    <w:p w14:paraId="16F1620C" w14:textId="456ADC7C" w:rsidR="00B9677E" w:rsidRPr="003E3613" w:rsidRDefault="008104F6" w:rsidP="00204696">
      <w:pPr>
        <w:spacing w:after="0"/>
        <w:jc w:val="both"/>
        <w:rPr>
          <w:rFonts w:ascii="Book Antiqua" w:hAnsi="Book Antiqua"/>
          <w:i/>
          <w:sz w:val="23"/>
          <w:szCs w:val="23"/>
          <w:lang w:val="en-GB"/>
        </w:rPr>
      </w:pPr>
      <w:r w:rsidRPr="003E3613">
        <w:rPr>
          <w:rFonts w:ascii="Book Antiqua" w:hAnsi="Book Antiqua"/>
          <w:i/>
          <w:sz w:val="23"/>
          <w:szCs w:val="23"/>
          <w:lang w:val="en-GB"/>
        </w:rPr>
        <w:lastRenderedPageBreak/>
        <w:t>hampering social inclusion. The Hungarian Government actively engaged in dialogue with the Commission. The Hungarian Inclusion Strategy focuses on promoting inclusive education, reducing segregation, breaking the intergenerational transmission of disadvantages, and establishing an inclusive school environment. Furthermore, the Act on National Public Education was complemented with additional guarantees as of January 2017, and the Hungarian Government initiated official audits in 2011-2015, followed by actions by government offices</w:t>
      </w:r>
      <w:r w:rsidR="00B9677E" w:rsidRPr="003E3613">
        <w:rPr>
          <w:rFonts w:ascii="Book Antiqua" w:hAnsi="Book Antiqua"/>
          <w:i/>
          <w:sz w:val="23"/>
          <w:szCs w:val="23"/>
          <w:lang w:val="en-GB"/>
        </w:rPr>
        <w:t>.</w:t>
      </w:r>
    </w:p>
    <w:p w14:paraId="454B1783" w14:textId="77777777" w:rsidR="008A0C55" w:rsidRPr="003E3613" w:rsidRDefault="008A0C55" w:rsidP="00204696">
      <w:pPr>
        <w:spacing w:after="0"/>
        <w:jc w:val="both"/>
        <w:rPr>
          <w:rFonts w:ascii="Book Antiqua" w:hAnsi="Book Antiqua"/>
          <w:sz w:val="23"/>
          <w:szCs w:val="23"/>
          <w:lang w:val="en-GB"/>
        </w:rPr>
      </w:pPr>
    </w:p>
    <w:p w14:paraId="6CD1DC6C" w14:textId="77777777" w:rsidR="008A0C55" w:rsidRPr="003E3613" w:rsidRDefault="008F74C4"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As the </w:t>
      </w:r>
      <w:r w:rsidR="00AC7D7B" w:rsidRPr="003E3613">
        <w:rPr>
          <w:rFonts w:ascii="Book Antiqua" w:hAnsi="Book Antiqua"/>
          <w:sz w:val="23"/>
          <w:szCs w:val="23"/>
          <w:lang w:val="en-GB"/>
        </w:rPr>
        <w:t xml:space="preserve">reasoned proposal </w:t>
      </w:r>
      <w:r w:rsidRPr="003E3613">
        <w:rPr>
          <w:rFonts w:ascii="Book Antiqua" w:hAnsi="Book Antiqua"/>
          <w:sz w:val="23"/>
          <w:szCs w:val="23"/>
          <w:lang w:val="en-GB"/>
        </w:rPr>
        <w:t>highlights, i</w:t>
      </w:r>
      <w:r w:rsidR="008A0C55" w:rsidRPr="003E3613">
        <w:rPr>
          <w:rFonts w:ascii="Book Antiqua" w:hAnsi="Book Antiqua"/>
          <w:sz w:val="23"/>
          <w:szCs w:val="23"/>
          <w:lang w:val="en-GB"/>
        </w:rPr>
        <w:t>n the course of the ongoing infringement procedure</w:t>
      </w:r>
      <w:r w:rsidR="00494B99" w:rsidRPr="003E3613">
        <w:rPr>
          <w:rFonts w:ascii="Book Antiqua" w:hAnsi="Book Antiqua"/>
          <w:sz w:val="23"/>
          <w:szCs w:val="23"/>
          <w:lang w:val="en-GB"/>
        </w:rPr>
        <w:t>,</w:t>
      </w:r>
      <w:r w:rsidR="008A0C55" w:rsidRPr="003E3613">
        <w:rPr>
          <w:rFonts w:ascii="Book Antiqua" w:hAnsi="Book Antiqua"/>
          <w:sz w:val="23"/>
          <w:szCs w:val="23"/>
          <w:lang w:val="en-GB"/>
        </w:rPr>
        <w:t xml:space="preserve"> from the very beginning the Hungarian Government actively conducted dialogues with the Commission. During these dialogues impartial, evidence-based and cooperative approach was ensured on both sides and as a result thereof Hungar</w:t>
      </w:r>
      <w:r w:rsidR="001808E5" w:rsidRPr="003E3613">
        <w:rPr>
          <w:rFonts w:ascii="Book Antiqua" w:hAnsi="Book Antiqua"/>
          <w:sz w:val="23"/>
          <w:szCs w:val="23"/>
          <w:lang w:val="en-GB"/>
        </w:rPr>
        <w:t xml:space="preserve">y </w:t>
      </w:r>
      <w:r w:rsidR="008A0C55" w:rsidRPr="003E3613">
        <w:rPr>
          <w:rFonts w:ascii="Book Antiqua" w:hAnsi="Book Antiqua"/>
          <w:sz w:val="23"/>
          <w:szCs w:val="23"/>
          <w:lang w:val="en-GB"/>
        </w:rPr>
        <w:t>by virtue of the principle of sincere cooperation amended its legislation and took actions in order to ensure compliance with its legal obligations.</w:t>
      </w:r>
    </w:p>
    <w:p w14:paraId="4A020149" w14:textId="77777777" w:rsidR="008A0C55" w:rsidRPr="003E3613" w:rsidRDefault="008A0C55" w:rsidP="00204696">
      <w:pPr>
        <w:spacing w:after="0"/>
        <w:jc w:val="both"/>
        <w:rPr>
          <w:rFonts w:ascii="Book Antiqua" w:hAnsi="Book Antiqua"/>
          <w:sz w:val="23"/>
          <w:szCs w:val="23"/>
          <w:lang w:val="en-GB"/>
        </w:rPr>
      </w:pPr>
    </w:p>
    <w:p w14:paraId="49F836A5" w14:textId="77777777" w:rsidR="006611AB" w:rsidRPr="003E3613" w:rsidRDefault="004032F2" w:rsidP="00204696">
      <w:pPr>
        <w:spacing w:after="0"/>
        <w:jc w:val="both"/>
        <w:rPr>
          <w:rFonts w:ascii="Book Antiqua" w:hAnsi="Book Antiqua"/>
          <w:sz w:val="23"/>
          <w:szCs w:val="23"/>
          <w:lang w:val="en-GB"/>
        </w:rPr>
      </w:pPr>
      <w:r w:rsidRPr="003E3613">
        <w:rPr>
          <w:rFonts w:ascii="Book Antiqua" w:hAnsi="Book Antiqua"/>
          <w:sz w:val="23"/>
          <w:szCs w:val="23"/>
          <w:lang w:val="en-GB"/>
        </w:rPr>
        <w:t>I</w:t>
      </w:r>
      <w:r w:rsidR="009569D6" w:rsidRPr="003E3613">
        <w:rPr>
          <w:rFonts w:ascii="Book Antiqua" w:hAnsi="Book Antiqua"/>
          <w:sz w:val="23"/>
          <w:szCs w:val="23"/>
          <w:lang w:val="en-GB"/>
        </w:rPr>
        <w:t xml:space="preserve">n 2017 the Commission </w:t>
      </w:r>
      <w:r w:rsidRPr="003E3613">
        <w:rPr>
          <w:rFonts w:ascii="Book Antiqua" w:hAnsi="Book Antiqua"/>
          <w:sz w:val="23"/>
          <w:szCs w:val="23"/>
          <w:lang w:val="en-GB"/>
        </w:rPr>
        <w:t>acknowledged that with the ad</w:t>
      </w:r>
      <w:r w:rsidR="00E94094" w:rsidRPr="003E3613">
        <w:rPr>
          <w:rFonts w:ascii="Book Antiqua" w:hAnsi="Book Antiqua"/>
          <w:sz w:val="23"/>
          <w:szCs w:val="23"/>
          <w:lang w:val="en-GB"/>
        </w:rPr>
        <w:t>o</w:t>
      </w:r>
      <w:r w:rsidRPr="003E3613">
        <w:rPr>
          <w:rFonts w:ascii="Book Antiqua" w:hAnsi="Book Antiqua"/>
          <w:sz w:val="23"/>
          <w:szCs w:val="23"/>
          <w:lang w:val="en-GB"/>
        </w:rPr>
        <w:t>ption of the legislative changes the Commission’s critic</w:t>
      </w:r>
      <w:r w:rsidR="00B4533F" w:rsidRPr="003E3613">
        <w:rPr>
          <w:rFonts w:ascii="Book Antiqua" w:hAnsi="Book Antiqua"/>
          <w:sz w:val="23"/>
          <w:szCs w:val="23"/>
          <w:lang w:val="en-GB"/>
        </w:rPr>
        <w:t>ism</w:t>
      </w:r>
      <w:r w:rsidRPr="003E3613">
        <w:rPr>
          <w:rFonts w:ascii="Book Antiqua" w:hAnsi="Book Antiqua"/>
          <w:sz w:val="23"/>
          <w:szCs w:val="23"/>
          <w:lang w:val="en-GB"/>
        </w:rPr>
        <w:t xml:space="preserve">s with regard to the legal environment have been </w:t>
      </w:r>
      <w:r w:rsidR="00434EFC" w:rsidRPr="003E3613">
        <w:rPr>
          <w:rFonts w:ascii="Book Antiqua" w:hAnsi="Book Antiqua"/>
          <w:sz w:val="23"/>
          <w:szCs w:val="23"/>
          <w:lang w:val="en-GB"/>
        </w:rPr>
        <w:t xml:space="preserve">properly </w:t>
      </w:r>
      <w:r w:rsidRPr="003E3613">
        <w:rPr>
          <w:rFonts w:ascii="Book Antiqua" w:hAnsi="Book Antiqua"/>
          <w:sz w:val="23"/>
          <w:szCs w:val="23"/>
          <w:lang w:val="en-GB"/>
        </w:rPr>
        <w:t>addressed.</w:t>
      </w:r>
      <w:r w:rsidR="00B53C31" w:rsidRPr="003E3613">
        <w:rPr>
          <w:rFonts w:ascii="Book Antiqua" w:hAnsi="Book Antiqua"/>
          <w:sz w:val="23"/>
          <w:szCs w:val="23"/>
          <w:lang w:val="en-GB"/>
        </w:rPr>
        <w:t xml:space="preserve"> </w:t>
      </w:r>
      <w:r w:rsidR="00B53C31" w:rsidRPr="003E3613">
        <w:rPr>
          <w:rFonts w:ascii="Book Antiqua" w:hAnsi="Book Antiqua" w:cs="Arial"/>
          <w:color w:val="1A1A1A"/>
          <w:sz w:val="23"/>
          <w:szCs w:val="23"/>
          <w:shd w:val="clear" w:color="auto" w:fill="FFFFFF"/>
          <w:lang w:val="en-GB"/>
        </w:rPr>
        <w:t>The Budapest Regional Court ordered the desegregation of certain schools in 2019 February, which proves the application of legal amendments. According to the court’s decision, desegregation plans have been prepared, implementation is in progress with complex assistance (see below).</w:t>
      </w:r>
    </w:p>
    <w:p w14:paraId="52552BB6" w14:textId="77777777" w:rsidR="008A086B" w:rsidRPr="003E3613" w:rsidRDefault="008A086B" w:rsidP="00204696">
      <w:pPr>
        <w:spacing w:after="0"/>
        <w:jc w:val="both"/>
        <w:rPr>
          <w:rFonts w:ascii="Book Antiqua" w:hAnsi="Book Antiqua"/>
          <w:sz w:val="23"/>
          <w:szCs w:val="23"/>
          <w:lang w:val="en-GB"/>
        </w:rPr>
      </w:pPr>
    </w:p>
    <w:p w14:paraId="287AC1CE" w14:textId="77777777" w:rsidR="00167196" w:rsidRPr="003E3613" w:rsidRDefault="00167196"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Hungarian National Social Inclusion Strategy accepted in 2011 treats the reduction of segregation as a priority objective. Special attention is paid to integration in kindergartens and schools. Accordingly, in the field of education and training, particular </w:t>
      </w:r>
      <w:r w:rsidR="00AE3084" w:rsidRPr="003E3613">
        <w:rPr>
          <w:rFonts w:ascii="Book Antiqua" w:hAnsi="Book Antiqua"/>
          <w:sz w:val="23"/>
          <w:szCs w:val="23"/>
          <w:lang w:val="en-GB"/>
        </w:rPr>
        <w:t xml:space="preserve">focus is put on </w:t>
      </w:r>
      <w:r w:rsidRPr="003E3613">
        <w:rPr>
          <w:rFonts w:ascii="Book Antiqua" w:hAnsi="Book Antiqua"/>
          <w:sz w:val="23"/>
          <w:szCs w:val="23"/>
          <w:lang w:val="en-GB"/>
        </w:rPr>
        <w:t>the promotion of integrated education, the reduction of segregation, the breaking of the cycle of intergenerational transmission of disadvantages</w:t>
      </w:r>
      <w:r w:rsidR="00AE3084" w:rsidRPr="003E3613">
        <w:rPr>
          <w:rFonts w:ascii="Book Antiqua" w:hAnsi="Book Antiqua"/>
          <w:sz w:val="23"/>
          <w:szCs w:val="23"/>
          <w:lang w:val="en-GB"/>
        </w:rPr>
        <w:t xml:space="preserve"> and</w:t>
      </w:r>
      <w:r w:rsidRPr="003E3613">
        <w:rPr>
          <w:rFonts w:ascii="Book Antiqua" w:hAnsi="Book Antiqua"/>
          <w:sz w:val="23"/>
          <w:szCs w:val="23"/>
          <w:lang w:val="en-GB"/>
        </w:rPr>
        <w:t xml:space="preserve"> the establishment of an inclusive school environment. Roma children's access to quality education is facilitated by the application of legal, financing and institutional measures and by a number of governmental actions. </w:t>
      </w:r>
    </w:p>
    <w:p w14:paraId="0869C9C4" w14:textId="77777777" w:rsidR="00167196" w:rsidRPr="003E3613" w:rsidRDefault="00167196" w:rsidP="00204696">
      <w:pPr>
        <w:spacing w:after="0"/>
        <w:jc w:val="both"/>
        <w:rPr>
          <w:rFonts w:ascii="Book Antiqua" w:hAnsi="Book Antiqua"/>
          <w:sz w:val="23"/>
          <w:szCs w:val="23"/>
          <w:lang w:val="en-GB"/>
        </w:rPr>
      </w:pPr>
    </w:p>
    <w:p w14:paraId="5D6E1415" w14:textId="77777777" w:rsidR="00167196" w:rsidRPr="003E3613" w:rsidRDefault="00167196"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As to the operation of educational institutions by the state, we carried out regional development to improve access to quality education based on integrated education. We simplified the structure of operation, and gave more power to heads of school. In the frames of these measures, the former Klebelsberg Institution Maintenance Centre was replaced in January 2017 by school district centres, which operate as state operators and as independent budget organisations. Instead of the single national centre, 59 school district centres were set up. This way the decision-making was moved closer to the people concerned. In addition, the Klebelsberg Centre as a medium-level administrative body stepped in between school district centres and the Minister responsible for education. </w:t>
      </w:r>
    </w:p>
    <w:p w14:paraId="63054617" w14:textId="2C9F7AD5" w:rsidR="00660031" w:rsidRDefault="00660031">
      <w:pPr>
        <w:rPr>
          <w:rFonts w:ascii="Book Antiqua" w:hAnsi="Book Antiqua"/>
          <w:sz w:val="23"/>
          <w:szCs w:val="23"/>
          <w:lang w:val="en-GB"/>
        </w:rPr>
      </w:pPr>
      <w:r>
        <w:rPr>
          <w:rFonts w:ascii="Book Antiqua" w:hAnsi="Book Antiqua"/>
          <w:sz w:val="23"/>
          <w:szCs w:val="23"/>
          <w:lang w:val="en-GB"/>
        </w:rPr>
        <w:br w:type="page"/>
      </w:r>
    </w:p>
    <w:p w14:paraId="5C5EBFBD" w14:textId="77777777" w:rsidR="00167196" w:rsidRPr="003E3613" w:rsidRDefault="00167196"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Each school district centre employs an anti-segregation expert, who assist</w:t>
      </w:r>
      <w:r w:rsidR="00C7210E" w:rsidRPr="003E3613">
        <w:rPr>
          <w:rFonts w:ascii="Book Antiqua" w:hAnsi="Book Antiqua"/>
          <w:sz w:val="23"/>
          <w:szCs w:val="23"/>
          <w:lang w:val="en-GB"/>
        </w:rPr>
        <w:t>s</w:t>
      </w:r>
      <w:r w:rsidRPr="003E3613">
        <w:rPr>
          <w:rFonts w:ascii="Book Antiqua" w:hAnsi="Book Antiqua"/>
          <w:sz w:val="23"/>
          <w:szCs w:val="23"/>
          <w:lang w:val="en-GB"/>
        </w:rPr>
        <w:t xml:space="preserve"> the state in organising local meetings and roundtable discussions and in detecting and signalling problems. As of November 2017, the anti-segregation working group is the permanent working group of the school district council.</w:t>
      </w:r>
      <w:r w:rsidR="00E22CFC" w:rsidRPr="003E3613">
        <w:rPr>
          <w:rFonts w:ascii="Book Antiqua" w:hAnsi="Book Antiqua"/>
          <w:sz w:val="23"/>
          <w:szCs w:val="23"/>
          <w:lang w:val="en-GB"/>
        </w:rPr>
        <w:t xml:space="preserve"> B</w:t>
      </w:r>
      <w:r w:rsidR="007F2B87" w:rsidRPr="003E3613">
        <w:rPr>
          <w:rFonts w:ascii="Book Antiqua" w:hAnsi="Book Antiqua"/>
          <w:sz w:val="23"/>
          <w:szCs w:val="23"/>
          <w:lang w:val="en-GB"/>
        </w:rPr>
        <w:t>y 2018 October</w:t>
      </w:r>
      <w:r w:rsidR="00E22CFC" w:rsidRPr="003E3613">
        <w:rPr>
          <w:rFonts w:ascii="Book Antiqua" w:hAnsi="Book Antiqua"/>
          <w:sz w:val="23"/>
          <w:szCs w:val="23"/>
          <w:lang w:val="en-GB"/>
        </w:rPr>
        <w:t xml:space="preserve"> school maintenance centers invited local stakeholders (eg. social partners, childcare services and NGOs, maintainers of church schools, local municipalities, kindergarten teachers, etc.) into the working groups in order to monitor</w:t>
      </w:r>
      <w:r w:rsidR="007F2B87" w:rsidRPr="003E3613">
        <w:rPr>
          <w:rFonts w:ascii="Book Antiqua" w:hAnsi="Book Antiqua"/>
          <w:sz w:val="23"/>
          <w:szCs w:val="23"/>
          <w:lang w:val="en-GB"/>
        </w:rPr>
        <w:t xml:space="preserve"> the</w:t>
      </w:r>
      <w:r w:rsidR="00E22CFC" w:rsidRPr="003E3613">
        <w:rPr>
          <w:rFonts w:ascii="Book Antiqua" w:hAnsi="Book Antiqua"/>
          <w:sz w:val="23"/>
          <w:szCs w:val="23"/>
          <w:lang w:val="en-GB"/>
        </w:rPr>
        <w:t xml:space="preserve"> implementation of inclusive education, desegregation. Common workshops for representatives of antisegregation working groups and school operators in flagship project titled “Support to institutions affected by early school leaving”</w:t>
      </w:r>
      <w:r w:rsidR="007F2B87" w:rsidRPr="003E3613">
        <w:rPr>
          <w:rFonts w:ascii="Book Antiqua" w:hAnsi="Book Antiqua"/>
          <w:sz w:val="23"/>
          <w:szCs w:val="23"/>
          <w:lang w:val="en-GB"/>
        </w:rPr>
        <w:t xml:space="preserve"> </w:t>
      </w:r>
      <w:r w:rsidR="00E22CFC" w:rsidRPr="003E3613">
        <w:rPr>
          <w:rFonts w:ascii="Book Antiqua" w:hAnsi="Book Antiqua"/>
          <w:sz w:val="23"/>
          <w:szCs w:val="23"/>
          <w:lang w:val="en-GB"/>
        </w:rPr>
        <w:t xml:space="preserve">(see below) project </w:t>
      </w:r>
      <w:r w:rsidR="007F2B87" w:rsidRPr="003E3613">
        <w:rPr>
          <w:rFonts w:ascii="Book Antiqua" w:hAnsi="Book Antiqua"/>
          <w:sz w:val="23"/>
          <w:szCs w:val="23"/>
          <w:lang w:val="en-GB"/>
        </w:rPr>
        <w:t xml:space="preserve">were </w:t>
      </w:r>
      <w:r w:rsidR="00E22CFC" w:rsidRPr="003E3613">
        <w:rPr>
          <w:rFonts w:ascii="Book Antiqua" w:hAnsi="Book Antiqua"/>
          <w:sz w:val="23"/>
          <w:szCs w:val="23"/>
          <w:lang w:val="en-GB"/>
        </w:rPr>
        <w:t xml:space="preserve">held in 2018 October and 2019 January. </w:t>
      </w:r>
      <w:r w:rsidR="007F2B87" w:rsidRPr="003E3613">
        <w:rPr>
          <w:rFonts w:ascii="Book Antiqua" w:hAnsi="Book Antiqua"/>
          <w:sz w:val="23"/>
          <w:szCs w:val="23"/>
          <w:lang w:val="en-GB"/>
        </w:rPr>
        <w:t>The m</w:t>
      </w:r>
      <w:r w:rsidR="00E22CFC" w:rsidRPr="003E3613">
        <w:rPr>
          <w:rFonts w:ascii="Book Antiqua" w:hAnsi="Book Antiqua"/>
          <w:sz w:val="23"/>
          <w:szCs w:val="23"/>
          <w:lang w:val="en-GB"/>
        </w:rPr>
        <w:t xml:space="preserve">ain focus of </w:t>
      </w:r>
      <w:r w:rsidR="007F2B87" w:rsidRPr="003E3613">
        <w:rPr>
          <w:rFonts w:ascii="Book Antiqua" w:hAnsi="Book Antiqua"/>
          <w:sz w:val="23"/>
          <w:szCs w:val="23"/>
          <w:lang w:val="en-GB"/>
        </w:rPr>
        <w:t>the workshops is</w:t>
      </w:r>
      <w:r w:rsidR="005368E5" w:rsidRPr="003E3613">
        <w:rPr>
          <w:rFonts w:ascii="Book Antiqua" w:hAnsi="Book Antiqua"/>
          <w:sz w:val="23"/>
          <w:szCs w:val="23"/>
          <w:lang w:val="en-GB"/>
        </w:rPr>
        <w:t>, among others,</w:t>
      </w:r>
      <w:r w:rsidR="007F2B87" w:rsidRPr="003E3613">
        <w:rPr>
          <w:rFonts w:ascii="Book Antiqua" w:hAnsi="Book Antiqua"/>
          <w:sz w:val="23"/>
          <w:szCs w:val="23"/>
          <w:lang w:val="en-GB"/>
        </w:rPr>
        <w:t xml:space="preserve"> on</w:t>
      </w:r>
      <w:r w:rsidR="00E22CFC" w:rsidRPr="003E3613">
        <w:rPr>
          <w:rFonts w:ascii="Book Antiqua" w:hAnsi="Book Antiqua"/>
          <w:sz w:val="23"/>
          <w:szCs w:val="23"/>
          <w:lang w:val="en-GB"/>
        </w:rPr>
        <w:t xml:space="preserve"> causes and consequences of segregation; practices and cooperation in order to avoid and prevent school segregation and selection mechanisms; revision of educational equality action plans.</w:t>
      </w:r>
    </w:p>
    <w:p w14:paraId="39EE9844" w14:textId="77777777" w:rsidR="00167196" w:rsidRPr="003E3613" w:rsidRDefault="00167196" w:rsidP="00204696">
      <w:pPr>
        <w:spacing w:after="0"/>
        <w:jc w:val="both"/>
        <w:rPr>
          <w:rFonts w:ascii="Book Antiqua" w:hAnsi="Book Antiqua"/>
          <w:sz w:val="23"/>
          <w:szCs w:val="23"/>
          <w:lang w:val="en-GB"/>
        </w:rPr>
      </w:pPr>
    </w:p>
    <w:p w14:paraId="1154440B" w14:textId="048223C9" w:rsidR="00167196" w:rsidRPr="003E3613" w:rsidRDefault="00167196" w:rsidP="00204696">
      <w:pPr>
        <w:spacing w:after="0"/>
        <w:jc w:val="both"/>
        <w:rPr>
          <w:rFonts w:ascii="Book Antiqua" w:hAnsi="Book Antiqua"/>
          <w:sz w:val="23"/>
          <w:szCs w:val="23"/>
          <w:lang w:val="en-GB"/>
        </w:rPr>
      </w:pPr>
      <w:r w:rsidRPr="003E3613">
        <w:rPr>
          <w:rFonts w:ascii="Book Antiqua" w:hAnsi="Book Antiqua"/>
          <w:sz w:val="23"/>
          <w:szCs w:val="23"/>
          <w:lang w:val="en-GB"/>
        </w:rPr>
        <w:t>As a result of an amendment in legal regulations</w:t>
      </w:r>
      <w:r w:rsidR="007E19D5">
        <w:rPr>
          <w:rFonts w:ascii="Book Antiqua" w:hAnsi="Book Antiqua"/>
          <w:sz w:val="23"/>
          <w:szCs w:val="23"/>
          <w:lang w:val="en-GB"/>
        </w:rPr>
        <w:t>,</w:t>
      </w:r>
      <w:r w:rsidRPr="003E3613">
        <w:rPr>
          <w:rFonts w:ascii="Book Antiqua" w:hAnsi="Book Antiqua"/>
          <w:sz w:val="23"/>
          <w:szCs w:val="23"/>
          <w:vertAlign w:val="superscript"/>
          <w:lang w:val="en-GB"/>
        </w:rPr>
        <w:footnoteReference w:id="38"/>
      </w:r>
      <w:r w:rsidRPr="003E3613">
        <w:rPr>
          <w:rFonts w:ascii="Book Antiqua" w:hAnsi="Book Antiqua"/>
          <w:sz w:val="23"/>
          <w:szCs w:val="23"/>
          <w:lang w:val="en-GB"/>
        </w:rPr>
        <w:t xml:space="preserve"> the head of the anti-segregation working group prepares an annual report to the Minister for </w:t>
      </w:r>
      <w:r w:rsidR="00AE3084" w:rsidRPr="003E3613">
        <w:rPr>
          <w:rFonts w:ascii="Book Antiqua" w:hAnsi="Book Antiqua"/>
          <w:sz w:val="23"/>
          <w:szCs w:val="23"/>
          <w:lang w:val="en-GB"/>
        </w:rPr>
        <w:t>E</w:t>
      </w:r>
      <w:r w:rsidRPr="003E3613">
        <w:rPr>
          <w:rFonts w:ascii="Book Antiqua" w:hAnsi="Book Antiqua"/>
          <w:sz w:val="23"/>
          <w:szCs w:val="23"/>
          <w:lang w:val="en-GB"/>
        </w:rPr>
        <w:t xml:space="preserve">ducation and to the president of the Klebelsberg Centre, which ensures government monitoring. The competent minister, therefore, is informed on the status of segregation at the level of the school district centres. In addition, based on the evaluations provided by the Klebelsberg Centre, the Minister is able to monitor the development of anti-segregation processes, and these evaluations contribute to its responsible political decisions. </w:t>
      </w:r>
    </w:p>
    <w:p w14:paraId="68C31D94" w14:textId="77777777" w:rsidR="00167196" w:rsidRPr="003E3613" w:rsidRDefault="00167196" w:rsidP="00204696">
      <w:pPr>
        <w:spacing w:after="0"/>
        <w:jc w:val="both"/>
        <w:rPr>
          <w:rFonts w:ascii="Book Antiqua" w:hAnsi="Book Antiqua"/>
          <w:sz w:val="23"/>
          <w:szCs w:val="23"/>
          <w:lang w:val="en-GB"/>
        </w:rPr>
      </w:pPr>
    </w:p>
    <w:p w14:paraId="2052B0D3" w14:textId="77777777" w:rsidR="00167196" w:rsidRPr="003E3613" w:rsidRDefault="00167196"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regulation of the school districts facilitates the elimination of the undesired effects of the free selection of schools and the prevention of segregation. In order to regulate unlawful segregation, the Act on National Public Education </w:t>
      </w:r>
      <w:r w:rsidR="000717AE" w:rsidRPr="003E3613">
        <w:rPr>
          <w:rFonts w:ascii="Book Antiqua" w:hAnsi="Book Antiqua"/>
          <w:sz w:val="23"/>
          <w:szCs w:val="23"/>
          <w:lang w:val="en-GB"/>
        </w:rPr>
        <w:t xml:space="preserve">(Act CXC of 2011) </w:t>
      </w:r>
      <w:r w:rsidRPr="003E3613">
        <w:rPr>
          <w:rFonts w:ascii="Book Antiqua" w:hAnsi="Book Antiqua"/>
          <w:sz w:val="23"/>
          <w:szCs w:val="23"/>
          <w:lang w:val="en-GB"/>
        </w:rPr>
        <w:t xml:space="preserve">was extended with additional guarantee elements: as of January 2017, the school district centre received a competence of approval in the designation of the borders of districts. If the competent school district centre does not agree with the decision of the authority performing tasks of public education on the borders of the district, or does not express its approval within the stipulated deadline, the Minister for </w:t>
      </w:r>
      <w:r w:rsidR="004E1D18" w:rsidRPr="003E3613">
        <w:rPr>
          <w:rFonts w:ascii="Book Antiqua" w:hAnsi="Book Antiqua"/>
          <w:sz w:val="23"/>
          <w:szCs w:val="23"/>
          <w:lang w:val="en-GB"/>
        </w:rPr>
        <w:t>E</w:t>
      </w:r>
      <w:r w:rsidRPr="003E3613">
        <w:rPr>
          <w:rFonts w:ascii="Book Antiqua" w:hAnsi="Book Antiqua"/>
          <w:sz w:val="23"/>
          <w:szCs w:val="23"/>
          <w:lang w:val="en-GB"/>
        </w:rPr>
        <w:t xml:space="preserve">ducation shall determine the district borders of school enrolment. </w:t>
      </w:r>
    </w:p>
    <w:p w14:paraId="1F56645F" w14:textId="77777777" w:rsidR="00167196" w:rsidRPr="003E3613" w:rsidRDefault="00167196" w:rsidP="00204696">
      <w:pPr>
        <w:spacing w:after="0"/>
        <w:jc w:val="both"/>
        <w:rPr>
          <w:rFonts w:ascii="Book Antiqua" w:hAnsi="Book Antiqua"/>
          <w:sz w:val="23"/>
          <w:szCs w:val="23"/>
          <w:lang w:val="en-GB"/>
        </w:rPr>
      </w:pPr>
    </w:p>
    <w:p w14:paraId="5055628F" w14:textId="77777777" w:rsidR="001D7823" w:rsidRPr="003E3613" w:rsidRDefault="001D7823"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It is worth highlighting that the Government submitted a proposal for the amendment of the Act on Equal Treatment and the Promotion of Equal Opportunities </w:t>
      </w:r>
      <w:r w:rsidR="00513DD6" w:rsidRPr="003E3613">
        <w:rPr>
          <w:rFonts w:ascii="Book Antiqua" w:hAnsi="Book Antiqua"/>
          <w:sz w:val="23"/>
          <w:szCs w:val="23"/>
          <w:lang w:val="en-GB"/>
        </w:rPr>
        <w:t xml:space="preserve">(Act CXXV of 2003) </w:t>
      </w:r>
      <w:r w:rsidRPr="003E3613">
        <w:rPr>
          <w:rFonts w:ascii="Book Antiqua" w:hAnsi="Book Antiqua"/>
          <w:sz w:val="23"/>
          <w:szCs w:val="23"/>
          <w:lang w:val="en-GB"/>
        </w:rPr>
        <w:t>and the Act on National Public Education. The amendment came into force in July 2017 and provides stronger guarantees than before to prevent the unlawful segregation of disadvantaged children, including Roma: religious education can only be provided on the basis of ethnicity or nationality, if national minority education is also provided.</w:t>
      </w:r>
    </w:p>
    <w:p w14:paraId="76B2DDD0" w14:textId="77777777" w:rsidR="001D7823" w:rsidRPr="003E3613" w:rsidRDefault="001D7823" w:rsidP="00204696">
      <w:pPr>
        <w:spacing w:after="0"/>
        <w:jc w:val="both"/>
        <w:rPr>
          <w:rFonts w:ascii="Book Antiqua" w:hAnsi="Book Antiqua"/>
          <w:sz w:val="23"/>
          <w:szCs w:val="23"/>
          <w:lang w:val="en-GB"/>
        </w:rPr>
      </w:pPr>
    </w:p>
    <w:p w14:paraId="46F47AE9" w14:textId="77777777" w:rsidR="00A912F0" w:rsidRPr="003E3613" w:rsidRDefault="00167196" w:rsidP="00204696">
      <w:pPr>
        <w:jc w:val="both"/>
        <w:rPr>
          <w:rFonts w:ascii="Book Antiqua" w:hAnsi="Book Antiqua"/>
          <w:sz w:val="23"/>
          <w:szCs w:val="23"/>
          <w:lang w:val="en-GB"/>
        </w:rPr>
      </w:pPr>
      <w:r w:rsidRPr="003E3613">
        <w:rPr>
          <w:rFonts w:ascii="Book Antiqua" w:hAnsi="Book Antiqua"/>
          <w:sz w:val="23"/>
          <w:szCs w:val="23"/>
          <w:lang w:val="en-GB"/>
        </w:rPr>
        <w:t xml:space="preserve">In the framework of desegregation measures, we initiated official audits between 2011 and 2015, which were followed by actions of the government offices. Following that, a so-called </w:t>
      </w:r>
      <w:r w:rsidRPr="003E3613">
        <w:rPr>
          <w:rFonts w:ascii="Book Antiqua" w:hAnsi="Book Antiqua"/>
          <w:sz w:val="23"/>
          <w:szCs w:val="23"/>
          <w:lang w:val="en-GB"/>
        </w:rPr>
        <w:lastRenderedPageBreak/>
        <w:t>segregation index based survey was conducted: based on the index, we examined schools and selected the ones that would participate in the flagship project titled “Support to institutions affected by early school leaving” to be implemented until 2020 from EU funds, with a budget of HUF 12.9 billion. The call for proposal was published in October 2016. The project covers 300 schools (locations of performing public education institution tasks), and implements complex desegregation institution development and the development of pedagogical services. The selection of the institutions was based on the assessment with the segregation index, and we involved those institutions against which court proceedings were initiated because of segregation, too</w:t>
      </w:r>
      <w:r w:rsidR="0016567F" w:rsidRPr="003E3613">
        <w:rPr>
          <w:rFonts w:ascii="Book Antiqua" w:hAnsi="Book Antiqua"/>
          <w:sz w:val="23"/>
          <w:szCs w:val="23"/>
          <w:lang w:val="en-GB"/>
        </w:rPr>
        <w:t>.</w:t>
      </w:r>
      <w:r w:rsidR="00FA645C" w:rsidRPr="003E3613">
        <w:rPr>
          <w:rFonts w:ascii="Book Antiqua" w:hAnsi="Book Antiqua"/>
          <w:sz w:val="23"/>
          <w:szCs w:val="23"/>
          <w:lang w:val="en-GB"/>
        </w:rPr>
        <w:t xml:space="preserve"> </w:t>
      </w:r>
    </w:p>
    <w:p w14:paraId="2C1C0A59" w14:textId="77777777" w:rsidR="00FA645C" w:rsidRPr="003E3613" w:rsidRDefault="007546BA" w:rsidP="00204696">
      <w:pPr>
        <w:jc w:val="both"/>
        <w:rPr>
          <w:rFonts w:ascii="Book Antiqua" w:hAnsi="Book Antiqua"/>
          <w:sz w:val="23"/>
          <w:szCs w:val="23"/>
          <w:lang w:val="en-GB"/>
        </w:rPr>
      </w:pPr>
      <w:r w:rsidRPr="003E3613">
        <w:rPr>
          <w:rFonts w:ascii="Book Antiqua" w:hAnsi="Book Antiqua"/>
          <w:sz w:val="23"/>
          <w:szCs w:val="23"/>
          <w:lang w:val="en-GB"/>
        </w:rPr>
        <w:t>The c</w:t>
      </w:r>
      <w:r w:rsidR="00FA645C" w:rsidRPr="003E3613">
        <w:rPr>
          <w:rFonts w:ascii="Book Antiqua" w:hAnsi="Book Antiqua"/>
          <w:sz w:val="23"/>
          <w:szCs w:val="23"/>
          <w:lang w:val="en-GB"/>
        </w:rPr>
        <w:t xml:space="preserve">omplex assistance provided for schools and school maintainers </w:t>
      </w:r>
      <w:r w:rsidRPr="003E3613">
        <w:rPr>
          <w:rFonts w:ascii="Book Antiqua" w:hAnsi="Book Antiqua"/>
          <w:sz w:val="23"/>
          <w:szCs w:val="23"/>
          <w:lang w:val="en-GB"/>
        </w:rPr>
        <w:t xml:space="preserve">contains the following measures </w:t>
      </w:r>
      <w:r w:rsidR="00FA645C" w:rsidRPr="003E3613">
        <w:rPr>
          <w:rFonts w:ascii="Book Antiqua" w:hAnsi="Book Antiqua"/>
          <w:sz w:val="23"/>
          <w:szCs w:val="23"/>
          <w:lang w:val="en-GB"/>
        </w:rPr>
        <w:t xml:space="preserve">in order to make them able to raise students’ achievement and implement desegregation: </w:t>
      </w:r>
    </w:p>
    <w:p w14:paraId="4AC5B9AB" w14:textId="77777777" w:rsidR="00FA645C" w:rsidRPr="003E3613" w:rsidRDefault="00FA645C" w:rsidP="00204696">
      <w:pPr>
        <w:numPr>
          <w:ilvl w:val="0"/>
          <w:numId w:val="31"/>
        </w:numPr>
        <w:contextualSpacing/>
        <w:jc w:val="both"/>
        <w:rPr>
          <w:rFonts w:ascii="Book Antiqua" w:hAnsi="Book Antiqua"/>
          <w:sz w:val="23"/>
          <w:szCs w:val="23"/>
          <w:lang w:val="en-GB"/>
        </w:rPr>
      </w:pPr>
      <w:r w:rsidRPr="003E3613">
        <w:rPr>
          <w:rFonts w:ascii="Book Antiqua" w:hAnsi="Book Antiqua"/>
          <w:sz w:val="23"/>
          <w:szCs w:val="23"/>
          <w:lang w:val="en-GB"/>
        </w:rPr>
        <w:t>mentoring assistance in order to support complex school improvement process</w:t>
      </w:r>
      <w:r w:rsidR="00BD0A8B" w:rsidRPr="003E3613">
        <w:rPr>
          <w:rFonts w:ascii="Book Antiqua" w:hAnsi="Book Antiqua"/>
          <w:sz w:val="23"/>
          <w:szCs w:val="23"/>
          <w:lang w:val="en-GB"/>
        </w:rPr>
        <w:t>;</w:t>
      </w:r>
    </w:p>
    <w:p w14:paraId="1E70BDF3" w14:textId="77777777" w:rsidR="00FA645C" w:rsidRPr="003E3613" w:rsidRDefault="00FA645C" w:rsidP="00204696">
      <w:pPr>
        <w:numPr>
          <w:ilvl w:val="0"/>
          <w:numId w:val="31"/>
        </w:numPr>
        <w:contextualSpacing/>
        <w:jc w:val="both"/>
        <w:rPr>
          <w:rFonts w:ascii="Book Antiqua" w:hAnsi="Book Antiqua"/>
          <w:sz w:val="23"/>
          <w:szCs w:val="23"/>
          <w:lang w:val="en-GB"/>
        </w:rPr>
      </w:pPr>
      <w:r w:rsidRPr="003E3613">
        <w:rPr>
          <w:rFonts w:ascii="Book Antiqua" w:hAnsi="Book Antiqua"/>
          <w:sz w:val="23"/>
          <w:szCs w:val="23"/>
          <w:lang w:val="en-GB"/>
        </w:rPr>
        <w:t>workshops on the prevention of school dropout and an inclusive index</w:t>
      </w:r>
      <w:r w:rsidR="00BD0A8B" w:rsidRPr="003E3613">
        <w:rPr>
          <w:rFonts w:ascii="Book Antiqua" w:hAnsi="Book Antiqua"/>
          <w:sz w:val="23"/>
          <w:szCs w:val="23"/>
          <w:lang w:val="en-GB"/>
        </w:rPr>
        <w:t>;</w:t>
      </w:r>
    </w:p>
    <w:p w14:paraId="6633CB2C" w14:textId="77777777" w:rsidR="00FA645C" w:rsidRPr="003E3613" w:rsidRDefault="00FA645C" w:rsidP="00204696">
      <w:pPr>
        <w:numPr>
          <w:ilvl w:val="0"/>
          <w:numId w:val="31"/>
        </w:numPr>
        <w:contextualSpacing/>
        <w:jc w:val="both"/>
        <w:rPr>
          <w:rFonts w:ascii="Book Antiqua" w:hAnsi="Book Antiqua"/>
          <w:sz w:val="23"/>
          <w:szCs w:val="23"/>
          <w:lang w:val="en-GB"/>
        </w:rPr>
      </w:pPr>
      <w:r w:rsidRPr="003E3613">
        <w:rPr>
          <w:rFonts w:ascii="Book Antiqua" w:hAnsi="Book Antiqua"/>
          <w:sz w:val="23"/>
          <w:szCs w:val="23"/>
          <w:lang w:val="en-GB"/>
        </w:rPr>
        <w:t>meetings for teaching staff focusing on the objectives of school improvement and action plans</w:t>
      </w:r>
      <w:r w:rsidR="00BD0A8B" w:rsidRPr="003E3613">
        <w:rPr>
          <w:rFonts w:ascii="Book Antiqua" w:hAnsi="Book Antiqua"/>
          <w:sz w:val="23"/>
          <w:szCs w:val="23"/>
          <w:lang w:val="en-GB"/>
        </w:rPr>
        <w:t>;</w:t>
      </w:r>
    </w:p>
    <w:p w14:paraId="6C064427" w14:textId="2990712C" w:rsidR="00FA645C" w:rsidRPr="003E3613" w:rsidRDefault="00FA645C" w:rsidP="00204696">
      <w:pPr>
        <w:numPr>
          <w:ilvl w:val="0"/>
          <w:numId w:val="31"/>
        </w:numPr>
        <w:contextualSpacing/>
        <w:jc w:val="both"/>
        <w:rPr>
          <w:rFonts w:ascii="Book Antiqua" w:hAnsi="Book Antiqua"/>
          <w:sz w:val="23"/>
          <w:szCs w:val="23"/>
          <w:lang w:val="en-GB"/>
        </w:rPr>
      </w:pPr>
      <w:r w:rsidRPr="003E3613">
        <w:rPr>
          <w:rFonts w:ascii="Book Antiqua" w:hAnsi="Book Antiqua"/>
          <w:sz w:val="23"/>
          <w:szCs w:val="23"/>
          <w:lang w:val="en-GB"/>
        </w:rPr>
        <w:t>methodological support for maintainers to elaborate on the plans for equity in education and desegregation action plans – implementation of court decisions – at</w:t>
      </w:r>
      <w:r w:rsidR="001F6F2B" w:rsidRPr="003E3613">
        <w:rPr>
          <w:rFonts w:ascii="Book Antiqua" w:hAnsi="Book Antiqua"/>
          <w:sz w:val="23"/>
          <w:szCs w:val="23"/>
          <w:lang w:val="en-GB"/>
        </w:rPr>
        <w:t xml:space="preserve"> </w:t>
      </w:r>
      <w:r w:rsidRPr="003E3613">
        <w:rPr>
          <w:rFonts w:ascii="Book Antiqua" w:hAnsi="Book Antiqua"/>
          <w:sz w:val="23"/>
          <w:szCs w:val="23"/>
          <w:lang w:val="en-GB"/>
        </w:rPr>
        <w:t>the district level, by organizing workshops and providing mentoring services</w:t>
      </w:r>
      <w:r w:rsidR="00BD0A8B" w:rsidRPr="003E3613">
        <w:rPr>
          <w:rFonts w:ascii="Book Antiqua" w:hAnsi="Book Antiqua"/>
          <w:sz w:val="23"/>
          <w:szCs w:val="23"/>
          <w:lang w:val="en-GB"/>
        </w:rPr>
        <w:t>;</w:t>
      </w:r>
    </w:p>
    <w:p w14:paraId="47717EF5" w14:textId="77777777" w:rsidR="00FA645C" w:rsidRPr="003E3613" w:rsidRDefault="00FA645C" w:rsidP="00204696">
      <w:pPr>
        <w:numPr>
          <w:ilvl w:val="0"/>
          <w:numId w:val="31"/>
        </w:numPr>
        <w:spacing w:after="0"/>
        <w:jc w:val="both"/>
        <w:rPr>
          <w:rFonts w:ascii="Book Antiqua" w:hAnsi="Book Antiqua"/>
          <w:sz w:val="23"/>
          <w:szCs w:val="23"/>
          <w:lang w:val="en-GB"/>
        </w:rPr>
      </w:pPr>
      <w:r w:rsidRPr="003E3613">
        <w:rPr>
          <w:rFonts w:ascii="Book Antiqua" w:hAnsi="Book Antiqua"/>
          <w:sz w:val="23"/>
          <w:szCs w:val="23"/>
          <w:lang w:val="en-GB"/>
        </w:rPr>
        <w:t>events to support families-schools cooperation held from December 2018: community-building events were organized on 300 locations in parents-grandparents-teachers-mentors cooperation. Particular attention</w:t>
      </w:r>
      <w:r w:rsidR="00525F20" w:rsidRPr="003E3613">
        <w:rPr>
          <w:rFonts w:ascii="Book Antiqua" w:hAnsi="Book Antiqua"/>
          <w:sz w:val="23"/>
          <w:szCs w:val="23"/>
          <w:lang w:val="en-GB"/>
        </w:rPr>
        <w:t xml:space="preserve"> is</w:t>
      </w:r>
      <w:r w:rsidRPr="003E3613">
        <w:rPr>
          <w:rFonts w:ascii="Book Antiqua" w:hAnsi="Book Antiqua"/>
          <w:sz w:val="23"/>
          <w:szCs w:val="23"/>
          <w:lang w:val="en-GB"/>
        </w:rPr>
        <w:t xml:space="preserve"> payed</w:t>
      </w:r>
      <w:r w:rsidR="00525F20" w:rsidRPr="003E3613">
        <w:rPr>
          <w:rFonts w:ascii="Book Antiqua" w:hAnsi="Book Antiqua"/>
          <w:sz w:val="23"/>
          <w:szCs w:val="23"/>
          <w:lang w:val="en-GB"/>
        </w:rPr>
        <w:t xml:space="preserve"> to the</w:t>
      </w:r>
      <w:r w:rsidRPr="003E3613">
        <w:rPr>
          <w:rFonts w:ascii="Book Antiqua" w:hAnsi="Book Antiqua"/>
          <w:sz w:val="23"/>
          <w:szCs w:val="23"/>
          <w:lang w:val="en-GB"/>
        </w:rPr>
        <w:t xml:space="preserve"> involvement of socially disadvantaged families in order to build a more cooperative cooperation between parents and schools to </w:t>
      </w:r>
      <w:r w:rsidR="00525F20" w:rsidRPr="003E3613">
        <w:rPr>
          <w:rFonts w:ascii="Book Antiqua" w:hAnsi="Book Antiqua"/>
          <w:sz w:val="23"/>
          <w:szCs w:val="23"/>
          <w:lang w:val="en-GB"/>
        </w:rPr>
        <w:t xml:space="preserve">increase </w:t>
      </w:r>
      <w:r w:rsidRPr="003E3613">
        <w:rPr>
          <w:rFonts w:ascii="Book Antiqua" w:hAnsi="Book Antiqua"/>
          <w:sz w:val="23"/>
          <w:szCs w:val="23"/>
          <w:lang w:val="en-GB"/>
        </w:rPr>
        <w:t>students’ school success</w:t>
      </w:r>
      <w:r w:rsidR="00BD0A8B" w:rsidRPr="003E3613">
        <w:rPr>
          <w:rFonts w:ascii="Book Antiqua" w:hAnsi="Book Antiqua"/>
          <w:sz w:val="23"/>
          <w:szCs w:val="23"/>
          <w:lang w:val="en-GB"/>
        </w:rPr>
        <w:t>;</w:t>
      </w:r>
    </w:p>
    <w:p w14:paraId="68206155" w14:textId="77777777" w:rsidR="00FA645C" w:rsidRPr="003E3613" w:rsidRDefault="00FA645C" w:rsidP="00204696">
      <w:pPr>
        <w:pStyle w:val="ListParagraph"/>
        <w:numPr>
          <w:ilvl w:val="0"/>
          <w:numId w:val="31"/>
        </w:numPr>
        <w:spacing w:after="0"/>
        <w:contextualSpacing w:val="0"/>
        <w:jc w:val="both"/>
        <w:rPr>
          <w:rFonts w:ascii="Book Antiqua" w:hAnsi="Book Antiqua"/>
          <w:sz w:val="23"/>
          <w:szCs w:val="23"/>
          <w:lang w:val="en-GB"/>
        </w:rPr>
      </w:pPr>
      <w:r w:rsidRPr="003E3613">
        <w:rPr>
          <w:rFonts w:ascii="Book Antiqua" w:hAnsi="Book Antiqua"/>
          <w:bCs/>
          <w:sz w:val="23"/>
          <w:szCs w:val="23"/>
          <w:lang w:val="en-GB"/>
        </w:rPr>
        <w:t xml:space="preserve">concept of pedagogical system supporting the prevention of school dropout and inclusive techniques has been developed and four 50-hour accredited in-service training courses </w:t>
      </w:r>
      <w:r w:rsidR="00525F20" w:rsidRPr="003E3613">
        <w:rPr>
          <w:rFonts w:ascii="Book Antiqua" w:hAnsi="Book Antiqua"/>
          <w:bCs/>
          <w:sz w:val="23"/>
          <w:szCs w:val="23"/>
          <w:lang w:val="en-GB"/>
        </w:rPr>
        <w:t xml:space="preserve">were </w:t>
      </w:r>
      <w:r w:rsidRPr="003E3613">
        <w:rPr>
          <w:rFonts w:ascii="Book Antiqua" w:hAnsi="Book Antiqua"/>
          <w:bCs/>
          <w:sz w:val="23"/>
          <w:szCs w:val="23"/>
          <w:lang w:val="en-GB"/>
        </w:rPr>
        <w:t>organi</w:t>
      </w:r>
      <w:r w:rsidR="00BD0A8B" w:rsidRPr="003E3613">
        <w:rPr>
          <w:rFonts w:ascii="Book Antiqua" w:hAnsi="Book Antiqua"/>
          <w:bCs/>
          <w:sz w:val="23"/>
          <w:szCs w:val="23"/>
          <w:lang w:val="en-GB"/>
        </w:rPr>
        <w:t>s</w:t>
      </w:r>
      <w:r w:rsidRPr="003E3613">
        <w:rPr>
          <w:rFonts w:ascii="Book Antiqua" w:hAnsi="Book Antiqua"/>
          <w:bCs/>
          <w:sz w:val="23"/>
          <w:szCs w:val="23"/>
          <w:lang w:val="en-GB"/>
        </w:rPr>
        <w:t xml:space="preserve">ed from January 2019. </w:t>
      </w:r>
    </w:p>
    <w:p w14:paraId="3D42DC09" w14:textId="77777777" w:rsidR="00525F20" w:rsidRPr="003E3613" w:rsidRDefault="00525F20" w:rsidP="00204696">
      <w:pPr>
        <w:pStyle w:val="ListParagraph"/>
        <w:spacing w:after="0"/>
        <w:contextualSpacing w:val="0"/>
        <w:jc w:val="both"/>
        <w:rPr>
          <w:rFonts w:ascii="Book Antiqua" w:hAnsi="Book Antiqua"/>
          <w:sz w:val="23"/>
          <w:szCs w:val="23"/>
          <w:lang w:val="en-GB"/>
        </w:rPr>
      </w:pPr>
    </w:p>
    <w:p w14:paraId="49001D29" w14:textId="77777777" w:rsidR="00FA645C" w:rsidRPr="003E3613" w:rsidRDefault="00525F20" w:rsidP="00204696">
      <w:pPr>
        <w:spacing w:after="0"/>
        <w:jc w:val="both"/>
        <w:rPr>
          <w:rFonts w:ascii="Book Antiqua" w:hAnsi="Book Antiqua"/>
          <w:sz w:val="23"/>
          <w:szCs w:val="23"/>
          <w:lang w:val="en-GB"/>
        </w:rPr>
      </w:pPr>
      <w:r w:rsidRPr="003E3613">
        <w:rPr>
          <w:rFonts w:ascii="Book Antiqua" w:hAnsi="Book Antiqua"/>
          <w:sz w:val="23"/>
          <w:szCs w:val="23"/>
          <w:lang w:val="en-GB"/>
        </w:rPr>
        <w:t>As regards the m</w:t>
      </w:r>
      <w:r w:rsidR="00FA645C" w:rsidRPr="003E3613">
        <w:rPr>
          <w:rFonts w:ascii="Book Antiqua" w:hAnsi="Book Antiqua"/>
          <w:sz w:val="23"/>
          <w:szCs w:val="23"/>
          <w:lang w:val="en-GB"/>
        </w:rPr>
        <w:t xml:space="preserve">onitoring of </w:t>
      </w:r>
      <w:r w:rsidR="001B1950" w:rsidRPr="003E3613">
        <w:rPr>
          <w:rFonts w:ascii="Book Antiqua" w:hAnsi="Book Antiqua"/>
          <w:sz w:val="23"/>
          <w:szCs w:val="23"/>
          <w:lang w:val="en-GB"/>
        </w:rPr>
        <w:t>de</w:t>
      </w:r>
      <w:r w:rsidR="00FA645C" w:rsidRPr="003E3613">
        <w:rPr>
          <w:rFonts w:ascii="Book Antiqua" w:hAnsi="Book Antiqua"/>
          <w:sz w:val="23"/>
          <w:szCs w:val="23"/>
          <w:lang w:val="en-GB"/>
        </w:rPr>
        <w:t>segregation</w:t>
      </w:r>
      <w:r w:rsidRPr="003E3613">
        <w:rPr>
          <w:rFonts w:ascii="Book Antiqua" w:hAnsi="Book Antiqua"/>
          <w:sz w:val="23"/>
          <w:szCs w:val="23"/>
          <w:lang w:val="en-GB"/>
        </w:rPr>
        <w:t>, it must be emphasized that as f</w:t>
      </w:r>
      <w:r w:rsidR="00FA645C" w:rsidRPr="003E3613">
        <w:rPr>
          <w:rFonts w:ascii="Book Antiqua" w:hAnsi="Book Antiqua"/>
          <w:sz w:val="23"/>
          <w:szCs w:val="23"/>
          <w:lang w:val="en-GB"/>
        </w:rPr>
        <w:t>rom 2018 April, educational equality action plans of state school maintenance centers mu</w:t>
      </w:r>
      <w:r w:rsidR="001B1950" w:rsidRPr="003E3613">
        <w:rPr>
          <w:rFonts w:ascii="Book Antiqua" w:hAnsi="Book Antiqua"/>
          <w:sz w:val="23"/>
          <w:szCs w:val="23"/>
          <w:lang w:val="en-GB"/>
        </w:rPr>
        <w:t>st be revised in every 3 years, in accordance with the modification of Government</w:t>
      </w:r>
      <w:r w:rsidR="00FA645C" w:rsidRPr="003E3613">
        <w:rPr>
          <w:rFonts w:ascii="Book Antiqua" w:hAnsi="Book Antiqua"/>
          <w:sz w:val="23"/>
          <w:szCs w:val="23"/>
          <w:lang w:val="en-GB"/>
        </w:rPr>
        <w:t xml:space="preserve"> Decree </w:t>
      </w:r>
      <w:r w:rsidR="001B1950" w:rsidRPr="003E3613">
        <w:rPr>
          <w:rFonts w:ascii="Book Antiqua" w:hAnsi="Book Antiqua"/>
          <w:sz w:val="23"/>
          <w:szCs w:val="23"/>
          <w:lang w:val="en-GB"/>
        </w:rPr>
        <w:t>No 229/2012. (VIII. 30.). This</w:t>
      </w:r>
      <w:r w:rsidR="00FA645C" w:rsidRPr="003E3613">
        <w:rPr>
          <w:rFonts w:ascii="Book Antiqua" w:hAnsi="Book Antiqua"/>
          <w:sz w:val="23"/>
          <w:szCs w:val="23"/>
          <w:lang w:val="en-GB"/>
        </w:rPr>
        <w:t xml:space="preserve"> modification </w:t>
      </w:r>
      <w:r w:rsidR="001B1950" w:rsidRPr="003E3613">
        <w:rPr>
          <w:rFonts w:ascii="Book Antiqua" w:hAnsi="Book Antiqua"/>
          <w:sz w:val="23"/>
          <w:szCs w:val="23"/>
          <w:lang w:val="en-GB"/>
        </w:rPr>
        <w:t xml:space="preserve">assists the monitoring of the implementation of inclusive education and desegregation and </w:t>
      </w:r>
      <w:r w:rsidR="00FA645C" w:rsidRPr="003E3613">
        <w:rPr>
          <w:rFonts w:ascii="Book Antiqua" w:hAnsi="Book Antiqua"/>
          <w:sz w:val="23"/>
          <w:szCs w:val="23"/>
          <w:lang w:val="en-GB"/>
        </w:rPr>
        <w:t>offers a stronger guarantee in planning, monitoring and evaluating of equity in education. The above mentioned flagship project offers methodological development to the application of legal amendment: guidance for situation analysis on school maintenance center–level has been prepared, which contains data gathering and revision regarding segregation, e</w:t>
      </w:r>
      <w:r w:rsidR="0045310B" w:rsidRPr="003E3613">
        <w:rPr>
          <w:rFonts w:ascii="Book Antiqua" w:hAnsi="Book Antiqua"/>
          <w:sz w:val="23"/>
          <w:szCs w:val="23"/>
          <w:lang w:val="en-GB"/>
        </w:rPr>
        <w:t xml:space="preserve">. </w:t>
      </w:r>
      <w:r w:rsidR="00FA645C" w:rsidRPr="003E3613">
        <w:rPr>
          <w:rFonts w:ascii="Book Antiqua" w:hAnsi="Book Antiqua"/>
          <w:sz w:val="23"/>
          <w:szCs w:val="23"/>
          <w:lang w:val="en-GB"/>
        </w:rPr>
        <w:t xml:space="preserve">g.: </w:t>
      </w:r>
    </w:p>
    <w:p w14:paraId="246B8A35" w14:textId="7E040E6E" w:rsidR="00FA645C" w:rsidRPr="003E3613" w:rsidRDefault="00FA645C" w:rsidP="00204696">
      <w:pPr>
        <w:pStyle w:val="ListParagraph"/>
        <w:numPr>
          <w:ilvl w:val="0"/>
          <w:numId w:val="32"/>
        </w:numPr>
        <w:spacing w:after="0"/>
        <w:contextualSpacing w:val="0"/>
        <w:jc w:val="both"/>
        <w:rPr>
          <w:rFonts w:ascii="Book Antiqua" w:hAnsi="Book Antiqua"/>
          <w:sz w:val="23"/>
          <w:szCs w:val="23"/>
          <w:lang w:val="en-GB"/>
        </w:rPr>
      </w:pPr>
      <w:r w:rsidRPr="003E3613">
        <w:rPr>
          <w:rFonts w:ascii="Book Antiqua" w:hAnsi="Book Antiqua"/>
          <w:sz w:val="23"/>
          <w:szCs w:val="23"/>
          <w:lang w:val="en-GB"/>
        </w:rPr>
        <w:t>analysis of educational situation of inclusion and segregation in settlements with more schools, identification of settlements where distribution of socially disadvantaged students between schools is uneven; degree of segregation index; etc. (</w:t>
      </w:r>
      <w:r w:rsidRPr="003E3613">
        <w:rPr>
          <w:rFonts w:ascii="Book Antiqua" w:hAnsi="Book Antiqua"/>
          <w:i/>
          <w:sz w:val="23"/>
          <w:szCs w:val="23"/>
          <w:lang w:val="en-GB"/>
        </w:rPr>
        <w:t>segregation between schools</w:t>
      </w:r>
      <w:r w:rsidRPr="003E3613">
        <w:rPr>
          <w:rFonts w:ascii="Book Antiqua" w:hAnsi="Book Antiqua"/>
          <w:sz w:val="23"/>
          <w:szCs w:val="23"/>
          <w:lang w:val="en-GB"/>
        </w:rPr>
        <w:t>)</w:t>
      </w:r>
      <w:r w:rsidR="003E3613">
        <w:rPr>
          <w:rFonts w:ascii="Book Antiqua" w:hAnsi="Book Antiqua"/>
          <w:sz w:val="23"/>
          <w:szCs w:val="23"/>
          <w:lang w:val="en-GB"/>
        </w:rPr>
        <w:t>;</w:t>
      </w:r>
    </w:p>
    <w:p w14:paraId="4CA1E4B3" w14:textId="7CAA8ABE" w:rsidR="00FA645C" w:rsidRPr="003E3613" w:rsidRDefault="00FA645C" w:rsidP="00204696">
      <w:pPr>
        <w:pStyle w:val="ListParagraph"/>
        <w:numPr>
          <w:ilvl w:val="0"/>
          <w:numId w:val="32"/>
        </w:numPr>
        <w:jc w:val="both"/>
        <w:rPr>
          <w:rFonts w:ascii="Book Antiqua" w:hAnsi="Book Antiqua"/>
          <w:sz w:val="23"/>
          <w:szCs w:val="23"/>
          <w:lang w:val="en-GB"/>
        </w:rPr>
      </w:pPr>
      <w:r w:rsidRPr="003E3613">
        <w:rPr>
          <w:rFonts w:ascii="Book Antiqua" w:hAnsi="Book Antiqua"/>
          <w:sz w:val="23"/>
          <w:szCs w:val="23"/>
          <w:lang w:val="en-GB"/>
        </w:rPr>
        <w:lastRenderedPageBreak/>
        <w:t>analysis of educational situation of inclusion and segregation within</w:t>
      </w:r>
      <w:r w:rsidR="00BD0A8B" w:rsidRPr="003E3613">
        <w:rPr>
          <w:rFonts w:ascii="Book Antiqua" w:hAnsi="Book Antiqua"/>
          <w:sz w:val="23"/>
          <w:szCs w:val="23"/>
          <w:lang w:val="en-GB"/>
        </w:rPr>
        <w:t xml:space="preserve"> the</w:t>
      </w:r>
      <w:r w:rsidRPr="003E3613">
        <w:rPr>
          <w:rFonts w:ascii="Book Antiqua" w:hAnsi="Book Antiqua"/>
          <w:sz w:val="23"/>
          <w:szCs w:val="23"/>
          <w:lang w:val="en-GB"/>
        </w:rPr>
        <w:t xml:space="preserve"> school, between classes in same grades: identification of grades where distribution of socially disadvantaged students between classes is uneven; differences between classes in competency results of </w:t>
      </w:r>
      <w:r w:rsidRPr="003E3613">
        <w:rPr>
          <w:rFonts w:ascii="Book Antiqua" w:hAnsi="Book Antiqua" w:cs="Arial"/>
          <w:sz w:val="23"/>
          <w:szCs w:val="23"/>
          <w:shd w:val="clear" w:color="auto" w:fill="FFFFFF"/>
          <w:lang w:val="en-GB"/>
        </w:rPr>
        <w:t>reading and mathematics, etc.</w:t>
      </w:r>
      <w:r w:rsidRPr="003E3613">
        <w:rPr>
          <w:rFonts w:ascii="Book Antiqua" w:hAnsi="Book Antiqua"/>
          <w:sz w:val="23"/>
          <w:szCs w:val="23"/>
          <w:lang w:val="en-GB"/>
        </w:rPr>
        <w:t xml:space="preserve"> (</w:t>
      </w:r>
      <w:r w:rsidRPr="003E3613">
        <w:rPr>
          <w:rFonts w:ascii="Book Antiqua" w:hAnsi="Book Antiqua"/>
          <w:i/>
          <w:sz w:val="23"/>
          <w:szCs w:val="23"/>
          <w:lang w:val="en-GB"/>
        </w:rPr>
        <w:t>segregation within schools</w:t>
      </w:r>
      <w:r w:rsidRPr="003E3613">
        <w:rPr>
          <w:rFonts w:ascii="Book Antiqua" w:hAnsi="Book Antiqua"/>
          <w:sz w:val="23"/>
          <w:szCs w:val="23"/>
          <w:lang w:val="en-GB"/>
        </w:rPr>
        <w:t>)</w:t>
      </w:r>
      <w:r w:rsidR="003E3613">
        <w:rPr>
          <w:rFonts w:ascii="Book Antiqua" w:hAnsi="Book Antiqua"/>
          <w:sz w:val="23"/>
          <w:szCs w:val="23"/>
          <w:lang w:val="en-GB"/>
        </w:rPr>
        <w:t>.</w:t>
      </w:r>
    </w:p>
    <w:p w14:paraId="79CF91DF" w14:textId="46728CB8" w:rsidR="00FA645C" w:rsidRPr="003E3613" w:rsidRDefault="00FA645C"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According to </w:t>
      </w:r>
      <w:r w:rsidR="001B1950" w:rsidRPr="003E3613">
        <w:rPr>
          <w:rFonts w:ascii="Book Antiqua" w:hAnsi="Book Antiqua"/>
          <w:sz w:val="23"/>
          <w:szCs w:val="23"/>
          <w:lang w:val="en-GB"/>
        </w:rPr>
        <w:t xml:space="preserve">the latest </w:t>
      </w:r>
      <w:r w:rsidRPr="003E3613">
        <w:rPr>
          <w:rFonts w:ascii="Book Antiqua" w:hAnsi="Book Antiqua"/>
          <w:sz w:val="23"/>
          <w:szCs w:val="23"/>
          <w:lang w:val="en-GB"/>
        </w:rPr>
        <w:t>data</w:t>
      </w:r>
      <w:r w:rsidR="009C1FC7" w:rsidRPr="003E3613">
        <w:rPr>
          <w:rFonts w:ascii="Book Antiqua" w:hAnsi="Book Antiqua"/>
          <w:sz w:val="23"/>
          <w:szCs w:val="23"/>
          <w:lang w:val="en-GB"/>
        </w:rPr>
        <w:t>,</w:t>
      </w:r>
      <w:r w:rsidR="001B1950" w:rsidRPr="003E3613">
        <w:rPr>
          <w:rStyle w:val="FootnoteReference"/>
          <w:rFonts w:ascii="Book Antiqua" w:hAnsi="Book Antiqua"/>
          <w:sz w:val="23"/>
          <w:szCs w:val="23"/>
          <w:lang w:val="en-GB"/>
        </w:rPr>
        <w:footnoteReference w:id="39"/>
      </w:r>
      <w:r w:rsidRPr="003E3613">
        <w:rPr>
          <w:rFonts w:ascii="Book Antiqua" w:hAnsi="Book Antiqua"/>
          <w:sz w:val="23"/>
          <w:szCs w:val="23"/>
          <w:lang w:val="en-GB"/>
        </w:rPr>
        <w:t xml:space="preserve"> segregation within schools decreased fro</w:t>
      </w:r>
      <w:r w:rsidR="001B1950" w:rsidRPr="003E3613">
        <w:rPr>
          <w:rFonts w:ascii="Book Antiqua" w:hAnsi="Book Antiqua"/>
          <w:sz w:val="23"/>
          <w:szCs w:val="23"/>
          <w:lang w:val="en-GB"/>
        </w:rPr>
        <w:t>m 4</w:t>
      </w:r>
      <w:r w:rsidR="004D57CF" w:rsidRPr="003E3613">
        <w:rPr>
          <w:rFonts w:ascii="Book Antiqua" w:hAnsi="Book Antiqua"/>
          <w:sz w:val="23"/>
          <w:szCs w:val="23"/>
          <w:lang w:val="en-GB"/>
        </w:rPr>
        <w:t>.</w:t>
      </w:r>
      <w:r w:rsidR="001B1950" w:rsidRPr="003E3613">
        <w:rPr>
          <w:rFonts w:ascii="Book Antiqua" w:hAnsi="Book Antiqua"/>
          <w:sz w:val="23"/>
          <w:szCs w:val="23"/>
          <w:lang w:val="en-GB"/>
        </w:rPr>
        <w:t>69 in 2011 to 4</w:t>
      </w:r>
      <w:r w:rsidR="004D57CF" w:rsidRPr="003E3613">
        <w:rPr>
          <w:rFonts w:ascii="Book Antiqua" w:hAnsi="Book Antiqua"/>
          <w:sz w:val="23"/>
          <w:szCs w:val="23"/>
          <w:lang w:val="en-GB"/>
        </w:rPr>
        <w:t>.</w:t>
      </w:r>
      <w:r w:rsidR="001B1950" w:rsidRPr="003E3613">
        <w:rPr>
          <w:rFonts w:ascii="Book Antiqua" w:hAnsi="Book Antiqua"/>
          <w:sz w:val="23"/>
          <w:szCs w:val="23"/>
          <w:lang w:val="en-GB"/>
        </w:rPr>
        <w:t>21 in 2016</w:t>
      </w:r>
      <w:r w:rsidRPr="003E3613">
        <w:rPr>
          <w:rFonts w:ascii="Book Antiqua" w:hAnsi="Book Antiqua"/>
          <w:color w:val="FF0000"/>
          <w:sz w:val="23"/>
          <w:szCs w:val="23"/>
          <w:lang w:val="en-GB"/>
        </w:rPr>
        <w:t>.</w:t>
      </w:r>
    </w:p>
    <w:p w14:paraId="6FF6866E" w14:textId="77777777" w:rsidR="0016567F" w:rsidRPr="003E3613" w:rsidRDefault="0016567F" w:rsidP="00204696">
      <w:pPr>
        <w:spacing w:after="0"/>
        <w:jc w:val="both"/>
        <w:rPr>
          <w:rFonts w:ascii="Book Antiqua" w:hAnsi="Book Antiqua"/>
          <w:sz w:val="23"/>
          <w:szCs w:val="23"/>
          <w:lang w:val="en-GB"/>
        </w:rPr>
      </w:pPr>
    </w:p>
    <w:p w14:paraId="5F902DD5" w14:textId="77777777" w:rsidR="008A0C55" w:rsidRPr="003E3613" w:rsidRDefault="008A0C55"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Hungarian Government committed itself to a continuous dialogue with the Commission which finally resulted </w:t>
      </w:r>
      <w:r w:rsidR="00E43BCB" w:rsidRPr="003E3613">
        <w:rPr>
          <w:rFonts w:ascii="Book Antiqua" w:hAnsi="Book Antiqua"/>
          <w:sz w:val="23"/>
          <w:szCs w:val="23"/>
          <w:lang w:val="en-GB"/>
        </w:rPr>
        <w:t xml:space="preserve">in </w:t>
      </w:r>
      <w:r w:rsidRPr="003E3613">
        <w:rPr>
          <w:rFonts w:ascii="Book Antiqua" w:hAnsi="Book Antiqua"/>
          <w:sz w:val="23"/>
          <w:szCs w:val="23"/>
          <w:lang w:val="en-GB"/>
        </w:rPr>
        <w:t xml:space="preserve">the alignment of the legislative framework guaranteeing equal access to quality education for the Roma children which the Commission endorsed to be in line with the </w:t>
      </w:r>
      <w:r w:rsidR="008A086B" w:rsidRPr="003E3613">
        <w:rPr>
          <w:rFonts w:ascii="Book Antiqua" w:hAnsi="Book Antiqua"/>
          <w:sz w:val="23"/>
          <w:szCs w:val="23"/>
          <w:lang w:val="en-GB"/>
        </w:rPr>
        <w:t>EU law</w:t>
      </w:r>
      <w:r w:rsidRPr="003E3613">
        <w:rPr>
          <w:rFonts w:ascii="Book Antiqua" w:hAnsi="Book Antiqua"/>
          <w:sz w:val="23"/>
          <w:szCs w:val="23"/>
          <w:lang w:val="en-GB"/>
        </w:rPr>
        <w:t>.</w:t>
      </w:r>
      <w:r w:rsidR="00374386" w:rsidRPr="003E3613">
        <w:rPr>
          <w:rFonts w:ascii="Book Antiqua" w:hAnsi="Book Antiqua"/>
          <w:sz w:val="23"/>
          <w:szCs w:val="23"/>
          <w:lang w:val="en-GB"/>
        </w:rPr>
        <w:t xml:space="preserve"> </w:t>
      </w:r>
    </w:p>
    <w:p w14:paraId="393B3898" w14:textId="77777777" w:rsidR="00CE7DB3" w:rsidRPr="003E3613" w:rsidRDefault="00CE7DB3" w:rsidP="00204696">
      <w:pPr>
        <w:pStyle w:val="Heading2"/>
        <w:keepNext w:val="0"/>
        <w:keepLines w:val="0"/>
        <w:spacing w:before="0"/>
        <w:rPr>
          <w:rFonts w:ascii="Book Antiqua" w:hAnsi="Book Antiqua"/>
          <w:color w:val="auto"/>
          <w:sz w:val="23"/>
          <w:szCs w:val="23"/>
          <w:lang w:val="en-GB"/>
        </w:rPr>
      </w:pPr>
    </w:p>
    <w:p w14:paraId="2FF6EE7F" w14:textId="77777777" w:rsidR="00B62597" w:rsidRPr="003E3613" w:rsidRDefault="00B62597" w:rsidP="00204696">
      <w:pPr>
        <w:spacing w:after="0"/>
        <w:jc w:val="both"/>
        <w:rPr>
          <w:rFonts w:ascii="Book Antiqua" w:hAnsi="Book Antiqua"/>
          <w:sz w:val="23"/>
          <w:szCs w:val="23"/>
          <w:lang w:val="en-GB"/>
        </w:rPr>
      </w:pPr>
      <w:r w:rsidRPr="003E3613">
        <w:rPr>
          <w:rFonts w:ascii="Book Antiqua" w:hAnsi="Book Antiqua"/>
          <w:sz w:val="23"/>
          <w:szCs w:val="23"/>
          <w:lang w:val="en-GB"/>
        </w:rPr>
        <w:t>Nonetheless on the basis of the on-going dialogue between the Commission and the Hungarian Government</w:t>
      </w:r>
      <w:r w:rsidR="00CF67D1" w:rsidRPr="003E3613">
        <w:rPr>
          <w:rFonts w:ascii="Book Antiqua" w:hAnsi="Book Antiqua"/>
          <w:sz w:val="23"/>
          <w:szCs w:val="23"/>
          <w:lang w:val="en-GB"/>
        </w:rPr>
        <w:t xml:space="preserve"> in order to monitor the</w:t>
      </w:r>
      <w:r w:rsidR="008A56FA" w:rsidRPr="003E3613">
        <w:rPr>
          <w:rFonts w:ascii="Book Antiqua" w:hAnsi="Book Antiqua"/>
          <w:sz w:val="23"/>
          <w:szCs w:val="23"/>
          <w:lang w:val="en-GB"/>
        </w:rPr>
        <w:t xml:space="preserve"> practical</w:t>
      </w:r>
      <w:r w:rsidR="00CF67D1" w:rsidRPr="003E3613">
        <w:rPr>
          <w:rFonts w:ascii="Book Antiqua" w:hAnsi="Book Antiqua"/>
          <w:sz w:val="23"/>
          <w:szCs w:val="23"/>
          <w:lang w:val="en-GB"/>
        </w:rPr>
        <w:t xml:space="preserve"> situation</w:t>
      </w:r>
      <w:r w:rsidRPr="003E3613">
        <w:rPr>
          <w:rFonts w:ascii="Book Antiqua" w:hAnsi="Book Antiqua"/>
          <w:sz w:val="23"/>
          <w:szCs w:val="23"/>
          <w:lang w:val="en-GB"/>
        </w:rPr>
        <w:t xml:space="preserve">, the Commission </w:t>
      </w:r>
      <w:r w:rsidR="00AE6A7D" w:rsidRPr="003E3613">
        <w:rPr>
          <w:rFonts w:ascii="Book Antiqua" w:hAnsi="Book Antiqua"/>
          <w:sz w:val="23"/>
          <w:szCs w:val="23"/>
          <w:lang w:val="en-GB"/>
        </w:rPr>
        <w:t xml:space="preserve">had </w:t>
      </w:r>
      <w:r w:rsidRPr="003E3613">
        <w:rPr>
          <w:rFonts w:ascii="Book Antiqua" w:hAnsi="Book Antiqua"/>
          <w:sz w:val="23"/>
          <w:szCs w:val="23"/>
          <w:lang w:val="en-GB"/>
        </w:rPr>
        <w:t xml:space="preserve">a three-day field visit in September 2018 to Hungary to gain an overview and practical </w:t>
      </w:r>
      <w:r w:rsidR="00522CE5" w:rsidRPr="003E3613">
        <w:rPr>
          <w:rFonts w:ascii="Book Antiqua" w:hAnsi="Book Antiqua"/>
          <w:sz w:val="23"/>
          <w:szCs w:val="23"/>
          <w:lang w:val="en-GB"/>
        </w:rPr>
        <w:t>experience</w:t>
      </w:r>
      <w:r w:rsidRPr="003E3613">
        <w:rPr>
          <w:rFonts w:ascii="Book Antiqua" w:hAnsi="Book Antiqua"/>
          <w:sz w:val="23"/>
          <w:szCs w:val="23"/>
          <w:lang w:val="en-GB"/>
        </w:rPr>
        <w:t xml:space="preserve"> on the measures adopted by Hungary. The Commission visit</w:t>
      </w:r>
      <w:r w:rsidR="00D25337" w:rsidRPr="003E3613">
        <w:rPr>
          <w:rFonts w:ascii="Book Antiqua" w:hAnsi="Book Antiqua"/>
          <w:sz w:val="23"/>
          <w:szCs w:val="23"/>
          <w:lang w:val="en-GB"/>
        </w:rPr>
        <w:t>ed</w:t>
      </w:r>
      <w:r w:rsidRPr="003E3613">
        <w:rPr>
          <w:rFonts w:ascii="Book Antiqua" w:hAnsi="Book Antiqua"/>
          <w:sz w:val="23"/>
          <w:szCs w:val="23"/>
          <w:lang w:val="en-GB"/>
        </w:rPr>
        <w:t xml:space="preserve"> schools and</w:t>
      </w:r>
      <w:r w:rsidR="00D25337" w:rsidRPr="003E3613">
        <w:rPr>
          <w:rFonts w:ascii="Book Antiqua" w:hAnsi="Book Antiqua"/>
          <w:sz w:val="23"/>
          <w:szCs w:val="23"/>
          <w:lang w:val="en-GB"/>
        </w:rPr>
        <w:t xml:space="preserve"> met </w:t>
      </w:r>
      <w:r w:rsidRPr="003E3613">
        <w:rPr>
          <w:rFonts w:ascii="Book Antiqua" w:hAnsi="Book Antiqua"/>
          <w:sz w:val="23"/>
          <w:szCs w:val="23"/>
          <w:lang w:val="en-GB"/>
        </w:rPr>
        <w:t xml:space="preserve">local </w:t>
      </w:r>
      <w:r w:rsidR="00D25337" w:rsidRPr="003E3613">
        <w:rPr>
          <w:rFonts w:ascii="Book Antiqua" w:hAnsi="Book Antiqua"/>
          <w:sz w:val="23"/>
          <w:szCs w:val="23"/>
          <w:lang w:val="en-GB"/>
        </w:rPr>
        <w:t xml:space="preserve">stakeholders </w:t>
      </w:r>
      <w:r w:rsidR="00C46340" w:rsidRPr="003E3613">
        <w:rPr>
          <w:rFonts w:ascii="Book Antiqua" w:hAnsi="Book Antiqua"/>
          <w:sz w:val="23"/>
          <w:szCs w:val="23"/>
          <w:lang w:val="en-GB"/>
        </w:rPr>
        <w:t xml:space="preserve">from </w:t>
      </w:r>
      <w:r w:rsidRPr="003E3613">
        <w:rPr>
          <w:rFonts w:ascii="Book Antiqua" w:hAnsi="Book Antiqua"/>
          <w:sz w:val="23"/>
          <w:szCs w:val="23"/>
          <w:lang w:val="en-GB"/>
        </w:rPr>
        <w:t>Miskolc, Nyíregyháza, Budapest and Kaposvár, as well as consult</w:t>
      </w:r>
      <w:r w:rsidR="00B4533F" w:rsidRPr="003E3613">
        <w:rPr>
          <w:rFonts w:ascii="Book Antiqua" w:hAnsi="Book Antiqua"/>
          <w:sz w:val="23"/>
          <w:szCs w:val="23"/>
          <w:lang w:val="en-GB"/>
        </w:rPr>
        <w:t>ed</w:t>
      </w:r>
      <w:r w:rsidRPr="003E3613">
        <w:rPr>
          <w:rFonts w:ascii="Book Antiqua" w:hAnsi="Book Antiqua"/>
          <w:sz w:val="23"/>
          <w:szCs w:val="23"/>
          <w:lang w:val="en-GB"/>
        </w:rPr>
        <w:t xml:space="preserve"> different state and civil organisations and church representatives. </w:t>
      </w:r>
      <w:r w:rsidR="00B4533F" w:rsidRPr="003E3613">
        <w:rPr>
          <w:rFonts w:ascii="Book Antiqua" w:hAnsi="Book Antiqua"/>
          <w:sz w:val="23"/>
          <w:szCs w:val="23"/>
          <w:lang w:val="en-GB"/>
        </w:rPr>
        <w:t xml:space="preserve">The dialogue continues between the Hungarian Government and the Commission on the basis of the field visit as the Commission itself is aware of the complexity of the issue. </w:t>
      </w:r>
      <w:r w:rsidR="00C46340" w:rsidRPr="003E3613" w:rsidDel="00374386">
        <w:rPr>
          <w:rFonts w:ascii="Book Antiqua" w:hAnsi="Book Antiqua"/>
          <w:sz w:val="23"/>
          <w:szCs w:val="23"/>
          <w:lang w:val="en-GB"/>
        </w:rPr>
        <w:t>T</w:t>
      </w:r>
      <w:r w:rsidR="00B4533F" w:rsidRPr="003E3613" w:rsidDel="00374386">
        <w:rPr>
          <w:rFonts w:ascii="Book Antiqua" w:hAnsi="Book Antiqua"/>
          <w:sz w:val="23"/>
          <w:szCs w:val="23"/>
          <w:lang w:val="en-GB"/>
        </w:rPr>
        <w:t xml:space="preserve">he Commission thanked the Hungarian Government of its openness, constructivity and cooperation showed in the course of amending the </w:t>
      </w:r>
      <w:r w:rsidR="00522CE5" w:rsidRPr="003E3613" w:rsidDel="00374386">
        <w:rPr>
          <w:rFonts w:ascii="Book Antiqua" w:hAnsi="Book Antiqua"/>
          <w:sz w:val="23"/>
          <w:szCs w:val="23"/>
          <w:lang w:val="en-GB"/>
        </w:rPr>
        <w:t>alleged</w:t>
      </w:r>
      <w:r w:rsidR="00B4533F" w:rsidRPr="003E3613" w:rsidDel="00374386">
        <w:rPr>
          <w:rFonts w:ascii="Book Antiqua" w:hAnsi="Book Antiqua"/>
          <w:sz w:val="23"/>
          <w:szCs w:val="23"/>
          <w:lang w:val="en-GB"/>
        </w:rPr>
        <w:t xml:space="preserve"> legislation.</w:t>
      </w:r>
    </w:p>
    <w:p w14:paraId="2F28385B" w14:textId="77777777" w:rsidR="00B62597" w:rsidRPr="003E3613" w:rsidRDefault="00B62597" w:rsidP="00204696">
      <w:pPr>
        <w:rPr>
          <w:rFonts w:ascii="Book Antiqua" w:hAnsi="Book Antiqua"/>
          <w:sz w:val="23"/>
          <w:szCs w:val="23"/>
          <w:lang w:val="en-GB"/>
        </w:rPr>
      </w:pPr>
    </w:p>
    <w:p w14:paraId="3506DA12" w14:textId="77777777" w:rsidR="004102CA" w:rsidRPr="003E3613" w:rsidRDefault="004102CA" w:rsidP="00204696">
      <w:pPr>
        <w:pStyle w:val="Heading2"/>
        <w:keepNext w:val="0"/>
        <w:keepLines w:val="0"/>
        <w:spacing w:before="0"/>
        <w:rPr>
          <w:rFonts w:ascii="Book Antiqua" w:hAnsi="Book Antiqua"/>
          <w:color w:val="auto"/>
          <w:sz w:val="23"/>
          <w:szCs w:val="23"/>
          <w:lang w:val="en-GB"/>
        </w:rPr>
      </w:pPr>
      <w:bookmarkStart w:id="61" w:name="_Toc19120819"/>
      <w:r w:rsidRPr="003E3613">
        <w:rPr>
          <w:rFonts w:ascii="Book Antiqua" w:hAnsi="Book Antiqua"/>
          <w:color w:val="auto"/>
          <w:sz w:val="23"/>
          <w:szCs w:val="23"/>
          <w:lang w:val="en-GB"/>
        </w:rPr>
        <w:t>Violation of the prohibition of discrimination (Balázs v. Hungary)</w:t>
      </w:r>
      <w:bookmarkEnd w:id="61"/>
    </w:p>
    <w:p w14:paraId="62E8A44D" w14:textId="77777777" w:rsidR="004102CA" w:rsidRPr="003E3613" w:rsidRDefault="004102CA" w:rsidP="00204696">
      <w:pPr>
        <w:spacing w:after="0"/>
        <w:jc w:val="both"/>
        <w:rPr>
          <w:rFonts w:ascii="Book Antiqua" w:hAnsi="Book Antiqua"/>
          <w:sz w:val="23"/>
          <w:szCs w:val="23"/>
          <w:lang w:val="en-GB"/>
        </w:rPr>
      </w:pPr>
    </w:p>
    <w:p w14:paraId="11F40DEB"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D25337" w:rsidRPr="003E3613">
        <w:rPr>
          <w:rFonts w:ascii="Book Antiqua" w:hAnsi="Book Antiqua"/>
          <w:i/>
          <w:sz w:val="23"/>
          <w:szCs w:val="23"/>
          <w:lang w:val="en-GB"/>
        </w:rPr>
        <w:t>55</w:t>
      </w:r>
      <w:r w:rsidRPr="003E3613">
        <w:rPr>
          <w:rFonts w:ascii="Book Antiqua" w:hAnsi="Book Antiqua"/>
          <w:i/>
          <w:sz w:val="23"/>
          <w:szCs w:val="23"/>
          <w:lang w:val="en-GB"/>
        </w:rPr>
        <w:t>) In its judgement of 20 October 2015, Balázs v. Hungary, the ECtHR held that there had been a violation of the prohibition of discrimination in the context of a failure to consider the alleged anti-Roma motive of an attack. In its judgment of 12 April 2016, R.B. v.</w:t>
      </w:r>
      <w:r w:rsidR="008104F6" w:rsidRPr="003E3613">
        <w:rPr>
          <w:rFonts w:ascii="Book Antiqua" w:hAnsi="Book Antiqua"/>
          <w:i/>
          <w:sz w:val="23"/>
          <w:szCs w:val="23"/>
          <w:lang w:val="en-GB"/>
        </w:rPr>
        <w:t xml:space="preserve"> Hungary, and in its judgment of 17 January 2017, Király and Dömötör v.</w:t>
      </w:r>
      <w:r w:rsidRPr="003E3613">
        <w:rPr>
          <w:rFonts w:ascii="Book Antiqua" w:hAnsi="Book Antiqua"/>
          <w:i/>
          <w:sz w:val="23"/>
          <w:szCs w:val="23"/>
          <w:lang w:val="en-GB"/>
        </w:rPr>
        <w:t xml:space="preserve"> Hungary, the ECtHR held that that there had been a violation of the right to private life on account of inadequate investigations into the allegations of racially motived abuse. </w:t>
      </w:r>
      <w:r w:rsidR="008104F6" w:rsidRPr="003E3613">
        <w:rPr>
          <w:rFonts w:ascii="Book Antiqua" w:hAnsi="Book Antiqua"/>
          <w:i/>
          <w:sz w:val="23"/>
          <w:szCs w:val="23"/>
          <w:lang w:val="en-GB"/>
        </w:rPr>
        <w:t>In its judgment of 31 October 2017, M.F. v. Hungary, the ECtHR held that there was a violation of the prohibition of discrimination in conjunction with the prohibition of inhuman or degrading treatment as the authorities had failed to investigate possible racist motives behind the incident in question. The execution of those judgments is still pending. Following the Balázs v. Hungary and R.B. v. Hungary judgments, however, the modification of the fact pattern of the crime of ‘inciting violence or hatred against the community’ in the Penal Code entered into force on 28 October 2016 with the purpose of implementing Council Framework Decision 2008/913/JHA</w:t>
      </w:r>
      <w:r w:rsidR="008104F6" w:rsidRPr="003E3613">
        <w:rPr>
          <w:rFonts w:ascii="Book Antiqua" w:hAnsi="Book Antiqua"/>
          <w:i/>
          <w:sz w:val="23"/>
          <w:szCs w:val="23"/>
          <w:lang w:val="en-GB"/>
        </w:rPr>
        <w:footnoteReference w:id="40"/>
      </w:r>
      <w:r w:rsidR="008104F6" w:rsidRPr="003E3613">
        <w:rPr>
          <w:rFonts w:ascii="Book Antiqua" w:hAnsi="Book Antiqua"/>
          <w:i/>
          <w:sz w:val="23"/>
          <w:szCs w:val="23"/>
          <w:lang w:val="en-GB"/>
        </w:rPr>
        <w:t xml:space="preserve">. In 2011 the Penal Code had been amended in order to prevent campaigns of extreme right paramilitary groups, by introducing the </w:t>
      </w:r>
      <w:r w:rsidR="008104F6" w:rsidRPr="003E3613">
        <w:rPr>
          <w:rFonts w:ascii="Book Antiqua" w:hAnsi="Book Antiqua"/>
          <w:i/>
          <w:sz w:val="23"/>
          <w:szCs w:val="23"/>
          <w:lang w:val="en-GB"/>
        </w:rPr>
        <w:lastRenderedPageBreak/>
        <w:t>so-called ‘crime in uniform’, punishing any provocative unsocial behaviour inducing fear in a member of a national, ethnic or religious community with three years of imprisonment.</w:t>
      </w:r>
    </w:p>
    <w:p w14:paraId="5AC6B215" w14:textId="77777777" w:rsidR="0090136E" w:rsidRPr="003E3613" w:rsidRDefault="0090136E" w:rsidP="00204696">
      <w:pPr>
        <w:spacing w:after="0"/>
        <w:jc w:val="both"/>
        <w:rPr>
          <w:rFonts w:ascii="Book Antiqua" w:hAnsi="Book Antiqua"/>
          <w:i/>
          <w:sz w:val="23"/>
          <w:szCs w:val="23"/>
          <w:lang w:val="en-GB"/>
        </w:rPr>
      </w:pPr>
    </w:p>
    <w:p w14:paraId="13AAB4EF" w14:textId="77777777" w:rsidR="00B7029D" w:rsidRPr="003E3613" w:rsidRDefault="00B7029D"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It is important to note that in the cases referred, the judgments had been formulated before </w:t>
      </w:r>
      <w:r w:rsidR="00D6706E" w:rsidRPr="003E3613">
        <w:rPr>
          <w:rFonts w:ascii="Book Antiqua" w:hAnsi="Book Antiqua"/>
          <w:sz w:val="23"/>
          <w:szCs w:val="23"/>
          <w:lang w:val="en-GB"/>
        </w:rPr>
        <w:t xml:space="preserve">the </w:t>
      </w:r>
      <w:r w:rsidRPr="003E3613">
        <w:rPr>
          <w:rFonts w:ascii="Book Antiqua" w:hAnsi="Book Antiqua"/>
          <w:sz w:val="23"/>
          <w:szCs w:val="23"/>
          <w:lang w:val="en-GB"/>
        </w:rPr>
        <w:t>amend</w:t>
      </w:r>
      <w:r w:rsidR="00D6706E" w:rsidRPr="003E3613">
        <w:rPr>
          <w:rFonts w:ascii="Book Antiqua" w:hAnsi="Book Antiqua"/>
          <w:sz w:val="23"/>
          <w:szCs w:val="23"/>
          <w:lang w:val="en-GB"/>
        </w:rPr>
        <w:t>ment of</w:t>
      </w:r>
      <w:r w:rsidRPr="003E3613">
        <w:rPr>
          <w:rFonts w:ascii="Book Antiqua" w:hAnsi="Book Antiqua"/>
          <w:sz w:val="23"/>
          <w:szCs w:val="23"/>
          <w:lang w:val="en-GB"/>
        </w:rPr>
        <w:t xml:space="preserve"> </w:t>
      </w:r>
      <w:r w:rsidR="005856BC" w:rsidRPr="003E3613">
        <w:rPr>
          <w:rFonts w:ascii="Book Antiqua" w:hAnsi="Book Antiqua"/>
          <w:sz w:val="23"/>
          <w:szCs w:val="23"/>
          <w:lang w:val="en-GB"/>
        </w:rPr>
        <w:t xml:space="preserve">Section </w:t>
      </w:r>
      <w:r w:rsidRPr="003E3613">
        <w:rPr>
          <w:rFonts w:ascii="Book Antiqua" w:hAnsi="Book Antiqua"/>
          <w:sz w:val="23"/>
          <w:szCs w:val="23"/>
          <w:lang w:val="en-GB"/>
        </w:rPr>
        <w:t xml:space="preserve">332 of the </w:t>
      </w:r>
      <w:r w:rsidR="003B4C7E" w:rsidRPr="003E3613">
        <w:rPr>
          <w:rFonts w:ascii="Book Antiqua" w:hAnsi="Book Antiqua"/>
          <w:sz w:val="23"/>
          <w:szCs w:val="23"/>
          <w:lang w:val="en-GB"/>
        </w:rPr>
        <w:t xml:space="preserve">Criminal </w:t>
      </w:r>
      <w:r w:rsidRPr="003E3613">
        <w:rPr>
          <w:rFonts w:ascii="Book Antiqua" w:hAnsi="Book Antiqua"/>
          <w:sz w:val="23"/>
          <w:szCs w:val="23"/>
          <w:lang w:val="en-GB"/>
        </w:rPr>
        <w:t xml:space="preserve">Code </w:t>
      </w:r>
      <w:r w:rsidR="00F62FF0" w:rsidRPr="003E3613">
        <w:rPr>
          <w:rFonts w:ascii="Book Antiqua" w:hAnsi="Book Antiqua"/>
          <w:sz w:val="23"/>
          <w:szCs w:val="23"/>
          <w:lang w:val="en-GB"/>
        </w:rPr>
        <w:t>that was aimed at</w:t>
      </w:r>
      <w:r w:rsidRPr="003E3613">
        <w:rPr>
          <w:rFonts w:ascii="Book Antiqua" w:hAnsi="Book Antiqua"/>
          <w:sz w:val="23"/>
          <w:szCs w:val="23"/>
          <w:lang w:val="en-GB"/>
        </w:rPr>
        <w:t xml:space="preserve"> implementing Council Framework Decision 2008/913/JHA. The modification of th</w:t>
      </w:r>
      <w:r w:rsidR="00346481" w:rsidRPr="003E3613">
        <w:rPr>
          <w:rFonts w:ascii="Book Antiqua" w:hAnsi="Book Antiqua"/>
          <w:sz w:val="23"/>
          <w:szCs w:val="23"/>
          <w:lang w:val="en-GB"/>
        </w:rPr>
        <w:t>e fact</w:t>
      </w:r>
      <w:r w:rsidR="003B4C7E" w:rsidRPr="003E3613">
        <w:rPr>
          <w:rFonts w:ascii="Book Antiqua" w:hAnsi="Book Antiqua"/>
          <w:sz w:val="23"/>
          <w:szCs w:val="23"/>
          <w:lang w:val="en-GB"/>
        </w:rPr>
        <w:t>s</w:t>
      </w:r>
      <w:r w:rsidR="00346481" w:rsidRPr="003E3613">
        <w:rPr>
          <w:rFonts w:ascii="Book Antiqua" w:hAnsi="Book Antiqua"/>
          <w:sz w:val="23"/>
          <w:szCs w:val="23"/>
          <w:lang w:val="en-GB"/>
        </w:rPr>
        <w:t xml:space="preserve"> of the crime of ‘</w:t>
      </w:r>
      <w:r w:rsidRPr="003E3613">
        <w:rPr>
          <w:rFonts w:ascii="Book Antiqua" w:hAnsi="Book Antiqua"/>
          <w:sz w:val="23"/>
          <w:szCs w:val="23"/>
          <w:lang w:val="en-GB"/>
        </w:rPr>
        <w:t xml:space="preserve">inciting violence </w:t>
      </w:r>
      <w:r w:rsidR="00346481" w:rsidRPr="003E3613">
        <w:rPr>
          <w:rFonts w:ascii="Book Antiqua" w:hAnsi="Book Antiqua"/>
          <w:sz w:val="23"/>
          <w:szCs w:val="23"/>
          <w:lang w:val="en-GB"/>
        </w:rPr>
        <w:t>or hatred against the community’</w:t>
      </w:r>
      <w:r w:rsidRPr="003E3613">
        <w:rPr>
          <w:rFonts w:ascii="Book Antiqua" w:hAnsi="Book Antiqua"/>
          <w:sz w:val="23"/>
          <w:szCs w:val="23"/>
          <w:lang w:val="en-GB"/>
        </w:rPr>
        <w:t xml:space="preserve"> entered into force on 28</w:t>
      </w:r>
      <w:r w:rsidR="00346481" w:rsidRPr="003E3613">
        <w:rPr>
          <w:rFonts w:ascii="Book Antiqua" w:hAnsi="Book Antiqua"/>
          <w:sz w:val="23"/>
          <w:szCs w:val="23"/>
          <w:lang w:val="en-GB"/>
        </w:rPr>
        <w:t xml:space="preserve"> October 2016, according to which ‘a</w:t>
      </w:r>
      <w:r w:rsidRPr="003E3613">
        <w:rPr>
          <w:rFonts w:ascii="Book Antiqua" w:hAnsi="Book Antiqua"/>
          <w:sz w:val="23"/>
          <w:szCs w:val="23"/>
          <w:lang w:val="en-GB"/>
        </w:rPr>
        <w:t>ny person who</w:t>
      </w:r>
      <w:r w:rsidR="00381D75" w:rsidRPr="003E3613">
        <w:rPr>
          <w:rFonts w:ascii="Book Antiqua" w:hAnsi="Book Antiqua"/>
          <w:sz w:val="23"/>
          <w:szCs w:val="23"/>
          <w:lang w:val="en-GB"/>
        </w:rPr>
        <w:t>, in front of a large public audience,</w:t>
      </w:r>
      <w:r w:rsidRPr="003E3613">
        <w:rPr>
          <w:rFonts w:ascii="Book Antiqua" w:hAnsi="Book Antiqua"/>
          <w:sz w:val="23"/>
          <w:szCs w:val="23"/>
          <w:lang w:val="en-GB"/>
        </w:rPr>
        <w:t xml:space="preserve"> incites vio</w:t>
      </w:r>
      <w:r w:rsidR="00346481" w:rsidRPr="003E3613">
        <w:rPr>
          <w:rFonts w:ascii="Book Antiqua" w:hAnsi="Book Antiqua"/>
          <w:sz w:val="23"/>
          <w:szCs w:val="23"/>
          <w:lang w:val="en-GB"/>
        </w:rPr>
        <w:t xml:space="preserve">lence or hatred against a) the Hungarian nation, </w:t>
      </w:r>
      <w:r w:rsidRPr="003E3613">
        <w:rPr>
          <w:rFonts w:ascii="Book Antiqua" w:hAnsi="Book Antiqua"/>
          <w:sz w:val="23"/>
          <w:szCs w:val="23"/>
          <w:lang w:val="en-GB"/>
        </w:rPr>
        <w:t xml:space="preserve">b) any national, ethnic, racial or religious </w:t>
      </w:r>
      <w:r w:rsidR="00346481" w:rsidRPr="003E3613">
        <w:rPr>
          <w:rFonts w:ascii="Book Antiqua" w:hAnsi="Book Antiqua"/>
          <w:sz w:val="23"/>
          <w:szCs w:val="23"/>
          <w:lang w:val="en-GB"/>
        </w:rPr>
        <w:t xml:space="preserve">group or any member thereof, or </w:t>
      </w:r>
      <w:r w:rsidRPr="003E3613">
        <w:rPr>
          <w:rFonts w:ascii="Book Antiqua" w:hAnsi="Book Antiqua"/>
          <w:sz w:val="23"/>
          <w:szCs w:val="23"/>
          <w:lang w:val="en-GB"/>
        </w:rPr>
        <w:t>c) certain groups</w:t>
      </w:r>
      <w:r w:rsidR="00381D75" w:rsidRPr="003E3613">
        <w:rPr>
          <w:rFonts w:ascii="Book Antiqua" w:hAnsi="Book Antiqua"/>
          <w:sz w:val="23"/>
          <w:szCs w:val="23"/>
          <w:lang w:val="en-GB"/>
        </w:rPr>
        <w:t xml:space="preserve"> of the population</w:t>
      </w:r>
      <w:r w:rsidRPr="003E3613">
        <w:rPr>
          <w:rFonts w:ascii="Book Antiqua" w:hAnsi="Book Antiqua"/>
          <w:sz w:val="23"/>
          <w:szCs w:val="23"/>
          <w:lang w:val="en-GB"/>
        </w:rPr>
        <w:t xml:space="preserve">, or the members thereof, in particular </w:t>
      </w:r>
      <w:r w:rsidR="00381D75" w:rsidRPr="003E3613">
        <w:rPr>
          <w:rFonts w:ascii="Book Antiqua" w:hAnsi="Book Antiqua"/>
          <w:sz w:val="23"/>
          <w:szCs w:val="23"/>
          <w:lang w:val="en-GB"/>
        </w:rPr>
        <w:t xml:space="preserve">based </w:t>
      </w:r>
      <w:r w:rsidRPr="003E3613">
        <w:rPr>
          <w:rFonts w:ascii="Book Antiqua" w:hAnsi="Book Antiqua"/>
          <w:sz w:val="23"/>
          <w:szCs w:val="23"/>
          <w:lang w:val="en-GB"/>
        </w:rPr>
        <w:t xml:space="preserve">on disability, </w:t>
      </w:r>
      <w:r w:rsidR="00381D75" w:rsidRPr="003E3613">
        <w:rPr>
          <w:rFonts w:ascii="Book Antiqua" w:hAnsi="Book Antiqua"/>
          <w:sz w:val="23"/>
          <w:szCs w:val="23"/>
          <w:lang w:val="en-GB"/>
        </w:rPr>
        <w:t xml:space="preserve">sexual </w:t>
      </w:r>
      <w:r w:rsidRPr="003E3613">
        <w:rPr>
          <w:rFonts w:ascii="Book Antiqua" w:hAnsi="Book Antiqua"/>
          <w:sz w:val="23"/>
          <w:szCs w:val="23"/>
          <w:lang w:val="en-GB"/>
        </w:rPr>
        <w:t>identity or sexual orienta</w:t>
      </w:r>
      <w:r w:rsidR="00346481" w:rsidRPr="003E3613">
        <w:rPr>
          <w:rFonts w:ascii="Book Antiqua" w:hAnsi="Book Antiqua"/>
          <w:sz w:val="23"/>
          <w:szCs w:val="23"/>
          <w:lang w:val="en-GB"/>
        </w:rPr>
        <w:t xml:space="preserve">tion, </w:t>
      </w:r>
      <w:r w:rsidRPr="003E3613">
        <w:rPr>
          <w:rFonts w:ascii="Book Antiqua" w:hAnsi="Book Antiqua"/>
          <w:sz w:val="23"/>
          <w:szCs w:val="23"/>
          <w:lang w:val="en-GB"/>
        </w:rPr>
        <w:t xml:space="preserve">is guilty of a felony punishable by </w:t>
      </w:r>
      <w:r w:rsidR="00346481" w:rsidRPr="003E3613">
        <w:rPr>
          <w:rFonts w:ascii="Book Antiqua" w:hAnsi="Book Antiqua"/>
          <w:sz w:val="23"/>
          <w:szCs w:val="23"/>
          <w:lang w:val="en-GB"/>
        </w:rPr>
        <w:t>up to three years</w:t>
      </w:r>
      <w:r w:rsidR="00381D75" w:rsidRPr="003E3613">
        <w:rPr>
          <w:rFonts w:ascii="Book Antiqua" w:hAnsi="Book Antiqua"/>
          <w:sz w:val="23"/>
          <w:szCs w:val="23"/>
          <w:lang w:val="en-GB"/>
        </w:rPr>
        <w:t xml:space="preserve"> of i</w:t>
      </w:r>
      <w:r w:rsidR="009C1FC7" w:rsidRPr="003E3613">
        <w:rPr>
          <w:rFonts w:ascii="Book Antiqua" w:hAnsi="Book Antiqua"/>
          <w:sz w:val="23"/>
          <w:szCs w:val="23"/>
          <w:lang w:val="en-GB"/>
        </w:rPr>
        <w:t>m</w:t>
      </w:r>
      <w:r w:rsidR="00381D75" w:rsidRPr="003E3613">
        <w:rPr>
          <w:rFonts w:ascii="Book Antiqua" w:hAnsi="Book Antiqua"/>
          <w:sz w:val="23"/>
          <w:szCs w:val="23"/>
          <w:lang w:val="en-GB"/>
        </w:rPr>
        <w:t>prisonment</w:t>
      </w:r>
      <w:r w:rsidR="00346481" w:rsidRPr="003E3613">
        <w:rPr>
          <w:rFonts w:ascii="Book Antiqua" w:hAnsi="Book Antiqua"/>
          <w:sz w:val="23"/>
          <w:szCs w:val="23"/>
          <w:lang w:val="en-GB"/>
        </w:rPr>
        <w:t>’.</w:t>
      </w:r>
    </w:p>
    <w:p w14:paraId="16EBFE7B" w14:textId="77777777" w:rsidR="00CE7DB3" w:rsidRPr="003E3613" w:rsidRDefault="00CE7DB3" w:rsidP="00204696">
      <w:pPr>
        <w:pStyle w:val="Heading2"/>
        <w:keepNext w:val="0"/>
        <w:keepLines w:val="0"/>
        <w:spacing w:before="0"/>
        <w:rPr>
          <w:rFonts w:ascii="Book Antiqua" w:hAnsi="Book Antiqua"/>
          <w:color w:val="auto"/>
          <w:sz w:val="23"/>
          <w:szCs w:val="23"/>
          <w:lang w:val="en-GB"/>
        </w:rPr>
      </w:pPr>
    </w:p>
    <w:p w14:paraId="768E7D5C" w14:textId="77777777" w:rsidR="00F73A4F" w:rsidRPr="003E3613" w:rsidRDefault="00C021C3" w:rsidP="00204696">
      <w:pPr>
        <w:spacing w:after="0"/>
        <w:jc w:val="both"/>
        <w:rPr>
          <w:rFonts w:ascii="Book Antiqua" w:hAnsi="Book Antiqua"/>
          <w:sz w:val="23"/>
          <w:szCs w:val="23"/>
          <w:lang w:val="en-GB"/>
        </w:rPr>
      </w:pPr>
      <w:r w:rsidRPr="003E3613">
        <w:rPr>
          <w:rFonts w:ascii="Book Antiqua" w:hAnsi="Book Antiqua"/>
          <w:sz w:val="23"/>
          <w:szCs w:val="23"/>
          <w:lang w:val="en-GB"/>
        </w:rPr>
        <w:t>As mentioned before, i</w:t>
      </w:r>
      <w:r w:rsidR="00F73A4F" w:rsidRPr="003E3613">
        <w:rPr>
          <w:rFonts w:ascii="Book Antiqua" w:hAnsi="Book Antiqua"/>
          <w:sz w:val="23"/>
          <w:szCs w:val="23"/>
          <w:lang w:val="en-GB"/>
        </w:rPr>
        <w:t>t is the normal procedure for every EC</w:t>
      </w:r>
      <w:r w:rsidRPr="003E3613">
        <w:rPr>
          <w:rFonts w:ascii="Book Antiqua" w:hAnsi="Book Antiqua"/>
          <w:sz w:val="23"/>
          <w:szCs w:val="23"/>
          <w:lang w:val="en-GB"/>
        </w:rPr>
        <w:t>t</w:t>
      </w:r>
      <w:r w:rsidR="00F73A4F" w:rsidRPr="003E3613">
        <w:rPr>
          <w:rFonts w:ascii="Book Antiqua" w:hAnsi="Book Antiqua"/>
          <w:sz w:val="23"/>
          <w:szCs w:val="23"/>
          <w:lang w:val="en-GB"/>
        </w:rPr>
        <w:t>HR judgements that the Committee of Ministers of the Council of Europe supervises the enforcement</w:t>
      </w:r>
      <w:r w:rsidR="000C580E" w:rsidRPr="003E3613">
        <w:rPr>
          <w:rFonts w:ascii="Book Antiqua" w:hAnsi="Book Antiqua"/>
          <w:sz w:val="23"/>
          <w:szCs w:val="23"/>
          <w:lang w:val="en-GB"/>
        </w:rPr>
        <w:t>.</w:t>
      </w:r>
      <w:r w:rsidR="00F73A4F" w:rsidRPr="003E3613">
        <w:rPr>
          <w:rFonts w:ascii="Book Antiqua" w:hAnsi="Book Antiqua"/>
          <w:sz w:val="23"/>
          <w:szCs w:val="23"/>
          <w:lang w:val="en-GB"/>
        </w:rPr>
        <w:t xml:space="preserve"> The single fact that the supervision is ongoing cannot </w:t>
      </w:r>
      <w:r w:rsidR="000C580E" w:rsidRPr="003E3613">
        <w:rPr>
          <w:rFonts w:ascii="Book Antiqua" w:hAnsi="Book Antiqua"/>
          <w:sz w:val="23"/>
          <w:szCs w:val="23"/>
          <w:lang w:val="en-GB"/>
        </w:rPr>
        <w:t xml:space="preserve">be </w:t>
      </w:r>
      <w:r w:rsidR="00F73A4F" w:rsidRPr="003E3613">
        <w:rPr>
          <w:rFonts w:ascii="Book Antiqua" w:hAnsi="Book Antiqua"/>
          <w:sz w:val="23"/>
          <w:szCs w:val="23"/>
          <w:lang w:val="en-GB"/>
        </w:rPr>
        <w:t>interpreted in a way that there is a clear risk of a serious breach by Hungary of the values as stipulated in Article 7(1) TEU.</w:t>
      </w:r>
    </w:p>
    <w:p w14:paraId="536C39F7" w14:textId="77777777" w:rsidR="00F73A4F" w:rsidRPr="003E3613" w:rsidRDefault="00F73A4F" w:rsidP="00204696">
      <w:pPr>
        <w:spacing w:after="0"/>
        <w:jc w:val="both"/>
        <w:rPr>
          <w:rFonts w:ascii="Book Antiqua" w:hAnsi="Book Antiqua"/>
          <w:sz w:val="23"/>
          <w:szCs w:val="23"/>
          <w:lang w:val="en-GB"/>
        </w:rPr>
      </w:pPr>
    </w:p>
    <w:p w14:paraId="79F8A932" w14:textId="77777777" w:rsidR="008A0C55" w:rsidRPr="003E3613" w:rsidRDefault="008A0C55" w:rsidP="00204696">
      <w:pPr>
        <w:pStyle w:val="Heading2"/>
        <w:keepNext w:val="0"/>
        <w:keepLines w:val="0"/>
        <w:spacing w:before="0"/>
        <w:rPr>
          <w:rFonts w:ascii="Book Antiqua" w:hAnsi="Book Antiqua"/>
          <w:color w:val="auto"/>
          <w:sz w:val="23"/>
          <w:szCs w:val="23"/>
          <w:lang w:val="en-GB"/>
        </w:rPr>
      </w:pPr>
      <w:bookmarkStart w:id="62" w:name="_Toc19120820"/>
      <w:r w:rsidRPr="003E3613">
        <w:rPr>
          <w:rFonts w:ascii="Book Antiqua" w:hAnsi="Book Antiqua"/>
          <w:color w:val="auto"/>
          <w:sz w:val="23"/>
          <w:szCs w:val="23"/>
          <w:lang w:val="en-GB"/>
        </w:rPr>
        <w:t>Forced evictions of Roma in Miskolc</w:t>
      </w:r>
      <w:bookmarkEnd w:id="62"/>
    </w:p>
    <w:p w14:paraId="537FD5A7" w14:textId="77777777" w:rsidR="008A0C55" w:rsidRPr="003E3613" w:rsidRDefault="008A0C55" w:rsidP="00204696">
      <w:pPr>
        <w:spacing w:after="0"/>
        <w:jc w:val="both"/>
        <w:rPr>
          <w:rFonts w:ascii="Book Antiqua" w:hAnsi="Book Antiqua"/>
          <w:i/>
          <w:sz w:val="23"/>
          <w:szCs w:val="23"/>
          <w:lang w:val="en-GB"/>
        </w:rPr>
      </w:pPr>
    </w:p>
    <w:p w14:paraId="6A34567C"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D25337" w:rsidRPr="003E3613">
        <w:rPr>
          <w:rFonts w:ascii="Book Antiqua" w:hAnsi="Book Antiqua"/>
          <w:i/>
          <w:sz w:val="23"/>
          <w:szCs w:val="23"/>
          <w:lang w:val="en-GB"/>
        </w:rPr>
        <w:t>56</w:t>
      </w:r>
      <w:r w:rsidRPr="003E3613">
        <w:rPr>
          <w:rFonts w:ascii="Book Antiqua" w:hAnsi="Book Antiqua"/>
          <w:i/>
          <w:sz w:val="23"/>
          <w:szCs w:val="23"/>
          <w:lang w:val="en-GB"/>
        </w:rPr>
        <w:t xml:space="preserve">) On 29 June - 1 July 2015, the OSCE Office for Democratic Institutions and Human Rights conducted a field assessment visit to Hungary, following reports about the actions taken by the local government of the city of Miskolc concerning forced evictions of Roma. </w:t>
      </w:r>
      <w:r w:rsidR="008104F6" w:rsidRPr="003E3613">
        <w:rPr>
          <w:rFonts w:ascii="Book Antiqua" w:hAnsi="Book Antiqua"/>
          <w:i/>
          <w:sz w:val="23"/>
          <w:szCs w:val="23"/>
          <w:lang w:val="en-GB"/>
        </w:rPr>
        <w:t xml:space="preserve">The local authorities adopted a model of anti-Roma measures, even before the change of the local decree of 2014, and public figures in the city often made anti-Roma statements. It was reported that in February 2013, the Mayor of Miskolc said he wanted to clean the city of “anti-social, perverted Roma” who allegedly illegally benefited from the Nest programme (Fészekrakó programme) for housing benefits and people living in social flats with rent and maintenance fees. His words marked the beginning of a series of evictions and during that month, fifty apartments were removed from 273 apartments in the appropriate category - also to clean up the land for the renovation of a stadium. Based on the appeal of the government office in charge, the Supreme Court annulled the relevant provisions in its decision of 28 April 2015. The Commissioner for Fundamental Rights and the Deputy-Commissioner for the Rights of National Minorities issued a joint opinion on 5 June 2015 about the fundamental rights violations against the Roma in Miskolc, the recommendations of which the local government failed to adopt. The Equal Treatment Authority of Hungary also carried out an investigation and rendered a decision in July 2015, calling on the local government to cease all evictions and to develop an action plan on how to offer housing in accordance with human dignity. </w:t>
      </w:r>
      <w:r w:rsidRPr="003E3613">
        <w:rPr>
          <w:rFonts w:ascii="Book Antiqua" w:hAnsi="Book Antiqua"/>
          <w:i/>
          <w:sz w:val="23"/>
          <w:szCs w:val="23"/>
          <w:lang w:val="en-GB"/>
        </w:rPr>
        <w:t xml:space="preserve">On 26 January 2016 the Council of Europe Commissioner for Human Rights sent </w:t>
      </w:r>
      <w:r w:rsidR="008104F6" w:rsidRPr="003E3613">
        <w:rPr>
          <w:rFonts w:ascii="Book Antiqua" w:hAnsi="Book Antiqua"/>
          <w:i/>
          <w:sz w:val="23"/>
          <w:szCs w:val="23"/>
          <w:lang w:val="en-GB"/>
        </w:rPr>
        <w:t xml:space="preserve">letters to the governments of Albania, Bulgaria, France, Hungary, Italy, Serbia and Sweden concerning forced evictions of Roma. The </w:t>
      </w:r>
      <w:r w:rsidRPr="003E3613">
        <w:rPr>
          <w:rFonts w:ascii="Book Antiqua" w:hAnsi="Book Antiqua"/>
          <w:i/>
          <w:sz w:val="23"/>
          <w:szCs w:val="23"/>
          <w:lang w:val="en-GB"/>
        </w:rPr>
        <w:t xml:space="preserve">letter </w:t>
      </w:r>
      <w:r w:rsidR="008104F6" w:rsidRPr="003E3613">
        <w:rPr>
          <w:rFonts w:ascii="Book Antiqua" w:hAnsi="Book Antiqua"/>
          <w:i/>
          <w:sz w:val="23"/>
          <w:szCs w:val="23"/>
          <w:lang w:val="en-GB"/>
        </w:rPr>
        <w:t xml:space="preserve">addressed </w:t>
      </w:r>
      <w:r w:rsidRPr="003E3613">
        <w:rPr>
          <w:rFonts w:ascii="Book Antiqua" w:hAnsi="Book Antiqua"/>
          <w:i/>
          <w:sz w:val="23"/>
          <w:szCs w:val="23"/>
          <w:lang w:val="en-GB"/>
        </w:rPr>
        <w:t xml:space="preserve">to the Hungarian authorities </w:t>
      </w:r>
      <w:r w:rsidR="008104F6" w:rsidRPr="003E3613">
        <w:rPr>
          <w:rFonts w:ascii="Book Antiqua" w:hAnsi="Book Antiqua"/>
          <w:i/>
          <w:sz w:val="23"/>
          <w:szCs w:val="23"/>
          <w:lang w:val="en-GB"/>
        </w:rPr>
        <w:t xml:space="preserve">expressed </w:t>
      </w:r>
      <w:r w:rsidRPr="003E3613">
        <w:rPr>
          <w:rFonts w:ascii="Book Antiqua" w:hAnsi="Book Antiqua"/>
          <w:i/>
          <w:sz w:val="23"/>
          <w:szCs w:val="23"/>
          <w:lang w:val="en-GB"/>
        </w:rPr>
        <w:t>concerns about the treatment of Roma in Miskolc.</w:t>
      </w:r>
      <w:r w:rsidR="008104F6" w:rsidRPr="003E3613">
        <w:rPr>
          <w:rFonts w:ascii="Book Antiqua" w:hAnsi="Book Antiqua"/>
          <w:i/>
          <w:sz w:val="23"/>
          <w:szCs w:val="23"/>
          <w:lang w:val="en-GB"/>
        </w:rPr>
        <w:t xml:space="preserve"> The action plan was adopted on 21 April 2016 and in the meantime a social housing agency was also established. In its decision of 14 October 2016, the Equal Treatment Authority found that the municipality fulfilled its obligations. Nevertheless, ECRI mentioned in its conclusions on the implementation of the recommendations in respect of Hungary published on 15 May </w:t>
      </w:r>
      <w:r w:rsidR="008104F6" w:rsidRPr="003E3613">
        <w:rPr>
          <w:rFonts w:ascii="Book Antiqua" w:hAnsi="Book Antiqua"/>
          <w:i/>
          <w:sz w:val="23"/>
          <w:szCs w:val="23"/>
          <w:lang w:val="en-GB"/>
        </w:rPr>
        <w:lastRenderedPageBreak/>
        <w:t>2018 that, despite some positive developments to improve the housing conditions of Roma, its recommendation had not been implemented.</w:t>
      </w:r>
    </w:p>
    <w:p w14:paraId="74E6C5AF" w14:textId="77777777" w:rsidR="008A0C55" w:rsidRPr="003E3613" w:rsidRDefault="008A0C55" w:rsidP="00204696">
      <w:pPr>
        <w:spacing w:after="0"/>
        <w:jc w:val="both"/>
        <w:rPr>
          <w:rFonts w:ascii="Book Antiqua" w:hAnsi="Book Antiqua"/>
          <w:i/>
          <w:sz w:val="23"/>
          <w:szCs w:val="23"/>
          <w:lang w:val="en-GB"/>
        </w:rPr>
      </w:pPr>
    </w:p>
    <w:p w14:paraId="543AC754" w14:textId="77777777" w:rsidR="008A0C55" w:rsidRPr="003E3613" w:rsidRDefault="008A0C55" w:rsidP="00204696">
      <w:pPr>
        <w:tabs>
          <w:tab w:val="left" w:pos="142"/>
        </w:tabs>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The Municipality of Miskolc decided to demolish the neighbourhood called “Numbered Streets,” where a large part of the inhabitants are Roma. The Municipality amended its local housing decree on 12</w:t>
      </w:r>
      <w:r w:rsidRPr="003E3613">
        <w:rPr>
          <w:rFonts w:ascii="Book Antiqua" w:hAnsi="Book Antiqua" w:cs="Times New Roman"/>
          <w:sz w:val="23"/>
          <w:szCs w:val="23"/>
          <w:vertAlign w:val="superscript"/>
          <w:lang w:val="en-GB"/>
        </w:rPr>
        <w:t>th</w:t>
      </w:r>
      <w:r w:rsidRPr="003E3613">
        <w:rPr>
          <w:rFonts w:ascii="Book Antiqua" w:hAnsi="Book Antiqua" w:cs="Times New Roman"/>
          <w:sz w:val="23"/>
          <w:szCs w:val="23"/>
          <w:lang w:val="en-GB"/>
        </w:rPr>
        <w:t xml:space="preserve"> May 2014, offering financial compensation (a maximum of about </w:t>
      </w:r>
      <w:r w:rsidR="008C62D1" w:rsidRPr="003E3613">
        <w:rPr>
          <w:rFonts w:ascii="Book Antiqua" w:hAnsi="Book Antiqua" w:cs="Times New Roman"/>
          <w:sz w:val="23"/>
          <w:szCs w:val="23"/>
          <w:lang w:val="en-GB"/>
        </w:rPr>
        <w:t>EUR</w:t>
      </w:r>
      <w:r w:rsidR="00554D9C" w:rsidRPr="003E3613">
        <w:rPr>
          <w:rFonts w:ascii="Book Antiqua" w:hAnsi="Book Antiqua" w:cs="Times New Roman"/>
          <w:sz w:val="23"/>
          <w:szCs w:val="23"/>
          <w:lang w:val="en-GB"/>
        </w:rPr>
        <w:t xml:space="preserve"> </w:t>
      </w:r>
      <w:r w:rsidRPr="003E3613">
        <w:rPr>
          <w:rFonts w:ascii="Book Antiqua" w:hAnsi="Book Antiqua" w:cs="Times New Roman"/>
          <w:sz w:val="23"/>
          <w:szCs w:val="23"/>
          <w:lang w:val="en-GB"/>
        </w:rPr>
        <w:t xml:space="preserve">4750 </w:t>
      </w:r>
      <w:r w:rsidR="00010AA7" w:rsidRPr="003E3613">
        <w:rPr>
          <w:rFonts w:ascii="Book Antiqua" w:hAnsi="Book Antiqua" w:cs="Times New Roman"/>
          <w:sz w:val="23"/>
          <w:szCs w:val="23"/>
          <w:lang w:val="en-GB"/>
        </w:rPr>
        <w:t xml:space="preserve">– </w:t>
      </w:r>
      <w:r w:rsidRPr="003E3613">
        <w:rPr>
          <w:rFonts w:ascii="Book Antiqua" w:hAnsi="Book Antiqua" w:cs="Times New Roman"/>
          <w:sz w:val="23"/>
          <w:szCs w:val="23"/>
          <w:lang w:val="en-GB"/>
        </w:rPr>
        <w:t xml:space="preserve">6300) for those tenants who are willing to terminate their indefinite contract only if they buy a new property outside of the city which cannot be resold within 5 years. </w:t>
      </w:r>
    </w:p>
    <w:p w14:paraId="6DFDCBFC" w14:textId="77777777" w:rsidR="008A0C55" w:rsidRPr="003E3613" w:rsidRDefault="008A0C55" w:rsidP="00204696">
      <w:pPr>
        <w:pStyle w:val="NoSpacing"/>
        <w:spacing w:line="276" w:lineRule="auto"/>
        <w:jc w:val="both"/>
        <w:rPr>
          <w:rFonts w:ascii="Book Antiqua" w:hAnsi="Book Antiqua" w:cs="Times New Roman"/>
          <w:sz w:val="23"/>
          <w:szCs w:val="23"/>
          <w:lang w:val="en-GB"/>
        </w:rPr>
      </w:pPr>
    </w:p>
    <w:p w14:paraId="3C878705" w14:textId="77777777" w:rsidR="00C235E3" w:rsidRPr="003E3613" w:rsidRDefault="008A0C55" w:rsidP="00204696">
      <w:pPr>
        <w:pStyle w:val="NoSpacing"/>
        <w:spacing w:line="276" w:lineRule="auto"/>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Based on the appeal of the government office in charge, the </w:t>
      </w:r>
      <w:r w:rsidR="003B4C7E" w:rsidRPr="003E3613">
        <w:rPr>
          <w:rFonts w:ascii="Book Antiqua" w:hAnsi="Book Antiqua" w:cs="Times New Roman"/>
          <w:sz w:val="23"/>
          <w:szCs w:val="23"/>
          <w:lang w:val="en-GB"/>
        </w:rPr>
        <w:t>Kúria</w:t>
      </w:r>
      <w:r w:rsidR="003B3F86" w:rsidRPr="003E3613">
        <w:rPr>
          <w:rFonts w:ascii="Book Antiqua" w:hAnsi="Book Antiqua" w:cs="Times New Roman"/>
          <w:sz w:val="23"/>
          <w:szCs w:val="23"/>
          <w:lang w:val="en-GB"/>
        </w:rPr>
        <w:t xml:space="preserve"> (</w:t>
      </w:r>
      <w:r w:rsidR="003B3F86" w:rsidRPr="003E3613">
        <w:rPr>
          <w:rFonts w:ascii="Book Antiqua" w:hAnsi="Book Antiqua"/>
          <w:sz w:val="23"/>
          <w:szCs w:val="23"/>
          <w:lang w:val="en-GB"/>
        </w:rPr>
        <w:t>Supreme Court of Hungary)</w:t>
      </w:r>
      <w:r w:rsidRPr="003E3613">
        <w:rPr>
          <w:rFonts w:ascii="Book Antiqua" w:hAnsi="Book Antiqua" w:cs="Times New Roman"/>
          <w:sz w:val="23"/>
          <w:szCs w:val="23"/>
          <w:lang w:val="en-GB"/>
        </w:rPr>
        <w:t xml:space="preserve"> annulled the relevant </w:t>
      </w:r>
      <w:r w:rsidR="00952A45" w:rsidRPr="003E3613">
        <w:rPr>
          <w:rFonts w:ascii="Book Antiqua" w:hAnsi="Book Antiqua" w:cs="Times New Roman"/>
          <w:sz w:val="23"/>
          <w:szCs w:val="23"/>
          <w:lang w:val="en-GB"/>
        </w:rPr>
        <w:t xml:space="preserve">provisons </w:t>
      </w:r>
      <w:r w:rsidRPr="003E3613">
        <w:rPr>
          <w:rFonts w:ascii="Book Antiqua" w:hAnsi="Book Antiqua" w:cs="Times New Roman"/>
          <w:sz w:val="23"/>
          <w:szCs w:val="23"/>
          <w:lang w:val="en-GB"/>
        </w:rPr>
        <w:t xml:space="preserve">in its decision of 28 </w:t>
      </w:r>
      <w:r w:rsidR="00507D16" w:rsidRPr="003E3613">
        <w:rPr>
          <w:rFonts w:ascii="Book Antiqua" w:hAnsi="Book Antiqua" w:cs="Times New Roman"/>
          <w:sz w:val="23"/>
          <w:szCs w:val="23"/>
          <w:lang w:val="en-GB"/>
        </w:rPr>
        <w:t xml:space="preserve">April </w:t>
      </w:r>
      <w:r w:rsidRPr="003E3613">
        <w:rPr>
          <w:rFonts w:ascii="Book Antiqua" w:hAnsi="Book Antiqua" w:cs="Times New Roman"/>
          <w:sz w:val="23"/>
          <w:szCs w:val="23"/>
          <w:lang w:val="en-GB"/>
        </w:rPr>
        <w:t xml:space="preserve">2015. </w:t>
      </w:r>
    </w:p>
    <w:p w14:paraId="3653AA0D" w14:textId="77777777" w:rsidR="00CE7DB3" w:rsidRPr="003E3613" w:rsidRDefault="00CE7DB3" w:rsidP="00204696">
      <w:pPr>
        <w:pStyle w:val="Heading2"/>
        <w:keepNext w:val="0"/>
        <w:keepLines w:val="0"/>
        <w:spacing w:before="0"/>
        <w:rPr>
          <w:rFonts w:ascii="Book Antiqua" w:hAnsi="Book Antiqua"/>
          <w:color w:val="auto"/>
          <w:sz w:val="23"/>
          <w:szCs w:val="23"/>
          <w:lang w:val="en-GB"/>
        </w:rPr>
      </w:pPr>
    </w:p>
    <w:p w14:paraId="42AF8964" w14:textId="77777777" w:rsidR="00B62597" w:rsidRPr="003E3613" w:rsidRDefault="00B62597" w:rsidP="00204696">
      <w:pPr>
        <w:tabs>
          <w:tab w:val="left" w:pos="142"/>
        </w:tabs>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Nonetheless, the Commission as mentioned </w:t>
      </w:r>
      <w:r w:rsidR="00EF2759" w:rsidRPr="003E3613">
        <w:rPr>
          <w:rFonts w:ascii="Book Antiqua" w:hAnsi="Book Antiqua" w:cs="Times New Roman"/>
          <w:sz w:val="23"/>
          <w:szCs w:val="23"/>
          <w:lang w:val="en-GB"/>
        </w:rPr>
        <w:t>in recital (5</w:t>
      </w:r>
      <w:r w:rsidR="00C46340" w:rsidRPr="003E3613">
        <w:rPr>
          <w:rFonts w:ascii="Book Antiqua" w:hAnsi="Book Antiqua" w:cs="Times New Roman"/>
          <w:sz w:val="23"/>
          <w:szCs w:val="23"/>
          <w:lang w:val="en-GB"/>
        </w:rPr>
        <w:t>5</w:t>
      </w:r>
      <w:r w:rsidR="00EF2759" w:rsidRPr="003E3613">
        <w:rPr>
          <w:rFonts w:ascii="Book Antiqua" w:hAnsi="Book Antiqua" w:cs="Times New Roman"/>
          <w:sz w:val="23"/>
          <w:szCs w:val="23"/>
          <w:lang w:val="en-GB"/>
        </w:rPr>
        <w:t xml:space="preserve">) </w:t>
      </w:r>
      <w:r w:rsidRPr="003E3613">
        <w:rPr>
          <w:rFonts w:ascii="Book Antiqua" w:hAnsi="Book Antiqua" w:cs="Times New Roman"/>
          <w:sz w:val="23"/>
          <w:szCs w:val="23"/>
          <w:lang w:val="en-GB"/>
        </w:rPr>
        <w:t>above</w:t>
      </w:r>
      <w:r w:rsidR="00EF2759" w:rsidRPr="003E3613">
        <w:rPr>
          <w:rFonts w:ascii="Book Antiqua" w:hAnsi="Book Antiqua" w:cs="Times New Roman"/>
          <w:sz w:val="23"/>
          <w:szCs w:val="23"/>
          <w:lang w:val="en-GB"/>
        </w:rPr>
        <w:t>,</w:t>
      </w:r>
      <w:r w:rsidRPr="003E3613">
        <w:rPr>
          <w:rFonts w:ascii="Book Antiqua" w:hAnsi="Book Antiqua" w:cs="Times New Roman"/>
          <w:sz w:val="23"/>
          <w:szCs w:val="23"/>
          <w:lang w:val="en-GB"/>
        </w:rPr>
        <w:t xml:space="preserve"> </w:t>
      </w:r>
      <w:r w:rsidR="00F2277E" w:rsidRPr="003E3613">
        <w:rPr>
          <w:rFonts w:ascii="Book Antiqua" w:hAnsi="Book Antiqua" w:cs="Times New Roman"/>
          <w:sz w:val="23"/>
          <w:szCs w:val="23"/>
          <w:lang w:val="en-GB"/>
        </w:rPr>
        <w:t xml:space="preserve">had </w:t>
      </w:r>
      <w:r w:rsidRPr="003E3613">
        <w:rPr>
          <w:rFonts w:ascii="Book Antiqua" w:hAnsi="Book Antiqua" w:cs="Times New Roman"/>
          <w:sz w:val="23"/>
          <w:szCs w:val="23"/>
          <w:lang w:val="en-GB"/>
        </w:rPr>
        <w:t>a three-day field visit in September 2018 to Hungary and in the framework of th</w:t>
      </w:r>
      <w:r w:rsidR="00EF2759" w:rsidRPr="003E3613">
        <w:rPr>
          <w:rFonts w:ascii="Book Antiqua" w:hAnsi="Book Antiqua" w:cs="Times New Roman"/>
          <w:sz w:val="23"/>
          <w:szCs w:val="23"/>
          <w:lang w:val="en-GB"/>
        </w:rPr>
        <w:t>is</w:t>
      </w:r>
      <w:r w:rsidRPr="003E3613">
        <w:rPr>
          <w:rFonts w:ascii="Book Antiqua" w:hAnsi="Book Antiqua" w:cs="Times New Roman"/>
          <w:sz w:val="23"/>
          <w:szCs w:val="23"/>
          <w:lang w:val="en-GB"/>
        </w:rPr>
        <w:t xml:space="preserve"> visit </w:t>
      </w:r>
      <w:r w:rsidR="00F2277E" w:rsidRPr="003E3613">
        <w:rPr>
          <w:rFonts w:ascii="Book Antiqua" w:hAnsi="Book Antiqua" w:cs="Times New Roman"/>
          <w:sz w:val="23"/>
          <w:szCs w:val="23"/>
          <w:lang w:val="en-GB"/>
        </w:rPr>
        <w:t>they</w:t>
      </w:r>
      <w:r w:rsidRPr="003E3613">
        <w:rPr>
          <w:rFonts w:ascii="Book Antiqua" w:hAnsi="Book Antiqua" w:cs="Times New Roman"/>
          <w:sz w:val="23"/>
          <w:szCs w:val="23"/>
          <w:lang w:val="en-GB"/>
        </w:rPr>
        <w:t xml:space="preserve"> met </w:t>
      </w:r>
      <w:r w:rsidR="00F2277E" w:rsidRPr="003E3613">
        <w:rPr>
          <w:rFonts w:ascii="Book Antiqua" w:hAnsi="Book Antiqua" w:cs="Times New Roman"/>
          <w:sz w:val="23"/>
          <w:szCs w:val="23"/>
          <w:lang w:val="en-GB"/>
        </w:rPr>
        <w:t>– inter alia –</w:t>
      </w:r>
      <w:r w:rsidR="00554D9C" w:rsidRPr="003E3613">
        <w:rPr>
          <w:rFonts w:ascii="Book Antiqua" w:hAnsi="Book Antiqua" w:cs="Times New Roman"/>
          <w:sz w:val="23"/>
          <w:szCs w:val="23"/>
          <w:lang w:val="en-GB"/>
        </w:rPr>
        <w:t xml:space="preserve"> </w:t>
      </w:r>
      <w:r w:rsidRPr="003E3613">
        <w:rPr>
          <w:rFonts w:ascii="Book Antiqua" w:hAnsi="Book Antiqua" w:cs="Times New Roman"/>
          <w:sz w:val="23"/>
          <w:szCs w:val="23"/>
          <w:lang w:val="en-GB"/>
        </w:rPr>
        <w:t xml:space="preserve">the representatives of Miskolc’s local government </w:t>
      </w:r>
      <w:r w:rsidR="00EF2759" w:rsidRPr="003E3613">
        <w:rPr>
          <w:rFonts w:ascii="Book Antiqua" w:hAnsi="Book Antiqua" w:cs="Times New Roman"/>
          <w:sz w:val="23"/>
          <w:szCs w:val="23"/>
          <w:lang w:val="en-GB"/>
        </w:rPr>
        <w:t xml:space="preserve">to check whether </w:t>
      </w:r>
      <w:r w:rsidRPr="003E3613">
        <w:rPr>
          <w:rFonts w:ascii="Book Antiqua" w:hAnsi="Book Antiqua" w:cs="Times New Roman"/>
          <w:sz w:val="23"/>
          <w:szCs w:val="23"/>
          <w:lang w:val="en-GB"/>
        </w:rPr>
        <w:t xml:space="preserve">the housing issue in the </w:t>
      </w:r>
      <w:r w:rsidR="003B4C7E" w:rsidRPr="003E3613">
        <w:rPr>
          <w:rFonts w:ascii="Book Antiqua" w:hAnsi="Book Antiqua" w:cs="Times New Roman"/>
          <w:sz w:val="23"/>
          <w:szCs w:val="23"/>
          <w:lang w:val="en-GB"/>
        </w:rPr>
        <w:t>‘</w:t>
      </w:r>
      <w:r w:rsidRPr="003E3613">
        <w:rPr>
          <w:rFonts w:ascii="Book Antiqua" w:hAnsi="Book Antiqua" w:cs="Times New Roman"/>
          <w:sz w:val="23"/>
          <w:szCs w:val="23"/>
          <w:lang w:val="en-GB"/>
        </w:rPr>
        <w:t>Numbered streets</w:t>
      </w:r>
      <w:r w:rsidR="003B4C7E" w:rsidRPr="003E3613">
        <w:rPr>
          <w:rFonts w:ascii="Book Antiqua" w:hAnsi="Book Antiqua" w:cs="Times New Roman"/>
          <w:sz w:val="23"/>
          <w:szCs w:val="23"/>
          <w:lang w:val="en-GB"/>
        </w:rPr>
        <w:t>’</w:t>
      </w:r>
      <w:r w:rsidR="00EF2759" w:rsidRPr="003E3613">
        <w:rPr>
          <w:rFonts w:ascii="Book Antiqua" w:hAnsi="Book Antiqua" w:cs="Times New Roman"/>
          <w:sz w:val="23"/>
          <w:szCs w:val="23"/>
          <w:lang w:val="en-GB"/>
        </w:rPr>
        <w:t xml:space="preserve"> is settle</w:t>
      </w:r>
      <w:r w:rsidR="004F6766" w:rsidRPr="003E3613">
        <w:rPr>
          <w:rFonts w:ascii="Book Antiqua" w:hAnsi="Book Antiqua" w:cs="Times New Roman"/>
          <w:sz w:val="23"/>
          <w:szCs w:val="23"/>
          <w:lang w:val="en-GB"/>
        </w:rPr>
        <w:t>d</w:t>
      </w:r>
      <w:r w:rsidR="00EF2759" w:rsidRPr="003E3613">
        <w:rPr>
          <w:rFonts w:ascii="Book Antiqua" w:hAnsi="Book Antiqua" w:cs="Times New Roman"/>
          <w:sz w:val="23"/>
          <w:szCs w:val="23"/>
          <w:lang w:val="en-GB"/>
        </w:rPr>
        <w:t xml:space="preserve"> satisfactorily</w:t>
      </w:r>
      <w:r w:rsidRPr="003E3613">
        <w:rPr>
          <w:rFonts w:ascii="Book Antiqua" w:hAnsi="Book Antiqua" w:cs="Times New Roman"/>
          <w:sz w:val="23"/>
          <w:szCs w:val="23"/>
          <w:lang w:val="en-GB"/>
        </w:rPr>
        <w:t>.</w:t>
      </w:r>
      <w:r w:rsidR="003B4C7E" w:rsidRPr="003E3613">
        <w:rPr>
          <w:rFonts w:ascii="Book Antiqua" w:hAnsi="Book Antiqua" w:cs="Times New Roman"/>
          <w:sz w:val="23"/>
          <w:szCs w:val="23"/>
          <w:lang w:val="en-GB"/>
        </w:rPr>
        <w:t xml:space="preserve"> </w:t>
      </w:r>
      <w:r w:rsidR="00C7210E" w:rsidRPr="003E3613">
        <w:rPr>
          <w:rFonts w:ascii="Book Antiqua" w:hAnsi="Book Antiqua" w:cs="Times New Roman"/>
          <w:sz w:val="23"/>
          <w:szCs w:val="23"/>
          <w:lang w:val="en-GB"/>
        </w:rPr>
        <w:t xml:space="preserve">After the visit, </w:t>
      </w:r>
      <w:r w:rsidR="003B4C7E" w:rsidRPr="003E3613">
        <w:rPr>
          <w:rFonts w:ascii="Book Antiqua" w:hAnsi="Book Antiqua" w:cs="Times New Roman"/>
          <w:sz w:val="23"/>
          <w:szCs w:val="23"/>
          <w:lang w:val="en-GB"/>
        </w:rPr>
        <w:t xml:space="preserve">the Pilot case concerning the ‘Numbered streets’ </w:t>
      </w:r>
      <w:r w:rsidR="00C7210E" w:rsidRPr="003E3613">
        <w:rPr>
          <w:rFonts w:ascii="Book Antiqua" w:hAnsi="Book Antiqua" w:cs="Times New Roman"/>
          <w:sz w:val="23"/>
          <w:szCs w:val="23"/>
          <w:lang w:val="en-GB"/>
        </w:rPr>
        <w:t>has been</w:t>
      </w:r>
      <w:r w:rsidR="003B4C7E" w:rsidRPr="003E3613">
        <w:rPr>
          <w:rFonts w:ascii="Book Antiqua" w:hAnsi="Book Antiqua" w:cs="Times New Roman"/>
          <w:sz w:val="23"/>
          <w:szCs w:val="23"/>
          <w:lang w:val="en-GB"/>
        </w:rPr>
        <w:t xml:space="preserve"> closed upon the experience the Commission had during the field visit.</w:t>
      </w:r>
      <w:r w:rsidR="008A7D48" w:rsidRPr="003E3613">
        <w:rPr>
          <w:rFonts w:ascii="Book Antiqua" w:hAnsi="Book Antiqua" w:cs="Times New Roman"/>
          <w:sz w:val="23"/>
          <w:szCs w:val="23"/>
          <w:lang w:val="en-GB"/>
        </w:rPr>
        <w:t xml:space="preserve"> Social work and community development activities are ongoing in the </w:t>
      </w:r>
      <w:r w:rsidR="00E23913" w:rsidRPr="003E3613">
        <w:rPr>
          <w:rFonts w:ascii="Book Antiqua" w:hAnsi="Book Antiqua" w:cs="Times New Roman"/>
          <w:sz w:val="23"/>
          <w:szCs w:val="23"/>
          <w:lang w:val="en-GB"/>
        </w:rPr>
        <w:t>‘</w:t>
      </w:r>
      <w:r w:rsidR="008A7D48" w:rsidRPr="003E3613">
        <w:rPr>
          <w:rFonts w:ascii="Book Antiqua" w:hAnsi="Book Antiqua" w:cs="Times New Roman"/>
          <w:sz w:val="23"/>
          <w:szCs w:val="23"/>
          <w:lang w:val="en-GB"/>
        </w:rPr>
        <w:t>Numbered streets</w:t>
      </w:r>
      <w:r w:rsidR="00E23913" w:rsidRPr="003E3613">
        <w:rPr>
          <w:rFonts w:ascii="Book Antiqua" w:hAnsi="Book Antiqua" w:cs="Times New Roman"/>
          <w:sz w:val="23"/>
          <w:szCs w:val="23"/>
          <w:lang w:val="en-GB"/>
        </w:rPr>
        <w:t>’</w:t>
      </w:r>
      <w:r w:rsidR="008A7D48" w:rsidRPr="003E3613">
        <w:rPr>
          <w:rFonts w:ascii="Book Antiqua" w:hAnsi="Book Antiqua" w:cs="Times New Roman"/>
          <w:sz w:val="23"/>
          <w:szCs w:val="23"/>
          <w:lang w:val="en-GB"/>
        </w:rPr>
        <w:t>, led by an NGO (Hungarian Charity Service of the Order of Malta), with the support of the local authority.</w:t>
      </w:r>
    </w:p>
    <w:p w14:paraId="6336A4E8" w14:textId="77777777" w:rsidR="00B62597" w:rsidRPr="003E3613" w:rsidRDefault="00B62597" w:rsidP="00204696">
      <w:pPr>
        <w:rPr>
          <w:rFonts w:ascii="Book Antiqua" w:hAnsi="Book Antiqua"/>
          <w:sz w:val="23"/>
          <w:szCs w:val="23"/>
          <w:lang w:val="en-GB"/>
        </w:rPr>
      </w:pPr>
    </w:p>
    <w:p w14:paraId="4261417B" w14:textId="77777777" w:rsidR="004102CA" w:rsidRPr="003E3613" w:rsidRDefault="004102CA" w:rsidP="00204696">
      <w:pPr>
        <w:pStyle w:val="Heading2"/>
        <w:keepNext w:val="0"/>
        <w:keepLines w:val="0"/>
        <w:spacing w:before="0"/>
        <w:rPr>
          <w:rFonts w:ascii="Book Antiqua" w:hAnsi="Book Antiqua"/>
          <w:color w:val="auto"/>
          <w:sz w:val="23"/>
          <w:szCs w:val="23"/>
          <w:lang w:val="en-GB"/>
        </w:rPr>
      </w:pPr>
      <w:bookmarkStart w:id="63" w:name="_Toc19120821"/>
      <w:r w:rsidRPr="003E3613">
        <w:rPr>
          <w:rFonts w:ascii="Book Antiqua" w:hAnsi="Book Antiqua"/>
          <w:color w:val="auto"/>
          <w:sz w:val="23"/>
          <w:szCs w:val="23"/>
          <w:lang w:val="en-GB"/>
        </w:rPr>
        <w:t>Combatting anti-Semitism</w:t>
      </w:r>
      <w:bookmarkEnd w:id="63"/>
    </w:p>
    <w:p w14:paraId="2819E66C" w14:textId="77777777" w:rsidR="004102CA" w:rsidRPr="003E3613" w:rsidRDefault="004102CA" w:rsidP="00204696">
      <w:pPr>
        <w:spacing w:after="0"/>
        <w:jc w:val="both"/>
        <w:rPr>
          <w:rFonts w:ascii="Book Antiqua" w:hAnsi="Book Antiqua"/>
          <w:i/>
          <w:sz w:val="23"/>
          <w:szCs w:val="23"/>
          <w:lang w:val="en-GB"/>
        </w:rPr>
      </w:pPr>
    </w:p>
    <w:p w14:paraId="04A995CE"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8104F6" w:rsidRPr="003E3613">
        <w:rPr>
          <w:rFonts w:ascii="Book Antiqua" w:hAnsi="Book Antiqua"/>
          <w:i/>
          <w:sz w:val="23"/>
          <w:szCs w:val="23"/>
          <w:lang w:val="en-GB"/>
        </w:rPr>
        <w:t>5</w:t>
      </w:r>
      <w:r w:rsidR="00C33A7E" w:rsidRPr="003E3613">
        <w:rPr>
          <w:rFonts w:ascii="Book Antiqua" w:hAnsi="Book Antiqua"/>
          <w:i/>
          <w:sz w:val="23"/>
          <w:szCs w:val="23"/>
          <w:lang w:val="en-GB"/>
        </w:rPr>
        <w:t>7</w:t>
      </w:r>
      <w:r w:rsidRPr="003E3613">
        <w:rPr>
          <w:rFonts w:ascii="Book Antiqua" w:hAnsi="Book Antiqua"/>
          <w:i/>
          <w:sz w:val="23"/>
          <w:szCs w:val="23"/>
          <w:lang w:val="en-GB"/>
        </w:rPr>
        <w:t>) In its Resolution of 5 July 2017, the Committee of Ministers of the Council of Europe recommended that the Hungarian authorities continue to improve the dialogue with the Jewish community, making it sustainable, and to give combatting anti-Semitism in public spaces the highest priority, to make sustained efforts to prevent, identify, investigate, prosecute and sanction effectively all racially and ethnically motivated or anti-Semitic acts, including acts of vandalism and hate speech, and to consider amending the law so as to ensure the widest possible legal protection against racist crime.</w:t>
      </w:r>
    </w:p>
    <w:p w14:paraId="78E4A7C5" w14:textId="69DAEF32" w:rsidR="00660031" w:rsidRDefault="00660031">
      <w:pPr>
        <w:rPr>
          <w:rFonts w:ascii="Book Antiqua" w:hAnsi="Book Antiqua"/>
          <w:i/>
          <w:sz w:val="23"/>
          <w:szCs w:val="23"/>
          <w:lang w:val="en-GB"/>
        </w:rPr>
      </w:pPr>
      <w:r>
        <w:rPr>
          <w:rFonts w:ascii="Book Antiqua" w:hAnsi="Book Antiqua"/>
          <w:i/>
          <w:sz w:val="23"/>
          <w:szCs w:val="23"/>
          <w:lang w:val="en-GB"/>
        </w:rPr>
        <w:br w:type="page"/>
      </w:r>
    </w:p>
    <w:p w14:paraId="770529A6" w14:textId="77777777" w:rsidR="00815A80" w:rsidRPr="003E3613" w:rsidRDefault="00815A80"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 xml:space="preserve">The Hungarian government considers the </w:t>
      </w:r>
      <w:r w:rsidR="00033A5E" w:rsidRPr="003E3613">
        <w:rPr>
          <w:rFonts w:ascii="Book Antiqua" w:hAnsi="Book Antiqua"/>
          <w:sz w:val="23"/>
          <w:szCs w:val="23"/>
          <w:lang w:val="en-GB"/>
        </w:rPr>
        <w:t xml:space="preserve">freedom of religion to all </w:t>
      </w:r>
      <w:r w:rsidRPr="003E3613">
        <w:rPr>
          <w:rFonts w:ascii="Book Antiqua" w:hAnsi="Book Antiqua"/>
          <w:sz w:val="23"/>
          <w:szCs w:val="23"/>
          <w:lang w:val="en-GB"/>
        </w:rPr>
        <w:t>a value to be protected</w:t>
      </w:r>
      <w:r w:rsidR="00033A5E" w:rsidRPr="003E3613">
        <w:rPr>
          <w:rFonts w:ascii="Book Antiqua" w:hAnsi="Book Antiqua"/>
          <w:sz w:val="23"/>
          <w:szCs w:val="23"/>
          <w:lang w:val="en-GB"/>
        </w:rPr>
        <w:t>.</w:t>
      </w:r>
      <w:r w:rsidRPr="003E3613">
        <w:rPr>
          <w:rFonts w:ascii="Book Antiqua" w:hAnsi="Book Antiqua"/>
          <w:sz w:val="23"/>
          <w:szCs w:val="23"/>
          <w:lang w:val="en-GB"/>
        </w:rPr>
        <w:t xml:space="preserve"> </w:t>
      </w:r>
      <w:r w:rsidR="00033A5E" w:rsidRPr="003E3613">
        <w:rPr>
          <w:rFonts w:ascii="Book Antiqua" w:hAnsi="Book Antiqua"/>
          <w:sz w:val="23"/>
          <w:szCs w:val="23"/>
          <w:lang w:val="en-GB"/>
        </w:rPr>
        <w:t xml:space="preserve">It is important to highlight that Budapest has </w:t>
      </w:r>
      <w:r w:rsidRPr="003E3613">
        <w:rPr>
          <w:rFonts w:ascii="Book Antiqua" w:hAnsi="Book Antiqua"/>
          <w:sz w:val="23"/>
          <w:szCs w:val="23"/>
          <w:lang w:val="en-GB"/>
        </w:rPr>
        <w:t xml:space="preserve">Europe’s third largest Jewish community and the world’s second largest synagogue. Fortunately, anti-Semitic voices both in the public and in politics are marginalized. </w:t>
      </w:r>
      <w:r w:rsidR="008C62D1" w:rsidRPr="003E3613">
        <w:rPr>
          <w:rFonts w:ascii="Book Antiqua" w:hAnsi="Book Antiqua"/>
          <w:sz w:val="23"/>
          <w:szCs w:val="23"/>
          <w:lang w:val="en-GB"/>
        </w:rPr>
        <w:t xml:space="preserve">Prime Minister </w:t>
      </w:r>
      <w:r w:rsidRPr="003E3613">
        <w:rPr>
          <w:rFonts w:ascii="Book Antiqua" w:hAnsi="Book Antiqua"/>
          <w:sz w:val="23"/>
          <w:szCs w:val="23"/>
          <w:lang w:val="en-GB"/>
        </w:rPr>
        <w:t xml:space="preserve">Viktor Orbán has several times declared a ‘zero tolerance policy’ against anti-Semitism and any incident has been promptly followed by high-level official condemnations. The Hungarian Government has declared zero-tolerance against anti-Semitism and the Jewish community can always rely on the Government’s support and protection. In this spirit, the </w:t>
      </w:r>
      <w:r w:rsidR="00291D73" w:rsidRPr="003E3613">
        <w:rPr>
          <w:rFonts w:ascii="Book Antiqua" w:hAnsi="Book Antiqua"/>
          <w:sz w:val="23"/>
          <w:szCs w:val="23"/>
          <w:lang w:val="en-GB"/>
        </w:rPr>
        <w:t>G</w:t>
      </w:r>
      <w:r w:rsidRPr="003E3613">
        <w:rPr>
          <w:rFonts w:ascii="Book Antiqua" w:hAnsi="Book Antiqua"/>
          <w:sz w:val="23"/>
          <w:szCs w:val="23"/>
          <w:lang w:val="en-GB"/>
        </w:rPr>
        <w:t xml:space="preserve">overnment </w:t>
      </w:r>
      <w:r w:rsidR="00ED1731" w:rsidRPr="003E3613">
        <w:rPr>
          <w:rFonts w:ascii="Book Antiqua" w:hAnsi="Book Antiqua"/>
          <w:sz w:val="23"/>
          <w:szCs w:val="23"/>
          <w:lang w:val="en-GB"/>
        </w:rPr>
        <w:t xml:space="preserve">has successfully organised and donated </w:t>
      </w:r>
      <w:r w:rsidRPr="003E3613">
        <w:rPr>
          <w:rFonts w:ascii="Book Antiqua" w:hAnsi="Book Antiqua"/>
          <w:sz w:val="23"/>
          <w:szCs w:val="23"/>
          <w:lang w:val="en-GB"/>
        </w:rPr>
        <w:t>substantial financial</w:t>
      </w:r>
      <w:r w:rsidR="00B03996" w:rsidRPr="003E3613">
        <w:rPr>
          <w:rFonts w:ascii="Book Antiqua" w:hAnsi="Book Antiqua"/>
          <w:sz w:val="23"/>
          <w:szCs w:val="23"/>
          <w:lang w:val="en-GB"/>
        </w:rPr>
        <w:t xml:space="preserve"> </w:t>
      </w:r>
      <w:r w:rsidR="00ED1731" w:rsidRPr="003E3613">
        <w:rPr>
          <w:rFonts w:ascii="Book Antiqua" w:hAnsi="Book Antiqua"/>
          <w:sz w:val="23"/>
          <w:szCs w:val="23"/>
          <w:lang w:val="en-GB"/>
        </w:rPr>
        <w:t>support for</w:t>
      </w:r>
      <w:r w:rsidRPr="003E3613">
        <w:rPr>
          <w:rFonts w:ascii="Book Antiqua" w:hAnsi="Book Antiqua"/>
          <w:sz w:val="23"/>
          <w:szCs w:val="23"/>
          <w:lang w:val="en-GB"/>
        </w:rPr>
        <w:t xml:space="preserve"> the 2019 European Maccabi Games in Budapest</w:t>
      </w:r>
      <w:r w:rsidR="00ED1731" w:rsidRPr="003E3613">
        <w:rPr>
          <w:rFonts w:ascii="Book Antiqua" w:hAnsi="Book Antiqua"/>
          <w:sz w:val="23"/>
          <w:szCs w:val="23"/>
          <w:lang w:val="en-GB"/>
        </w:rPr>
        <w:t>,</w:t>
      </w:r>
      <w:r w:rsidRPr="003E3613">
        <w:rPr>
          <w:rFonts w:ascii="Book Antiqua" w:hAnsi="Book Antiqua"/>
          <w:sz w:val="23"/>
          <w:szCs w:val="23"/>
          <w:lang w:val="en-GB"/>
        </w:rPr>
        <w:t xml:space="preserve"> and has so far:</w:t>
      </w:r>
    </w:p>
    <w:p w14:paraId="1C1BB387" w14:textId="77777777" w:rsidR="00815A80" w:rsidRPr="003E3613" w:rsidRDefault="00815A80" w:rsidP="00204696">
      <w:pPr>
        <w:numPr>
          <w:ilvl w:val="0"/>
          <w:numId w:val="9"/>
        </w:numPr>
        <w:spacing w:after="0"/>
        <w:jc w:val="both"/>
        <w:rPr>
          <w:rFonts w:ascii="Book Antiqua" w:hAnsi="Book Antiqua"/>
          <w:sz w:val="23"/>
          <w:szCs w:val="23"/>
          <w:lang w:val="en-GB"/>
        </w:rPr>
      </w:pPr>
      <w:r w:rsidRPr="003E3613">
        <w:rPr>
          <w:rFonts w:ascii="Book Antiqua" w:hAnsi="Book Antiqua"/>
          <w:sz w:val="23"/>
          <w:szCs w:val="23"/>
          <w:lang w:val="en-GB"/>
        </w:rPr>
        <w:t>enacted the National Holocaust Remembrance Day in 2000,</w:t>
      </w:r>
    </w:p>
    <w:p w14:paraId="6DC2FD02" w14:textId="77777777" w:rsidR="00815A80" w:rsidRPr="003E3613" w:rsidRDefault="00815A80" w:rsidP="00204696">
      <w:pPr>
        <w:numPr>
          <w:ilvl w:val="0"/>
          <w:numId w:val="9"/>
        </w:numPr>
        <w:spacing w:after="0"/>
        <w:jc w:val="both"/>
        <w:rPr>
          <w:rFonts w:ascii="Book Antiqua" w:hAnsi="Book Antiqua"/>
          <w:sz w:val="23"/>
          <w:szCs w:val="23"/>
          <w:lang w:val="en-GB"/>
        </w:rPr>
      </w:pPr>
      <w:r w:rsidRPr="003E3613">
        <w:rPr>
          <w:rFonts w:ascii="Book Antiqua" w:hAnsi="Book Antiqua"/>
          <w:sz w:val="23"/>
          <w:szCs w:val="23"/>
          <w:lang w:val="en-GB"/>
        </w:rPr>
        <w:t>established the Holocaust Documentation Centre and Memorial Collection in 2002,</w:t>
      </w:r>
    </w:p>
    <w:p w14:paraId="6C71340E" w14:textId="77777777" w:rsidR="00815A80" w:rsidRPr="003E3613" w:rsidRDefault="00815A80" w:rsidP="00204696">
      <w:pPr>
        <w:numPr>
          <w:ilvl w:val="0"/>
          <w:numId w:val="9"/>
        </w:numPr>
        <w:spacing w:after="0"/>
        <w:jc w:val="both"/>
        <w:rPr>
          <w:rFonts w:ascii="Book Antiqua" w:hAnsi="Book Antiqua"/>
          <w:sz w:val="23"/>
          <w:szCs w:val="23"/>
          <w:lang w:val="en-GB"/>
        </w:rPr>
      </w:pPr>
      <w:r w:rsidRPr="003E3613">
        <w:rPr>
          <w:rFonts w:ascii="Book Antiqua" w:hAnsi="Book Antiqua"/>
          <w:sz w:val="23"/>
          <w:szCs w:val="23"/>
          <w:lang w:val="en-GB"/>
        </w:rPr>
        <w:t>ordered that the life annuity of Holocaust survivors shall be raised by 50% in 2012,</w:t>
      </w:r>
    </w:p>
    <w:p w14:paraId="4DE6E084" w14:textId="77777777" w:rsidR="00815A80" w:rsidRPr="003E3613" w:rsidRDefault="00815A80" w:rsidP="00204696">
      <w:pPr>
        <w:numPr>
          <w:ilvl w:val="0"/>
          <w:numId w:val="9"/>
        </w:numPr>
        <w:spacing w:after="0"/>
        <w:jc w:val="both"/>
        <w:rPr>
          <w:rFonts w:ascii="Book Antiqua" w:hAnsi="Book Antiqua"/>
          <w:sz w:val="23"/>
          <w:szCs w:val="23"/>
          <w:lang w:val="en-GB"/>
        </w:rPr>
      </w:pPr>
      <w:r w:rsidRPr="003E3613">
        <w:rPr>
          <w:rFonts w:ascii="Book Antiqua" w:hAnsi="Book Antiqua"/>
          <w:sz w:val="23"/>
          <w:szCs w:val="23"/>
          <w:lang w:val="en-GB"/>
        </w:rPr>
        <w:t>on the 70</w:t>
      </w:r>
      <w:r w:rsidRPr="003E3613">
        <w:rPr>
          <w:rFonts w:ascii="Book Antiqua" w:hAnsi="Book Antiqua"/>
          <w:sz w:val="23"/>
          <w:szCs w:val="23"/>
          <w:vertAlign w:val="superscript"/>
          <w:lang w:val="en-GB"/>
        </w:rPr>
        <w:t>th</w:t>
      </w:r>
      <w:r w:rsidRPr="003E3613">
        <w:rPr>
          <w:rFonts w:ascii="Book Antiqua" w:hAnsi="Book Antiqua"/>
          <w:sz w:val="23"/>
          <w:szCs w:val="23"/>
          <w:lang w:val="en-GB"/>
        </w:rPr>
        <w:t xml:space="preserve"> anniversary of the deportation of Hungarian Jews, established the Hungarian Holocaust – 2014 Memorial Committee in 2013,</w:t>
      </w:r>
    </w:p>
    <w:p w14:paraId="2D40034B" w14:textId="5C66242C" w:rsidR="00815A80" w:rsidRPr="003E3613" w:rsidRDefault="004D57CF" w:rsidP="00204696">
      <w:pPr>
        <w:numPr>
          <w:ilvl w:val="0"/>
          <w:numId w:val="9"/>
        </w:numPr>
        <w:spacing w:after="0"/>
        <w:jc w:val="both"/>
        <w:rPr>
          <w:rFonts w:ascii="Book Antiqua" w:hAnsi="Book Antiqua"/>
          <w:sz w:val="23"/>
          <w:szCs w:val="23"/>
          <w:lang w:val="en-GB"/>
        </w:rPr>
      </w:pPr>
      <w:r w:rsidRPr="003E3613">
        <w:rPr>
          <w:rFonts w:ascii="Book Antiqua" w:hAnsi="Book Antiqua"/>
          <w:sz w:val="23"/>
          <w:szCs w:val="23"/>
          <w:lang w:val="en-GB"/>
        </w:rPr>
        <w:t xml:space="preserve">established a </w:t>
      </w:r>
      <w:r w:rsidR="00815A80" w:rsidRPr="003E3613">
        <w:rPr>
          <w:rFonts w:ascii="Book Antiqua" w:hAnsi="Book Antiqua"/>
          <w:sz w:val="23"/>
          <w:szCs w:val="23"/>
          <w:lang w:val="en-GB"/>
        </w:rPr>
        <w:t>Holocaust Memorial Year in 2014</w:t>
      </w:r>
      <w:r w:rsidR="00012784" w:rsidRPr="003E3613">
        <w:rPr>
          <w:rFonts w:ascii="Book Antiqua" w:hAnsi="Book Antiqua"/>
          <w:sz w:val="23"/>
          <w:szCs w:val="23"/>
          <w:lang w:val="en-GB"/>
        </w:rPr>
        <w:t>,</w:t>
      </w:r>
    </w:p>
    <w:p w14:paraId="0BCB17D6" w14:textId="55869CAD" w:rsidR="00AD57DE" w:rsidRPr="003E3613" w:rsidRDefault="004D57CF" w:rsidP="00204696">
      <w:pPr>
        <w:numPr>
          <w:ilvl w:val="0"/>
          <w:numId w:val="9"/>
        </w:numPr>
        <w:spacing w:after="0"/>
        <w:jc w:val="both"/>
        <w:rPr>
          <w:rFonts w:ascii="Book Antiqua" w:hAnsi="Book Antiqua"/>
          <w:sz w:val="23"/>
          <w:szCs w:val="23"/>
          <w:lang w:val="en-GB"/>
        </w:rPr>
      </w:pPr>
      <w:r w:rsidRPr="003E3613">
        <w:rPr>
          <w:rFonts w:ascii="Book Antiqua" w:hAnsi="Book Antiqua"/>
          <w:sz w:val="23"/>
          <w:szCs w:val="23"/>
          <w:lang w:val="en-GB"/>
        </w:rPr>
        <w:t xml:space="preserve">organised the </w:t>
      </w:r>
      <w:r w:rsidR="00AD57DE" w:rsidRPr="003E3613">
        <w:rPr>
          <w:rFonts w:ascii="Book Antiqua" w:hAnsi="Book Antiqua"/>
          <w:sz w:val="23"/>
          <w:szCs w:val="23"/>
          <w:lang w:val="en-GB"/>
        </w:rPr>
        <w:t>Israeli-Hungarian ministries of justice conference on the eradication of hate speech online in 2016.</w:t>
      </w:r>
    </w:p>
    <w:p w14:paraId="095E1A14" w14:textId="77777777" w:rsidR="00815A80" w:rsidRPr="003E3613" w:rsidRDefault="00815A80" w:rsidP="00204696">
      <w:pPr>
        <w:spacing w:after="0"/>
        <w:jc w:val="both"/>
        <w:rPr>
          <w:rFonts w:ascii="Book Antiqua" w:hAnsi="Book Antiqua"/>
          <w:sz w:val="23"/>
          <w:szCs w:val="23"/>
          <w:lang w:val="en-GB"/>
        </w:rPr>
      </w:pPr>
    </w:p>
    <w:p w14:paraId="7A1B209E" w14:textId="77777777" w:rsidR="00815A80" w:rsidRPr="003E3613" w:rsidRDefault="00815A80" w:rsidP="00204696">
      <w:pPr>
        <w:spacing w:after="0"/>
        <w:jc w:val="both"/>
        <w:rPr>
          <w:rFonts w:ascii="Book Antiqua" w:hAnsi="Book Antiqua"/>
          <w:sz w:val="23"/>
          <w:szCs w:val="23"/>
          <w:lang w:val="en-GB"/>
        </w:rPr>
      </w:pPr>
      <w:r w:rsidRPr="003E3613">
        <w:rPr>
          <w:rFonts w:ascii="Book Antiqua" w:hAnsi="Book Antiqua"/>
          <w:sz w:val="23"/>
          <w:szCs w:val="23"/>
          <w:lang w:val="en-GB"/>
        </w:rPr>
        <w:t>It was largely due to the Hungarian Government’s firm stance against anti-Semitism that by the unanimous decision of 31 countries, Hungary was awarded the chairmanship of the International Holocaust Remembrance Alliance (IHRA) in 2015-2016</w:t>
      </w:r>
      <w:r w:rsidRPr="003E3613" w:rsidDel="002049FA">
        <w:rPr>
          <w:rFonts w:ascii="Book Antiqua" w:hAnsi="Book Antiqua"/>
          <w:sz w:val="23"/>
          <w:szCs w:val="23"/>
          <w:lang w:val="en-GB"/>
        </w:rPr>
        <w:t xml:space="preserve"> </w:t>
      </w:r>
      <w:r w:rsidRPr="003E3613">
        <w:rPr>
          <w:rFonts w:ascii="Book Antiqua" w:hAnsi="Book Antiqua"/>
          <w:sz w:val="23"/>
          <w:szCs w:val="23"/>
          <w:lang w:val="en-GB"/>
        </w:rPr>
        <w:t>with a high international recognition of Jewish and non-Jewish organisations and personalities. IHRA is the sole international organisation that is dealing with the remembrance, education and research of the Holocaust and the era that led to it. It h</w:t>
      </w:r>
      <w:r w:rsidR="007B606E" w:rsidRPr="003E3613">
        <w:rPr>
          <w:rFonts w:ascii="Book Antiqua" w:hAnsi="Book Antiqua"/>
          <w:sz w:val="23"/>
          <w:szCs w:val="23"/>
          <w:lang w:val="en-GB"/>
        </w:rPr>
        <w:t>as 31 members (including 25 EU M</w:t>
      </w:r>
      <w:r w:rsidRPr="003E3613">
        <w:rPr>
          <w:rFonts w:ascii="Book Antiqua" w:hAnsi="Book Antiqua"/>
          <w:sz w:val="23"/>
          <w:szCs w:val="23"/>
          <w:lang w:val="en-GB"/>
        </w:rPr>
        <w:t xml:space="preserve">ember </w:t>
      </w:r>
      <w:r w:rsidR="007B606E" w:rsidRPr="003E3613">
        <w:rPr>
          <w:rFonts w:ascii="Book Antiqua" w:hAnsi="Book Antiqua"/>
          <w:sz w:val="23"/>
          <w:szCs w:val="23"/>
          <w:lang w:val="en-GB"/>
        </w:rPr>
        <w:t>S</w:t>
      </w:r>
      <w:r w:rsidRPr="003E3613">
        <w:rPr>
          <w:rFonts w:ascii="Book Antiqua" w:hAnsi="Book Antiqua"/>
          <w:sz w:val="23"/>
          <w:szCs w:val="23"/>
          <w:lang w:val="en-GB"/>
        </w:rPr>
        <w:t>tates), 9 observer countries and several international partners (</w:t>
      </w:r>
      <w:r w:rsidR="00522CE5" w:rsidRPr="003E3613">
        <w:rPr>
          <w:rFonts w:ascii="Book Antiqua" w:hAnsi="Book Antiqua"/>
          <w:sz w:val="23"/>
          <w:szCs w:val="23"/>
          <w:lang w:val="en-GB"/>
        </w:rPr>
        <w:t>e.g.</w:t>
      </w:r>
      <w:r w:rsidRPr="003E3613">
        <w:rPr>
          <w:rFonts w:ascii="Book Antiqua" w:hAnsi="Book Antiqua"/>
          <w:sz w:val="23"/>
          <w:szCs w:val="23"/>
          <w:lang w:val="en-GB"/>
        </w:rPr>
        <w:t xml:space="preserve"> the UN, OSCE ODIHR etc.). </w:t>
      </w:r>
    </w:p>
    <w:p w14:paraId="7DBF45CE" w14:textId="77777777" w:rsidR="00815A80" w:rsidRPr="003E3613" w:rsidRDefault="00815A80" w:rsidP="00204696">
      <w:pPr>
        <w:spacing w:after="0"/>
        <w:jc w:val="both"/>
        <w:rPr>
          <w:rFonts w:ascii="Book Antiqua" w:eastAsia="Times New Roman" w:hAnsi="Book Antiqua"/>
          <w:color w:val="000000"/>
          <w:sz w:val="23"/>
          <w:szCs w:val="23"/>
          <w:lang w:val="en-GB"/>
        </w:rPr>
      </w:pPr>
    </w:p>
    <w:p w14:paraId="2DE5EC25" w14:textId="77777777" w:rsidR="00815A80" w:rsidRPr="003E3613" w:rsidRDefault="00815A80" w:rsidP="00204696">
      <w:pPr>
        <w:spacing w:after="0"/>
        <w:jc w:val="both"/>
        <w:rPr>
          <w:rFonts w:ascii="Book Antiqua" w:hAnsi="Book Antiqua"/>
          <w:sz w:val="23"/>
          <w:szCs w:val="23"/>
          <w:lang w:val="en-GB"/>
        </w:rPr>
      </w:pPr>
      <w:r w:rsidRPr="003E3613">
        <w:rPr>
          <w:rFonts w:ascii="Book Antiqua" w:eastAsia="Times New Roman" w:hAnsi="Book Antiqua"/>
          <w:color w:val="000000"/>
          <w:sz w:val="23"/>
          <w:szCs w:val="23"/>
          <w:lang w:val="en-GB"/>
        </w:rPr>
        <w:t xml:space="preserve">As a result of the Chairmanship’s year-long endeavours and lobbying in EU institutions, EU and IHRA member states, the EU’s </w:t>
      </w:r>
      <w:r w:rsidR="00AD4D76" w:rsidRPr="003E3613">
        <w:rPr>
          <w:rFonts w:ascii="Book Antiqua" w:eastAsia="Times New Roman" w:hAnsi="Book Antiqua"/>
          <w:color w:val="000000"/>
          <w:sz w:val="23"/>
          <w:szCs w:val="23"/>
          <w:lang w:val="en-GB"/>
        </w:rPr>
        <w:t xml:space="preserve">draft </w:t>
      </w:r>
      <w:r w:rsidRPr="003E3613">
        <w:rPr>
          <w:rFonts w:ascii="Book Antiqua" w:eastAsia="Times New Roman" w:hAnsi="Book Antiqua"/>
          <w:color w:val="000000"/>
          <w:sz w:val="23"/>
          <w:szCs w:val="23"/>
          <w:lang w:val="en-GB"/>
        </w:rPr>
        <w:t xml:space="preserve">data protection legislation was amended in line with IHRA commitments. </w:t>
      </w:r>
      <w:r w:rsidRPr="003E3613">
        <w:rPr>
          <w:rFonts w:ascii="Book Antiqua" w:hAnsi="Book Antiqua"/>
          <w:sz w:val="23"/>
          <w:szCs w:val="23"/>
          <w:lang w:val="en-GB"/>
        </w:rPr>
        <w:t xml:space="preserve">Now the text of the EU’s General Data Protection Regulation (GDPR) includes a specific reference to the Holocaust, which ensures researchers free access to Holocaust-related materials throughout the European Union thereby making sure that the Holocaust does not get forgotten – which was not the case with the original text. </w:t>
      </w:r>
      <w:r w:rsidRPr="003E3613">
        <w:rPr>
          <w:rFonts w:ascii="Book Antiqua" w:eastAsia="Times New Roman" w:hAnsi="Book Antiqua"/>
          <w:color w:val="000000"/>
          <w:sz w:val="23"/>
          <w:szCs w:val="23"/>
          <w:lang w:val="en-GB"/>
        </w:rPr>
        <w:t xml:space="preserve">This achievement was commended by governments, experts and Jewish </w:t>
      </w:r>
      <w:r w:rsidR="00BD0A8B" w:rsidRPr="003E3613">
        <w:rPr>
          <w:rFonts w:ascii="Book Antiqua" w:eastAsia="Times New Roman" w:hAnsi="Book Antiqua"/>
          <w:color w:val="000000"/>
          <w:sz w:val="23"/>
          <w:szCs w:val="23"/>
          <w:lang w:val="en-GB"/>
        </w:rPr>
        <w:t>organisation</w:t>
      </w:r>
      <w:r w:rsidRPr="003E3613">
        <w:rPr>
          <w:rFonts w:ascii="Book Antiqua" w:eastAsia="Times New Roman" w:hAnsi="Book Antiqua"/>
          <w:color w:val="000000"/>
          <w:sz w:val="23"/>
          <w:szCs w:val="23"/>
          <w:lang w:val="en-GB"/>
        </w:rPr>
        <w:t xml:space="preserve">s from all over the world as a unique success in the past 15 years’ history of IHRA in safeguarding the free access to documents bearing on the Holocaust. This issue showed the core of international cooperation and solidarity which the IHRA community proved to be apt and ready for, when an essential element of Holocaust research was at risk. </w:t>
      </w:r>
    </w:p>
    <w:p w14:paraId="68A1081A" w14:textId="77777777" w:rsidR="00815A80" w:rsidRPr="003E3613" w:rsidRDefault="00815A80" w:rsidP="00204696">
      <w:pPr>
        <w:spacing w:after="0"/>
        <w:jc w:val="both"/>
        <w:rPr>
          <w:rFonts w:ascii="Book Antiqua" w:hAnsi="Book Antiqua"/>
          <w:sz w:val="23"/>
          <w:szCs w:val="23"/>
          <w:lang w:val="en-GB"/>
        </w:rPr>
      </w:pPr>
    </w:p>
    <w:p w14:paraId="04C0C449" w14:textId="77777777" w:rsidR="00815A80" w:rsidRPr="003E3613" w:rsidRDefault="00815A80" w:rsidP="00204696">
      <w:pPr>
        <w:tabs>
          <w:tab w:val="right" w:pos="0"/>
        </w:tabs>
        <w:suppressAutoHyphens/>
        <w:spacing w:after="0"/>
        <w:jc w:val="both"/>
        <w:rPr>
          <w:rFonts w:ascii="Book Antiqua" w:eastAsia="Times New Roman" w:hAnsi="Book Antiqua"/>
          <w:sz w:val="23"/>
          <w:szCs w:val="23"/>
          <w:lang w:val="en-GB"/>
        </w:rPr>
      </w:pPr>
      <w:r w:rsidRPr="003E3613">
        <w:rPr>
          <w:rFonts w:ascii="Book Antiqua" w:eastAsia="Droid Sans Fallback" w:hAnsi="Book Antiqua" w:cs="Times New Roman"/>
          <w:bCs/>
          <w:sz w:val="23"/>
          <w:szCs w:val="23"/>
          <w:lang w:val="en-GB" w:bidi="he-IL"/>
        </w:rPr>
        <w:t xml:space="preserve">We managed to adopt and apply all major IHRA-standards in Holocaust-related education, remembrance and research, and international standards in the fight against </w:t>
      </w:r>
      <w:r w:rsidR="00ED1731" w:rsidRPr="003E3613">
        <w:rPr>
          <w:rFonts w:ascii="Book Antiqua" w:eastAsia="Droid Sans Fallback" w:hAnsi="Book Antiqua" w:cs="Times New Roman"/>
          <w:bCs/>
          <w:sz w:val="23"/>
          <w:szCs w:val="23"/>
          <w:lang w:val="en-GB" w:bidi="he-IL"/>
        </w:rPr>
        <w:t>a</w:t>
      </w:r>
      <w:r w:rsidRPr="003E3613">
        <w:rPr>
          <w:rFonts w:ascii="Book Antiqua" w:eastAsia="Droid Sans Fallback" w:hAnsi="Book Antiqua" w:cs="Times New Roman"/>
          <w:bCs/>
          <w:sz w:val="23"/>
          <w:szCs w:val="23"/>
          <w:lang w:val="en-GB" w:bidi="he-IL"/>
        </w:rPr>
        <w:t xml:space="preserve">ntisemitism. </w:t>
      </w:r>
      <w:r w:rsidR="00ED1731" w:rsidRPr="003E3613">
        <w:rPr>
          <w:rFonts w:ascii="Book Antiqua" w:eastAsia="Droid Sans Fallback" w:hAnsi="Book Antiqua" w:cs="Times New Roman"/>
          <w:bCs/>
          <w:sz w:val="23"/>
          <w:szCs w:val="23"/>
          <w:lang w:val="en-GB" w:bidi="he-IL"/>
        </w:rPr>
        <w:t xml:space="preserve">In fact, a government decree was passed in 2019 on the promotion of the definition of antisemitism, as defined by the IHRA, in the spheres of education, law enforcement and the </w:t>
      </w:r>
      <w:r w:rsidR="00ED1731" w:rsidRPr="003E3613">
        <w:rPr>
          <w:rFonts w:ascii="Book Antiqua" w:eastAsia="Droid Sans Fallback" w:hAnsi="Book Antiqua" w:cs="Times New Roman"/>
          <w:bCs/>
          <w:sz w:val="23"/>
          <w:szCs w:val="23"/>
          <w:lang w:val="en-GB" w:bidi="he-IL"/>
        </w:rPr>
        <w:lastRenderedPageBreak/>
        <w:t xml:space="preserve">judicial system. </w:t>
      </w:r>
      <w:r w:rsidRPr="003E3613">
        <w:rPr>
          <w:rFonts w:ascii="Book Antiqua" w:hAnsi="Book Antiqua" w:cs="Times New Roman"/>
          <w:sz w:val="23"/>
          <w:szCs w:val="23"/>
          <w:lang w:val="en-GB"/>
        </w:rPr>
        <w:t>We believe education can contribute the most to establishing a way of thinking that prevents people from acting and speaking with hatred against groups of people different from them.</w:t>
      </w:r>
      <w:r w:rsidRPr="003E3613">
        <w:rPr>
          <w:rFonts w:ascii="Book Antiqua" w:eastAsia="Droid Sans Fallback" w:hAnsi="Book Antiqua" w:cs="Times New Roman"/>
          <w:bCs/>
          <w:sz w:val="23"/>
          <w:szCs w:val="23"/>
          <w:lang w:val="en-GB" w:bidi="he-IL"/>
        </w:rPr>
        <w:t xml:space="preserve"> </w:t>
      </w:r>
      <w:r w:rsidRPr="003E3613">
        <w:rPr>
          <w:rFonts w:ascii="Book Antiqua" w:eastAsia="Times New Roman" w:hAnsi="Book Antiqua"/>
          <w:sz w:val="23"/>
          <w:szCs w:val="23"/>
          <w:lang w:val="en-GB"/>
        </w:rPr>
        <w:t>In Hungary, a consultation mechanism with the education experts of the Jewish communities on how to include the Holocaust in curricula was elaborated and put into practice.</w:t>
      </w:r>
      <w:r w:rsidRPr="003E3613">
        <w:rPr>
          <w:rFonts w:ascii="Book Antiqua" w:hAnsi="Book Antiqua"/>
          <w:b/>
          <w:sz w:val="23"/>
          <w:szCs w:val="23"/>
          <w:lang w:val="en-GB"/>
        </w:rPr>
        <w:t xml:space="preserve"> </w:t>
      </w:r>
      <w:r w:rsidRPr="003E3613">
        <w:rPr>
          <w:rFonts w:ascii="Book Antiqua" w:eastAsia="Times New Roman" w:hAnsi="Book Antiqua"/>
          <w:sz w:val="23"/>
          <w:szCs w:val="23"/>
          <w:lang w:val="en-GB"/>
        </w:rPr>
        <w:t xml:space="preserve">It is worth noting that a Hungarian </w:t>
      </w:r>
      <w:r w:rsidR="000C580E" w:rsidRPr="003E3613">
        <w:rPr>
          <w:rFonts w:ascii="Book Antiqua" w:eastAsia="Times New Roman" w:hAnsi="Book Antiqua"/>
          <w:sz w:val="23"/>
          <w:szCs w:val="23"/>
          <w:lang w:val="en-GB"/>
        </w:rPr>
        <w:t>u</w:t>
      </w:r>
      <w:r w:rsidRPr="003E3613">
        <w:rPr>
          <w:rFonts w:ascii="Book Antiqua" w:eastAsia="Times New Roman" w:hAnsi="Book Antiqua"/>
          <w:sz w:val="23"/>
          <w:szCs w:val="23"/>
          <w:lang w:val="en-GB"/>
        </w:rPr>
        <w:t xml:space="preserve">niversity, </w:t>
      </w:r>
      <w:r w:rsidR="000C580E" w:rsidRPr="003E3613">
        <w:rPr>
          <w:rFonts w:ascii="Book Antiqua" w:eastAsia="Times New Roman" w:hAnsi="Book Antiqua"/>
          <w:sz w:val="23"/>
          <w:szCs w:val="23"/>
          <w:lang w:val="en-GB"/>
        </w:rPr>
        <w:t xml:space="preserve">the </w:t>
      </w:r>
      <w:r w:rsidR="00522CE5" w:rsidRPr="003E3613">
        <w:rPr>
          <w:rFonts w:ascii="Book Antiqua" w:eastAsia="Times New Roman" w:hAnsi="Book Antiqua"/>
          <w:sz w:val="23"/>
          <w:szCs w:val="23"/>
          <w:lang w:val="en-GB"/>
        </w:rPr>
        <w:t xml:space="preserve">Pázmány </w:t>
      </w:r>
      <w:r w:rsidRPr="003E3613">
        <w:rPr>
          <w:rFonts w:ascii="Book Antiqua" w:eastAsia="Times New Roman" w:hAnsi="Book Antiqua"/>
          <w:sz w:val="23"/>
          <w:szCs w:val="23"/>
          <w:lang w:val="en-GB"/>
        </w:rPr>
        <w:t xml:space="preserve">Péter </w:t>
      </w:r>
      <w:r w:rsidR="00B3605A" w:rsidRPr="003E3613">
        <w:rPr>
          <w:rFonts w:ascii="Book Antiqua" w:eastAsia="Times New Roman" w:hAnsi="Book Antiqua"/>
          <w:sz w:val="23"/>
          <w:szCs w:val="23"/>
          <w:lang w:val="en-GB"/>
        </w:rPr>
        <w:t xml:space="preserve">Catholic University </w:t>
      </w:r>
      <w:r w:rsidRPr="003E3613">
        <w:rPr>
          <w:rFonts w:ascii="Book Antiqua" w:eastAsia="Times New Roman" w:hAnsi="Book Antiqua"/>
          <w:sz w:val="23"/>
          <w:szCs w:val="23"/>
          <w:lang w:val="en-GB"/>
        </w:rPr>
        <w:t>in Budapest introduced Holocaust studies as a mandatory subject for students aiming at a diploma.</w:t>
      </w:r>
    </w:p>
    <w:p w14:paraId="7236DB24" w14:textId="77777777" w:rsidR="00B368AF" w:rsidRPr="003E3613" w:rsidRDefault="00B368AF" w:rsidP="00204696">
      <w:pPr>
        <w:tabs>
          <w:tab w:val="right" w:pos="0"/>
        </w:tabs>
        <w:suppressAutoHyphens/>
        <w:spacing w:after="0"/>
        <w:jc w:val="both"/>
        <w:rPr>
          <w:rFonts w:ascii="Book Antiqua" w:eastAsia="Times New Roman" w:hAnsi="Book Antiqua"/>
          <w:sz w:val="23"/>
          <w:szCs w:val="23"/>
          <w:lang w:val="en-GB"/>
        </w:rPr>
      </w:pPr>
    </w:p>
    <w:p w14:paraId="3D81DDE1" w14:textId="77777777" w:rsidR="00B368AF" w:rsidRPr="003E3613" w:rsidRDefault="00B368AF" w:rsidP="00204696">
      <w:pPr>
        <w:tabs>
          <w:tab w:val="right" w:pos="0"/>
        </w:tabs>
        <w:suppressAutoHyphens/>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The Hungarian Government agrees with the fact that the definition of antisemitism adopted in the framework of IHRA is appropriate for fight against antisemitism. Therefore in its decision adopted in 2019, the Government calls the Minister of Justice to – with the involvement of </w:t>
      </w:r>
      <w:r w:rsidR="00246315" w:rsidRPr="003E3613">
        <w:rPr>
          <w:rFonts w:ascii="Book Antiqua" w:hAnsi="Book Antiqua" w:cs="Times New Roman"/>
          <w:sz w:val="23"/>
          <w:szCs w:val="23"/>
          <w:lang w:val="en-GB"/>
        </w:rPr>
        <w:t xml:space="preserve">the </w:t>
      </w:r>
      <w:r w:rsidRPr="003E3613">
        <w:rPr>
          <w:rFonts w:ascii="Book Antiqua" w:hAnsi="Book Antiqua" w:cs="Times New Roman"/>
          <w:sz w:val="23"/>
          <w:szCs w:val="23"/>
          <w:lang w:val="en-GB"/>
        </w:rPr>
        <w:t xml:space="preserve">Thematic Working Group Responsible for the Freedom of Opinion of the Human Rights Roundtable – examine the possible application of this definition. The Thematic Working Group held a meeting on 26 March 2019 and made a comprehensive report on its conclusions which was submitted to the Government for further consideration. This report covers the examination of the criminal, civil and media law and concludes that the legislation provides appropriate guarantees for fighting against hate speech and hate crimes. </w:t>
      </w:r>
    </w:p>
    <w:p w14:paraId="3A29C67F" w14:textId="77777777" w:rsidR="00815A80" w:rsidRPr="003E3613" w:rsidRDefault="00815A80" w:rsidP="00204696">
      <w:pPr>
        <w:tabs>
          <w:tab w:val="right" w:pos="0"/>
        </w:tabs>
        <w:suppressAutoHyphens/>
        <w:spacing w:after="0"/>
        <w:jc w:val="both"/>
        <w:rPr>
          <w:rFonts w:ascii="Book Antiqua" w:hAnsi="Book Antiqua" w:cs="Times New Roman"/>
          <w:sz w:val="23"/>
          <w:szCs w:val="23"/>
          <w:lang w:val="en-GB"/>
        </w:rPr>
      </w:pPr>
    </w:p>
    <w:p w14:paraId="6FB0D418" w14:textId="77777777" w:rsidR="00815A80" w:rsidRPr="003E3613" w:rsidRDefault="00815A80" w:rsidP="00204696">
      <w:pPr>
        <w:tabs>
          <w:tab w:val="right" w:pos="0"/>
        </w:tabs>
        <w:autoSpaceDE w:val="0"/>
        <w:autoSpaceDN w:val="0"/>
        <w:adjustRightInd w:val="0"/>
        <w:spacing w:after="0"/>
        <w:jc w:val="both"/>
        <w:rPr>
          <w:rFonts w:ascii="Book Antiqua" w:hAnsi="Book Antiqua" w:cs="Times New Roman"/>
          <w:b/>
          <w:color w:val="000000"/>
          <w:sz w:val="23"/>
          <w:szCs w:val="23"/>
          <w:lang w:val="en-GB"/>
        </w:rPr>
      </w:pPr>
      <w:r w:rsidRPr="003E3613">
        <w:rPr>
          <w:rFonts w:ascii="Book Antiqua" w:hAnsi="Book Antiqua" w:cs="Times New Roman"/>
          <w:color w:val="000000"/>
          <w:sz w:val="23"/>
          <w:szCs w:val="23"/>
          <w:lang w:val="en-GB"/>
        </w:rPr>
        <w:t xml:space="preserve">Within the framework of the Hungarian Holocaust Memorial Year program of 2014 the reconstruction of synagogues </w:t>
      </w:r>
      <w:r w:rsidRPr="003E3613">
        <w:rPr>
          <w:rFonts w:ascii="Book Antiqua" w:hAnsi="Book Antiqua" w:cs="Times New Roman"/>
          <w:i/>
          <w:color w:val="000000"/>
          <w:sz w:val="23"/>
          <w:szCs w:val="23"/>
          <w:lang w:val="en-GB"/>
        </w:rPr>
        <w:t>(</w:t>
      </w:r>
      <w:r w:rsidRPr="003E3613">
        <w:rPr>
          <w:rFonts w:ascii="Book Antiqua" w:hAnsi="Book Antiqua" w:cs="Times New Roman"/>
          <w:color w:val="000000"/>
          <w:sz w:val="23"/>
          <w:szCs w:val="23"/>
          <w:lang w:val="en-GB"/>
        </w:rPr>
        <w:t xml:space="preserve">Kőszeg, Szabadka, Miskolc, Szeged, Budapest-Rumbach Sebestyén </w:t>
      </w:r>
      <w:r w:rsidR="000C580E" w:rsidRPr="003E3613">
        <w:rPr>
          <w:rFonts w:ascii="Book Antiqua" w:hAnsi="Book Antiqua" w:cs="Times New Roman"/>
          <w:color w:val="000000"/>
          <w:sz w:val="23"/>
          <w:szCs w:val="23"/>
          <w:lang w:val="en-GB"/>
        </w:rPr>
        <w:t>S</w:t>
      </w:r>
      <w:r w:rsidRPr="003E3613">
        <w:rPr>
          <w:rFonts w:ascii="Book Antiqua" w:hAnsi="Book Antiqua" w:cs="Times New Roman"/>
          <w:color w:val="000000"/>
          <w:sz w:val="23"/>
          <w:szCs w:val="23"/>
          <w:lang w:val="en-GB"/>
        </w:rPr>
        <w:t xml:space="preserve">treet) started in 2014 which is continued within a comprehensive restoration program of 2014-2019. In 2015 EUR 14.5 million </w:t>
      </w:r>
      <w:r w:rsidR="005E3CC9" w:rsidRPr="003E3613">
        <w:rPr>
          <w:rFonts w:ascii="Book Antiqua" w:hAnsi="Book Antiqua" w:cs="Times New Roman"/>
          <w:color w:val="000000"/>
          <w:sz w:val="23"/>
          <w:szCs w:val="23"/>
          <w:lang w:val="en-GB"/>
        </w:rPr>
        <w:t xml:space="preserve">was </w:t>
      </w:r>
      <w:r w:rsidRPr="003E3613">
        <w:rPr>
          <w:rFonts w:ascii="Book Antiqua" w:hAnsi="Book Antiqua" w:cs="Times New Roman"/>
          <w:color w:val="000000"/>
          <w:sz w:val="23"/>
          <w:szCs w:val="23"/>
          <w:lang w:val="en-GB"/>
        </w:rPr>
        <w:t xml:space="preserve">allocated for this project. In the framework of this program </w:t>
      </w:r>
      <w:r w:rsidRPr="003E3613">
        <w:rPr>
          <w:rFonts w:ascii="Book Antiqua" w:hAnsi="Book Antiqua"/>
          <w:sz w:val="23"/>
          <w:szCs w:val="23"/>
          <w:lang w:val="en-GB"/>
        </w:rPr>
        <w:t>in the city of Subotica/Szabadka on March 26, 2018 Prime Minister Orbán and the President of Serbia Aleksandar Vučić jointly inaugurated the city’s newly renovated synagogue.</w:t>
      </w:r>
    </w:p>
    <w:p w14:paraId="6DC59460" w14:textId="77777777" w:rsidR="00815A80" w:rsidRPr="003E3613" w:rsidRDefault="00815A80" w:rsidP="00204696">
      <w:pPr>
        <w:spacing w:after="0"/>
        <w:jc w:val="both"/>
        <w:rPr>
          <w:rFonts w:ascii="Book Antiqua" w:hAnsi="Book Antiqua"/>
          <w:sz w:val="23"/>
          <w:szCs w:val="23"/>
          <w:lang w:val="en-GB"/>
        </w:rPr>
      </w:pPr>
    </w:p>
    <w:p w14:paraId="4FDA2A39" w14:textId="338D51C0" w:rsidR="00815A80" w:rsidRPr="003E3613" w:rsidRDefault="004D57CF" w:rsidP="00204696">
      <w:pPr>
        <w:tabs>
          <w:tab w:val="right" w:pos="0"/>
        </w:tabs>
        <w:autoSpaceDE w:val="0"/>
        <w:autoSpaceDN w:val="0"/>
        <w:adjustRightInd w:val="0"/>
        <w:spacing w:after="0"/>
        <w:jc w:val="both"/>
        <w:rPr>
          <w:rFonts w:ascii="Book Antiqua" w:hAnsi="Book Antiqua" w:cs="Times New Roman"/>
          <w:color w:val="000000"/>
          <w:sz w:val="23"/>
          <w:szCs w:val="23"/>
          <w:lang w:val="en-GB"/>
        </w:rPr>
      </w:pPr>
      <w:r w:rsidRPr="003E3613">
        <w:rPr>
          <w:rFonts w:ascii="Book Antiqua" w:hAnsi="Book Antiqua" w:cs="Times New Roman"/>
          <w:color w:val="000000"/>
          <w:sz w:val="23"/>
          <w:szCs w:val="23"/>
          <w:lang w:val="en-GB"/>
        </w:rPr>
        <w:t>I</w:t>
      </w:r>
      <w:r w:rsidR="00815A80" w:rsidRPr="003E3613">
        <w:rPr>
          <w:rFonts w:ascii="Book Antiqua" w:hAnsi="Book Antiqua" w:cs="Times New Roman"/>
          <w:color w:val="000000"/>
          <w:sz w:val="23"/>
          <w:szCs w:val="23"/>
          <w:lang w:val="en-GB"/>
        </w:rPr>
        <w:t xml:space="preserve">n 2014 the Government tasked with the elaboration of a comprehensive program for the restoration of Jewish cemeteries with the involvement of local students, schools, local self-governments, civil </w:t>
      </w:r>
      <w:r w:rsidR="00BD0A8B" w:rsidRPr="003E3613">
        <w:rPr>
          <w:rFonts w:ascii="Book Antiqua" w:hAnsi="Book Antiqua" w:cs="Times New Roman"/>
          <w:color w:val="000000"/>
          <w:sz w:val="23"/>
          <w:szCs w:val="23"/>
          <w:lang w:val="en-GB"/>
        </w:rPr>
        <w:t>organisation</w:t>
      </w:r>
      <w:r w:rsidR="00815A80" w:rsidRPr="003E3613">
        <w:rPr>
          <w:rFonts w:ascii="Book Antiqua" w:hAnsi="Book Antiqua" w:cs="Times New Roman"/>
          <w:color w:val="000000"/>
          <w:sz w:val="23"/>
          <w:szCs w:val="23"/>
          <w:lang w:val="en-GB"/>
        </w:rPr>
        <w:t>s, public service and churches. The government allocated EUR 3</w:t>
      </w:r>
      <w:r w:rsidR="00010AA7" w:rsidRPr="003E3613">
        <w:rPr>
          <w:rFonts w:ascii="Book Antiqua" w:hAnsi="Book Antiqua" w:cs="Times New Roman"/>
          <w:color w:val="000000"/>
          <w:sz w:val="23"/>
          <w:szCs w:val="23"/>
          <w:lang w:val="en-GB"/>
        </w:rPr>
        <w:t>.</w:t>
      </w:r>
      <w:r w:rsidR="00815A80" w:rsidRPr="003E3613">
        <w:rPr>
          <w:rFonts w:ascii="Book Antiqua" w:hAnsi="Book Antiqua" w:cs="Times New Roman"/>
          <w:color w:val="000000"/>
          <w:sz w:val="23"/>
          <w:szCs w:val="23"/>
          <w:lang w:val="en-GB"/>
        </w:rPr>
        <w:t xml:space="preserve">3 million for this project, which </w:t>
      </w:r>
      <w:r w:rsidR="00ED1731" w:rsidRPr="003E3613">
        <w:rPr>
          <w:rFonts w:ascii="Book Antiqua" w:hAnsi="Book Antiqua" w:cs="Times New Roman"/>
          <w:color w:val="000000"/>
          <w:sz w:val="23"/>
          <w:szCs w:val="23"/>
          <w:lang w:val="en-GB"/>
        </w:rPr>
        <w:t xml:space="preserve">was </w:t>
      </w:r>
      <w:r w:rsidR="00815A80" w:rsidRPr="003E3613">
        <w:rPr>
          <w:rFonts w:ascii="Book Antiqua" w:hAnsi="Book Antiqua" w:cs="Times New Roman"/>
          <w:color w:val="000000"/>
          <w:sz w:val="23"/>
          <w:szCs w:val="23"/>
          <w:lang w:val="en-GB"/>
        </w:rPr>
        <w:t xml:space="preserve">a multi-year program. </w:t>
      </w:r>
      <w:r w:rsidR="00ED1731" w:rsidRPr="003E3613">
        <w:rPr>
          <w:rFonts w:ascii="Book Antiqua" w:hAnsi="Book Antiqua" w:cs="Times New Roman"/>
          <w:color w:val="000000"/>
          <w:sz w:val="23"/>
          <w:szCs w:val="23"/>
          <w:lang w:val="en-GB"/>
        </w:rPr>
        <w:t>The restoration program of Jewish cemetaries has come to its second phase in 2020; the Government has assigned EUR 1</w:t>
      </w:r>
      <w:r w:rsidR="00B03996" w:rsidRPr="003E3613">
        <w:rPr>
          <w:rFonts w:ascii="Book Antiqua" w:hAnsi="Book Antiqua" w:cs="Times New Roman"/>
          <w:color w:val="000000"/>
          <w:sz w:val="23"/>
          <w:szCs w:val="23"/>
          <w:lang w:val="en-GB"/>
        </w:rPr>
        <w:t>.</w:t>
      </w:r>
      <w:r w:rsidR="00ED1731" w:rsidRPr="003E3613">
        <w:rPr>
          <w:rFonts w:ascii="Book Antiqua" w:hAnsi="Book Antiqua" w:cs="Times New Roman"/>
          <w:color w:val="000000"/>
          <w:sz w:val="23"/>
          <w:szCs w:val="23"/>
          <w:lang w:val="en-GB"/>
        </w:rPr>
        <w:t>7 million</w:t>
      </w:r>
      <w:r w:rsidR="00ED1731" w:rsidRPr="003E3613">
        <w:rPr>
          <w:rFonts w:ascii="Book Antiqua" w:hAnsi="Book Antiqua"/>
          <w:sz w:val="23"/>
          <w:szCs w:val="23"/>
          <w:lang w:val="en-GB"/>
        </w:rPr>
        <w:t xml:space="preserve"> for the reconstruction of Jewish cemetaries, graveyards or burial sites, to protect the cemetaries</w:t>
      </w:r>
      <w:r w:rsidR="00B03996" w:rsidRPr="003E3613">
        <w:rPr>
          <w:rFonts w:ascii="Book Antiqua" w:hAnsi="Book Antiqua"/>
          <w:sz w:val="23"/>
          <w:szCs w:val="23"/>
          <w:lang w:val="en-GB"/>
        </w:rPr>
        <w:t>,</w:t>
      </w:r>
      <w:r w:rsidR="00ED1731" w:rsidRPr="003E3613">
        <w:rPr>
          <w:rFonts w:ascii="Book Antiqua" w:hAnsi="Book Antiqua"/>
          <w:sz w:val="23"/>
          <w:szCs w:val="23"/>
          <w:lang w:val="en-GB"/>
        </w:rPr>
        <w:t xml:space="preserve"> as well as</w:t>
      </w:r>
      <w:r w:rsidR="00B03996" w:rsidRPr="003E3613">
        <w:rPr>
          <w:rFonts w:ascii="Book Antiqua" w:hAnsi="Book Antiqua"/>
          <w:sz w:val="23"/>
          <w:szCs w:val="23"/>
          <w:lang w:val="en-GB"/>
        </w:rPr>
        <w:t>,</w:t>
      </w:r>
      <w:r w:rsidR="00ED1731" w:rsidRPr="003E3613">
        <w:rPr>
          <w:rFonts w:ascii="Book Antiqua" w:hAnsi="Book Antiqua"/>
          <w:sz w:val="23"/>
          <w:szCs w:val="23"/>
          <w:lang w:val="en-GB"/>
        </w:rPr>
        <w:t xml:space="preserve"> to preserve part of </w:t>
      </w:r>
      <w:r w:rsidR="00B03996" w:rsidRPr="003E3613">
        <w:rPr>
          <w:rFonts w:ascii="Book Antiqua" w:hAnsi="Book Antiqua"/>
          <w:sz w:val="23"/>
          <w:szCs w:val="23"/>
          <w:lang w:val="en-GB"/>
        </w:rPr>
        <w:t xml:space="preserve">the </w:t>
      </w:r>
      <w:r w:rsidR="00ED1731" w:rsidRPr="003E3613">
        <w:rPr>
          <w:rFonts w:ascii="Book Antiqua" w:hAnsi="Book Antiqua"/>
          <w:sz w:val="23"/>
          <w:szCs w:val="23"/>
          <w:lang w:val="en-GB"/>
        </w:rPr>
        <w:t>European cultural heritage.</w:t>
      </w:r>
    </w:p>
    <w:p w14:paraId="7F92B694" w14:textId="77777777" w:rsidR="00815A80" w:rsidRPr="003E3613" w:rsidRDefault="00815A80" w:rsidP="00204696">
      <w:pPr>
        <w:spacing w:after="0"/>
        <w:jc w:val="both"/>
        <w:rPr>
          <w:rFonts w:ascii="Book Antiqua" w:hAnsi="Book Antiqua"/>
          <w:sz w:val="23"/>
          <w:szCs w:val="23"/>
          <w:lang w:val="en-GB"/>
        </w:rPr>
      </w:pPr>
    </w:p>
    <w:p w14:paraId="25E4E4D7" w14:textId="77777777" w:rsidR="00660031" w:rsidRDefault="00660031">
      <w:pPr>
        <w:rPr>
          <w:rFonts w:ascii="Book Antiqua" w:eastAsia="Times New Roman" w:hAnsi="Book Antiqua"/>
          <w:color w:val="000000"/>
          <w:sz w:val="23"/>
          <w:szCs w:val="23"/>
          <w:lang w:val="en-GB"/>
        </w:rPr>
      </w:pPr>
      <w:r>
        <w:rPr>
          <w:rFonts w:ascii="Book Antiqua" w:eastAsia="Times New Roman" w:hAnsi="Book Antiqua"/>
          <w:color w:val="000000"/>
          <w:sz w:val="23"/>
          <w:szCs w:val="23"/>
          <w:lang w:val="en-GB"/>
        </w:rPr>
        <w:br w:type="page"/>
      </w:r>
    </w:p>
    <w:p w14:paraId="3A733EDB" w14:textId="34D9E2F7" w:rsidR="00815A80" w:rsidRPr="003E3613" w:rsidRDefault="00815A80" w:rsidP="00204696">
      <w:pPr>
        <w:tabs>
          <w:tab w:val="right" w:pos="0"/>
        </w:tabs>
        <w:suppressAutoHyphens/>
        <w:spacing w:after="0"/>
        <w:jc w:val="both"/>
        <w:rPr>
          <w:rFonts w:ascii="Book Antiqua" w:hAnsi="Book Antiqua"/>
          <w:sz w:val="23"/>
          <w:szCs w:val="23"/>
          <w:lang w:val="en-GB"/>
        </w:rPr>
      </w:pPr>
      <w:r w:rsidRPr="003E3613">
        <w:rPr>
          <w:rFonts w:ascii="Book Antiqua" w:eastAsia="Times New Roman" w:hAnsi="Book Antiqua"/>
          <w:color w:val="000000"/>
          <w:sz w:val="23"/>
          <w:szCs w:val="23"/>
          <w:lang w:val="en-GB"/>
        </w:rPr>
        <w:lastRenderedPageBreak/>
        <w:t>Anti</w:t>
      </w:r>
      <w:r w:rsidR="00B3605A" w:rsidRPr="003E3613">
        <w:rPr>
          <w:rFonts w:ascii="Book Antiqua" w:eastAsia="Times New Roman" w:hAnsi="Book Antiqua"/>
          <w:color w:val="000000"/>
          <w:sz w:val="23"/>
          <w:szCs w:val="23"/>
          <w:lang w:val="en-GB"/>
        </w:rPr>
        <w:t>-S</w:t>
      </w:r>
      <w:r w:rsidRPr="003E3613">
        <w:rPr>
          <w:rFonts w:ascii="Book Antiqua" w:eastAsia="Times New Roman" w:hAnsi="Book Antiqua"/>
          <w:color w:val="000000"/>
          <w:sz w:val="23"/>
          <w:szCs w:val="23"/>
          <w:lang w:val="en-GB"/>
        </w:rPr>
        <w:t>emitism is not only on the rise across Europe</w:t>
      </w:r>
      <w:r w:rsidR="00C72551" w:rsidRPr="003E3613">
        <w:rPr>
          <w:rFonts w:ascii="Book Antiqua" w:eastAsia="Times New Roman" w:hAnsi="Book Antiqua"/>
          <w:color w:val="000000"/>
          <w:sz w:val="23"/>
          <w:szCs w:val="23"/>
          <w:lang w:val="en-GB"/>
        </w:rPr>
        <w:t xml:space="preserve"> but</w:t>
      </w:r>
      <w:r w:rsidR="00AC6807" w:rsidRPr="003E3613">
        <w:rPr>
          <w:rFonts w:ascii="Book Antiqua" w:eastAsia="Times New Roman" w:hAnsi="Book Antiqua"/>
          <w:color w:val="000000"/>
          <w:sz w:val="23"/>
          <w:szCs w:val="23"/>
          <w:lang w:val="en-GB"/>
        </w:rPr>
        <w:t xml:space="preserve"> a</w:t>
      </w:r>
      <w:r w:rsidR="00C72551" w:rsidRPr="003E3613">
        <w:rPr>
          <w:rFonts w:ascii="Book Antiqua" w:eastAsia="Times New Roman" w:hAnsi="Book Antiqua"/>
          <w:color w:val="000000"/>
          <w:sz w:val="23"/>
          <w:szCs w:val="23"/>
          <w:lang w:val="en-GB"/>
        </w:rPr>
        <w:t xml:space="preserve"> </w:t>
      </w:r>
      <w:r w:rsidR="0045572B" w:rsidRPr="003E3613">
        <w:rPr>
          <w:rFonts w:ascii="Book Antiqua" w:eastAsia="Times New Roman" w:hAnsi="Book Antiqua"/>
          <w:color w:val="000000"/>
          <w:sz w:val="23"/>
          <w:szCs w:val="23"/>
          <w:lang w:val="en-GB"/>
        </w:rPr>
        <w:t>new trend can be d</w:t>
      </w:r>
      <w:r w:rsidR="001D500E" w:rsidRPr="003E3613">
        <w:rPr>
          <w:rFonts w:ascii="Book Antiqua" w:eastAsia="Times New Roman" w:hAnsi="Book Antiqua"/>
          <w:color w:val="000000"/>
          <w:sz w:val="23"/>
          <w:szCs w:val="23"/>
          <w:lang w:val="en-GB"/>
        </w:rPr>
        <w:t xml:space="preserve">etected over the last few years that </w:t>
      </w:r>
      <w:r w:rsidR="0048420C" w:rsidRPr="003E3613">
        <w:rPr>
          <w:rFonts w:ascii="Book Antiqua" w:eastAsia="Times New Roman" w:hAnsi="Book Antiqua"/>
          <w:color w:val="000000"/>
          <w:sz w:val="23"/>
          <w:szCs w:val="23"/>
          <w:lang w:val="en-GB"/>
        </w:rPr>
        <w:t>taking new shapes and forms of violent</w:t>
      </w:r>
      <w:r w:rsidR="00C72551" w:rsidRPr="003E3613">
        <w:rPr>
          <w:rFonts w:ascii="Book Antiqua" w:eastAsia="Times New Roman" w:hAnsi="Book Antiqua"/>
          <w:color w:val="000000"/>
          <w:sz w:val="23"/>
          <w:szCs w:val="23"/>
          <w:lang w:val="en-GB"/>
        </w:rPr>
        <w:t xml:space="preserve"> Anti</w:t>
      </w:r>
      <w:r w:rsidR="00B3605A" w:rsidRPr="003E3613">
        <w:rPr>
          <w:rFonts w:ascii="Book Antiqua" w:eastAsia="Times New Roman" w:hAnsi="Book Antiqua"/>
          <w:color w:val="000000"/>
          <w:sz w:val="23"/>
          <w:szCs w:val="23"/>
          <w:lang w:val="en-GB"/>
        </w:rPr>
        <w:t>-S</w:t>
      </w:r>
      <w:r w:rsidR="00C72551" w:rsidRPr="003E3613">
        <w:rPr>
          <w:rFonts w:ascii="Book Antiqua" w:eastAsia="Times New Roman" w:hAnsi="Book Antiqua"/>
          <w:color w:val="000000"/>
          <w:sz w:val="23"/>
          <w:szCs w:val="23"/>
          <w:lang w:val="en-GB"/>
        </w:rPr>
        <w:t>emitism</w:t>
      </w:r>
      <w:r w:rsidR="0048420C" w:rsidRPr="003E3613">
        <w:rPr>
          <w:rFonts w:ascii="Book Antiqua" w:eastAsia="Times New Roman" w:hAnsi="Book Antiqua"/>
          <w:color w:val="000000"/>
          <w:sz w:val="23"/>
          <w:szCs w:val="23"/>
          <w:lang w:val="en-GB"/>
        </w:rPr>
        <w:t>, often</w:t>
      </w:r>
      <w:r w:rsidR="00C0428C" w:rsidRPr="003E3613">
        <w:rPr>
          <w:rFonts w:ascii="Book Antiqua" w:eastAsia="Times New Roman" w:hAnsi="Book Antiqua"/>
          <w:color w:val="000000"/>
          <w:sz w:val="23"/>
          <w:szCs w:val="23"/>
          <w:lang w:val="en-GB"/>
        </w:rPr>
        <w:t xml:space="preserve"> resulting in</w:t>
      </w:r>
      <w:r w:rsidR="00554D9C" w:rsidRPr="003E3613">
        <w:rPr>
          <w:rFonts w:ascii="Book Antiqua" w:eastAsia="Times New Roman" w:hAnsi="Book Antiqua"/>
          <w:color w:val="000000"/>
          <w:sz w:val="23"/>
          <w:szCs w:val="23"/>
          <w:lang w:val="en-GB"/>
        </w:rPr>
        <w:t xml:space="preserve"> </w:t>
      </w:r>
      <w:r w:rsidR="0048420C" w:rsidRPr="003E3613">
        <w:rPr>
          <w:rFonts w:ascii="Book Antiqua" w:eastAsia="Times New Roman" w:hAnsi="Book Antiqua"/>
          <w:color w:val="000000"/>
          <w:sz w:val="23"/>
          <w:szCs w:val="23"/>
          <w:lang w:val="en-GB"/>
        </w:rPr>
        <w:t xml:space="preserve">murderous attacks </w:t>
      </w:r>
      <w:r w:rsidR="00B3605A" w:rsidRPr="003E3613">
        <w:rPr>
          <w:rFonts w:ascii="Book Antiqua" w:eastAsia="Times New Roman" w:hAnsi="Book Antiqua"/>
          <w:color w:val="000000"/>
          <w:sz w:val="23"/>
          <w:szCs w:val="23"/>
          <w:lang w:val="en-GB"/>
        </w:rPr>
        <w:t>against</w:t>
      </w:r>
      <w:r w:rsidR="0048420C" w:rsidRPr="003E3613">
        <w:rPr>
          <w:rFonts w:ascii="Book Antiqua" w:eastAsia="Times New Roman" w:hAnsi="Book Antiqua"/>
          <w:color w:val="000000"/>
          <w:sz w:val="23"/>
          <w:szCs w:val="23"/>
          <w:lang w:val="en-GB"/>
        </w:rPr>
        <w:t xml:space="preserve"> Jews.</w:t>
      </w:r>
      <w:r w:rsidR="00554D9C" w:rsidRPr="003E3613">
        <w:rPr>
          <w:rFonts w:ascii="Book Antiqua" w:eastAsia="Times New Roman" w:hAnsi="Book Antiqua"/>
          <w:color w:val="000000"/>
          <w:sz w:val="23"/>
          <w:szCs w:val="23"/>
          <w:lang w:val="en-GB"/>
        </w:rPr>
        <w:t xml:space="preserve"> </w:t>
      </w:r>
    </w:p>
    <w:p w14:paraId="723F3165" w14:textId="77777777" w:rsidR="00815A80" w:rsidRPr="003E3613" w:rsidRDefault="00815A80" w:rsidP="00204696">
      <w:pPr>
        <w:tabs>
          <w:tab w:val="right" w:pos="0"/>
        </w:tabs>
        <w:suppressAutoHyphens/>
        <w:spacing w:after="0"/>
        <w:jc w:val="both"/>
        <w:rPr>
          <w:rFonts w:ascii="Book Antiqua" w:hAnsi="Book Antiqua"/>
          <w:sz w:val="23"/>
          <w:szCs w:val="23"/>
          <w:lang w:val="en-GB"/>
        </w:rPr>
      </w:pPr>
    </w:p>
    <w:p w14:paraId="7D56E7B9" w14:textId="77777777" w:rsidR="00524AD3" w:rsidRPr="003E3613" w:rsidRDefault="00815A80" w:rsidP="00204696">
      <w:pPr>
        <w:spacing w:after="0"/>
        <w:jc w:val="both"/>
        <w:rPr>
          <w:rFonts w:ascii="Book Antiqua" w:hAnsi="Book Antiqua"/>
          <w:color w:val="212121"/>
          <w:sz w:val="23"/>
          <w:szCs w:val="23"/>
          <w:lang w:val="en-GB"/>
        </w:rPr>
      </w:pPr>
      <w:r w:rsidRPr="003E3613">
        <w:rPr>
          <w:rFonts w:ascii="Book Antiqua" w:hAnsi="Book Antiqua"/>
          <w:sz w:val="23"/>
          <w:szCs w:val="23"/>
          <w:lang w:val="en-GB"/>
        </w:rPr>
        <w:t xml:space="preserve">According to the Action and Protection Foundation’s (Tett és Védelem Alapítvány) report (January-June 2017) the number of anti-Semitic actions in Hungary decreased compared </w:t>
      </w:r>
      <w:r w:rsidR="00B3605A" w:rsidRPr="003E3613">
        <w:rPr>
          <w:rFonts w:ascii="Book Antiqua" w:hAnsi="Book Antiqua"/>
          <w:sz w:val="23"/>
          <w:szCs w:val="23"/>
          <w:lang w:val="en-GB"/>
        </w:rPr>
        <w:t>to</w:t>
      </w:r>
      <w:r w:rsidRPr="003E3613">
        <w:rPr>
          <w:rFonts w:ascii="Book Antiqua" w:hAnsi="Book Antiqua"/>
          <w:sz w:val="23"/>
          <w:szCs w:val="23"/>
          <w:lang w:val="en-GB"/>
        </w:rPr>
        <w:t xml:space="preserve"> previous years</w:t>
      </w:r>
      <w:r w:rsidR="00B3605A" w:rsidRPr="003E3613">
        <w:rPr>
          <w:rFonts w:ascii="Book Antiqua" w:hAnsi="Book Antiqua"/>
          <w:sz w:val="23"/>
          <w:szCs w:val="23"/>
          <w:lang w:val="en-GB"/>
        </w:rPr>
        <w:t>’ numbers</w:t>
      </w:r>
      <w:r w:rsidRPr="003E3613">
        <w:rPr>
          <w:rFonts w:ascii="Book Antiqua" w:hAnsi="Book Antiqua"/>
          <w:sz w:val="23"/>
          <w:szCs w:val="23"/>
          <w:lang w:val="en-GB"/>
        </w:rPr>
        <w:t>. During the first half of 2017 the Foundation identified 18 anti-Semitic hate crimes, while in 2016 there were 23, in 2015’s first half there were 26 hate crimes action</w:t>
      </w:r>
      <w:r w:rsidRPr="003E3613">
        <w:rPr>
          <w:rFonts w:ascii="Book Antiqua" w:hAnsi="Book Antiqua"/>
          <w:color w:val="212121"/>
          <w:sz w:val="23"/>
          <w:szCs w:val="23"/>
          <w:lang w:val="en-GB"/>
        </w:rPr>
        <w:t xml:space="preserve">. </w:t>
      </w:r>
      <w:r w:rsidR="00524AD3" w:rsidRPr="003E3613">
        <w:rPr>
          <w:rFonts w:ascii="Book Antiqua" w:hAnsi="Book Antiqua"/>
          <w:sz w:val="23"/>
          <w:szCs w:val="23"/>
          <w:lang w:val="en-GB"/>
        </w:rPr>
        <w:t>Furthermore, according to a report of the European Union Fundamental Rights Agency (FRA), Hungary is amongst the countries with lower risk of anti-Semitism.</w:t>
      </w:r>
    </w:p>
    <w:p w14:paraId="0A04A41D" w14:textId="77777777" w:rsidR="00815A80" w:rsidRPr="003E3613" w:rsidRDefault="00815A80" w:rsidP="00204696">
      <w:pPr>
        <w:spacing w:after="0"/>
        <w:jc w:val="both"/>
        <w:rPr>
          <w:rFonts w:ascii="Book Antiqua" w:hAnsi="Book Antiqua"/>
          <w:sz w:val="23"/>
          <w:szCs w:val="23"/>
          <w:lang w:val="en-GB"/>
        </w:rPr>
      </w:pPr>
    </w:p>
    <w:p w14:paraId="6F18A268" w14:textId="65741D61" w:rsidR="00815A80" w:rsidRPr="003E3613" w:rsidRDefault="00815A80" w:rsidP="00204696">
      <w:pPr>
        <w:autoSpaceDE w:val="0"/>
        <w:autoSpaceDN w:val="0"/>
        <w:spacing w:after="0"/>
        <w:jc w:val="both"/>
        <w:rPr>
          <w:rFonts w:ascii="Book Antiqua" w:hAnsi="Book Antiqua" w:cs="Times New Roman"/>
          <w:bCs/>
          <w:sz w:val="23"/>
          <w:szCs w:val="23"/>
          <w:lang w:val="en-GB"/>
        </w:rPr>
      </w:pPr>
      <w:r w:rsidRPr="003E3613">
        <w:rPr>
          <w:rFonts w:ascii="Book Antiqua" w:hAnsi="Book Antiqua" w:cs="Times New Roman"/>
          <w:color w:val="000000"/>
          <w:sz w:val="23"/>
          <w:szCs w:val="23"/>
          <w:lang w:val="en-GB"/>
        </w:rPr>
        <w:t>Hung</w:t>
      </w:r>
      <w:r w:rsidRPr="003E3613">
        <w:rPr>
          <w:rFonts w:ascii="Book Antiqua" w:hAnsi="Book Antiqua" w:cs="EUAlbertina"/>
          <w:color w:val="000000"/>
          <w:sz w:val="23"/>
          <w:szCs w:val="23"/>
          <w:lang w:val="en-GB"/>
        </w:rPr>
        <w:t xml:space="preserve">arian laws and legal norms identify the following five </w:t>
      </w:r>
      <w:r w:rsidR="0060327A" w:rsidRPr="003E3613">
        <w:rPr>
          <w:rFonts w:ascii="Book Antiqua" w:hAnsi="Book Antiqua" w:cs="EUAlbertina"/>
          <w:color w:val="000000"/>
          <w:sz w:val="23"/>
          <w:szCs w:val="23"/>
          <w:lang w:val="en-GB"/>
        </w:rPr>
        <w:t>most typical acts</w:t>
      </w:r>
      <w:r w:rsidRPr="003E3613">
        <w:rPr>
          <w:rFonts w:ascii="Book Antiqua" w:hAnsi="Book Antiqua" w:cs="EUAlbertina"/>
          <w:color w:val="000000"/>
          <w:sz w:val="23"/>
          <w:szCs w:val="23"/>
          <w:lang w:val="en-GB"/>
        </w:rPr>
        <w:t xml:space="preserve"> related to hatred or incitement </w:t>
      </w:r>
      <w:r w:rsidR="0060327A" w:rsidRPr="003E3613">
        <w:rPr>
          <w:rFonts w:ascii="Book Antiqua" w:hAnsi="Book Antiqua" w:cs="EUAlbertina"/>
          <w:color w:val="000000"/>
          <w:sz w:val="23"/>
          <w:szCs w:val="23"/>
          <w:lang w:val="en-GB"/>
        </w:rPr>
        <w:t xml:space="preserve">to </w:t>
      </w:r>
      <w:r w:rsidRPr="003E3613">
        <w:rPr>
          <w:rFonts w:ascii="Book Antiqua" w:hAnsi="Book Antiqua" w:cs="EUAlbertina"/>
          <w:color w:val="000000"/>
          <w:sz w:val="23"/>
          <w:szCs w:val="23"/>
          <w:lang w:val="en-GB"/>
        </w:rPr>
        <w:t>hatred</w:t>
      </w:r>
      <w:r w:rsidR="0060327A" w:rsidRPr="003E3613">
        <w:rPr>
          <w:rFonts w:ascii="Book Antiqua" w:hAnsi="Book Antiqua" w:cs="EUAlbertina"/>
          <w:color w:val="000000"/>
          <w:sz w:val="23"/>
          <w:szCs w:val="23"/>
          <w:lang w:val="en-GB"/>
        </w:rPr>
        <w:t xml:space="preserve"> or violence based on</w:t>
      </w:r>
      <w:r w:rsidRPr="003E3613">
        <w:rPr>
          <w:rFonts w:ascii="Book Antiqua" w:hAnsi="Book Antiqua" w:cs="EUAlbertina"/>
          <w:color w:val="000000"/>
          <w:sz w:val="23"/>
          <w:szCs w:val="23"/>
          <w:lang w:val="en-GB"/>
        </w:rPr>
        <w:t xml:space="preserve"> anti-Semitic </w:t>
      </w:r>
      <w:r w:rsidR="006307A0" w:rsidRPr="003E3613">
        <w:rPr>
          <w:rFonts w:ascii="Book Antiqua" w:hAnsi="Book Antiqua" w:cs="EUAlbertina"/>
          <w:color w:val="000000"/>
          <w:sz w:val="23"/>
          <w:szCs w:val="23"/>
          <w:lang w:val="en-GB"/>
        </w:rPr>
        <w:t>views</w:t>
      </w:r>
      <w:r w:rsidRPr="003E3613">
        <w:rPr>
          <w:rFonts w:ascii="Book Antiqua" w:hAnsi="Book Antiqua" w:cs="EUAlbertina"/>
          <w:color w:val="000000"/>
          <w:sz w:val="23"/>
          <w:szCs w:val="23"/>
          <w:lang w:val="en-GB"/>
        </w:rPr>
        <w:t xml:space="preserve">: (1) violating the dignity of a member of a national, religious etc. </w:t>
      </w:r>
      <w:r w:rsidR="001643BD" w:rsidRPr="003E3613">
        <w:rPr>
          <w:rFonts w:ascii="Book Antiqua" w:hAnsi="Book Antiqua" w:cs="EUAlbertina"/>
          <w:color w:val="000000"/>
          <w:sz w:val="23"/>
          <w:szCs w:val="23"/>
          <w:lang w:val="en-GB"/>
        </w:rPr>
        <w:t>group</w:t>
      </w:r>
      <w:r w:rsidRPr="003E3613">
        <w:rPr>
          <w:rFonts w:ascii="Book Antiqua" w:hAnsi="Book Antiqua" w:cs="EUAlbertina"/>
          <w:color w:val="000000"/>
          <w:sz w:val="23"/>
          <w:szCs w:val="23"/>
          <w:lang w:val="en-GB"/>
        </w:rPr>
        <w:t>,</w:t>
      </w:r>
      <w:r w:rsidR="001F6F2B" w:rsidRPr="003E3613">
        <w:rPr>
          <w:rFonts w:ascii="Book Antiqua" w:hAnsi="Book Antiqua" w:cs="EUAlbertina"/>
          <w:color w:val="000000"/>
          <w:sz w:val="23"/>
          <w:szCs w:val="23"/>
          <w:lang w:val="en-GB"/>
        </w:rPr>
        <w:t xml:space="preserve"> </w:t>
      </w:r>
      <w:r w:rsidR="001643BD" w:rsidRPr="003E3613">
        <w:rPr>
          <w:rFonts w:ascii="Book Antiqua" w:hAnsi="Book Antiqua" w:cs="EUAlbertina"/>
          <w:color w:val="000000"/>
          <w:sz w:val="23"/>
          <w:szCs w:val="23"/>
          <w:lang w:val="en-GB"/>
        </w:rPr>
        <w:t>or</w:t>
      </w:r>
      <w:r w:rsidRPr="003E3613">
        <w:rPr>
          <w:rFonts w:ascii="Book Antiqua" w:hAnsi="Book Antiqua" w:cs="EUAlbertina"/>
          <w:color w:val="000000"/>
          <w:sz w:val="23"/>
          <w:szCs w:val="23"/>
          <w:lang w:val="en-GB"/>
        </w:rPr>
        <w:t xml:space="preserve"> of </w:t>
      </w:r>
      <w:r w:rsidR="001643BD" w:rsidRPr="003E3613">
        <w:rPr>
          <w:rFonts w:ascii="Book Antiqua" w:hAnsi="Book Antiqua" w:cs="EUAlbertina"/>
          <w:color w:val="000000"/>
          <w:sz w:val="23"/>
          <w:szCs w:val="23"/>
          <w:lang w:val="en-GB"/>
        </w:rPr>
        <w:t>the group</w:t>
      </w:r>
      <w:r w:rsidRPr="003E3613">
        <w:rPr>
          <w:rFonts w:ascii="Book Antiqua" w:hAnsi="Book Antiqua" w:cs="EUAlbertina"/>
          <w:color w:val="000000"/>
          <w:sz w:val="23"/>
          <w:szCs w:val="23"/>
          <w:lang w:val="en-GB"/>
        </w:rPr>
        <w:t xml:space="preserve"> itself </w:t>
      </w:r>
      <w:r w:rsidR="0038184D" w:rsidRPr="003E3613">
        <w:rPr>
          <w:rFonts w:ascii="Book Antiqua" w:hAnsi="Book Antiqua" w:cs="EUAlbertina"/>
          <w:color w:val="000000"/>
          <w:sz w:val="23"/>
          <w:szCs w:val="23"/>
          <w:lang w:val="en-GB"/>
        </w:rPr>
        <w:t>(Criminal offences motivated by racism always qualify as an offence with malevolent motivation or intent; therefore there is a possibility to impose a more severe punishment.</w:t>
      </w:r>
      <w:r w:rsidR="0038184D" w:rsidRPr="003E3613">
        <w:rPr>
          <w:lang w:val="en-GB"/>
        </w:rPr>
        <w:t xml:space="preserve"> </w:t>
      </w:r>
      <w:r w:rsidR="0038184D" w:rsidRPr="003E3613">
        <w:rPr>
          <w:rFonts w:ascii="Book Antiqua" w:hAnsi="Book Antiqua" w:cs="EUAlbertina"/>
          <w:color w:val="000000"/>
          <w:sz w:val="23"/>
          <w:szCs w:val="23"/>
          <w:lang w:val="en-GB"/>
        </w:rPr>
        <w:t>In addition, if it</w:t>
      </w:r>
      <w:r w:rsidR="0038184D" w:rsidRPr="003E3613">
        <w:rPr>
          <w:lang w:val="en-GB"/>
        </w:rPr>
        <w:t xml:space="preserve"> </w:t>
      </w:r>
      <w:r w:rsidR="0038184D" w:rsidRPr="003E3613">
        <w:rPr>
          <w:rFonts w:ascii="Book Antiqua" w:hAnsi="Book Antiqua" w:cs="EUAlbertina"/>
          <w:color w:val="000000"/>
          <w:sz w:val="23"/>
          <w:szCs w:val="23"/>
          <w:lang w:val="en-GB"/>
        </w:rPr>
        <w:t xml:space="preserve">is not an aggravating circumstance </w:t>
      </w:r>
      <w:r w:rsidR="0038184D" w:rsidRPr="003E3613">
        <w:rPr>
          <w:rFonts w:ascii="Book Antiqua" w:hAnsi="Book Antiqua" w:cs="EUAlbertina"/>
          <w:i/>
          <w:color w:val="000000"/>
          <w:sz w:val="23"/>
          <w:szCs w:val="23"/>
          <w:lang w:val="en-GB"/>
        </w:rPr>
        <w:t>de jure</w:t>
      </w:r>
      <w:r w:rsidR="0038184D" w:rsidRPr="003E3613">
        <w:rPr>
          <w:rFonts w:ascii="Book Antiqua" w:hAnsi="Book Antiqua" w:cs="EUAlbertina"/>
          <w:color w:val="000000"/>
          <w:sz w:val="23"/>
          <w:szCs w:val="23"/>
          <w:lang w:val="en-GB"/>
        </w:rPr>
        <w:t>, the court can consider the racist motive as an aggravating circumstance when imposing a punishment.)</w:t>
      </w:r>
      <w:r w:rsidRPr="003E3613">
        <w:rPr>
          <w:rFonts w:ascii="Book Antiqua" w:hAnsi="Book Antiqua" w:cs="EUAlbertina"/>
          <w:color w:val="000000"/>
          <w:sz w:val="23"/>
          <w:szCs w:val="23"/>
          <w:lang w:val="en-GB"/>
        </w:rPr>
        <w:t xml:space="preserve">, (2) </w:t>
      </w:r>
      <w:r w:rsidR="003D7F47" w:rsidRPr="003E3613">
        <w:rPr>
          <w:rFonts w:ascii="Book Antiqua" w:hAnsi="Book Antiqua" w:cs="EUAlbertina"/>
          <w:color w:val="000000"/>
          <w:sz w:val="23"/>
          <w:szCs w:val="23"/>
          <w:lang w:val="en-GB"/>
        </w:rPr>
        <w:t>denying</w:t>
      </w:r>
      <w:r w:rsidRPr="003E3613">
        <w:rPr>
          <w:rFonts w:ascii="Book Antiqua" w:hAnsi="Book Antiqua" w:cs="EUAlbertina"/>
          <w:color w:val="000000"/>
          <w:sz w:val="23"/>
          <w:szCs w:val="23"/>
          <w:lang w:val="en-GB"/>
        </w:rPr>
        <w:t xml:space="preserve">, </w:t>
      </w:r>
      <w:r w:rsidR="003D7F47" w:rsidRPr="003E3613">
        <w:rPr>
          <w:rFonts w:ascii="Book Antiqua" w:hAnsi="Book Antiqua" w:cs="EUAlbertina"/>
          <w:color w:val="000000"/>
          <w:sz w:val="23"/>
          <w:szCs w:val="23"/>
          <w:lang w:val="en-GB"/>
        </w:rPr>
        <w:t xml:space="preserve">questioning </w:t>
      </w:r>
      <w:r w:rsidRPr="003E3613">
        <w:rPr>
          <w:rFonts w:ascii="Book Antiqua" w:hAnsi="Book Antiqua" w:cs="EUAlbertina"/>
          <w:color w:val="000000"/>
          <w:sz w:val="23"/>
          <w:szCs w:val="23"/>
          <w:lang w:val="en-GB"/>
        </w:rPr>
        <w:t xml:space="preserve">or </w:t>
      </w:r>
      <w:r w:rsidR="003D7F47" w:rsidRPr="003E3613">
        <w:rPr>
          <w:rFonts w:ascii="Book Antiqua" w:hAnsi="Book Antiqua" w:cs="EUAlbertina"/>
          <w:color w:val="000000"/>
          <w:sz w:val="23"/>
          <w:szCs w:val="23"/>
          <w:lang w:val="en-GB"/>
        </w:rPr>
        <w:t>dismissing as insignificant or attempting to justifying</w:t>
      </w:r>
      <w:r w:rsidRPr="003E3613">
        <w:rPr>
          <w:rFonts w:ascii="Book Antiqua" w:hAnsi="Book Antiqua" w:cs="EUAlbertina"/>
          <w:color w:val="000000"/>
          <w:sz w:val="23"/>
          <w:szCs w:val="23"/>
          <w:lang w:val="en-GB"/>
        </w:rPr>
        <w:t xml:space="preserve"> of </w:t>
      </w:r>
      <w:r w:rsidR="003D7F47" w:rsidRPr="003E3613">
        <w:rPr>
          <w:rFonts w:ascii="Book Antiqua" w:hAnsi="Book Antiqua" w:cs="EUAlbertina"/>
          <w:color w:val="000000"/>
          <w:sz w:val="23"/>
          <w:szCs w:val="23"/>
          <w:lang w:val="en-GB"/>
        </w:rPr>
        <w:t xml:space="preserve">the </w:t>
      </w:r>
      <w:r w:rsidRPr="003E3613">
        <w:rPr>
          <w:rFonts w:ascii="Book Antiqua" w:hAnsi="Book Antiqua" w:cs="EUAlbertina"/>
          <w:color w:val="000000"/>
          <w:sz w:val="23"/>
          <w:szCs w:val="23"/>
          <w:lang w:val="en-GB"/>
        </w:rPr>
        <w:t>crimes committed by totalitarian (</w:t>
      </w:r>
      <w:r w:rsidR="003D7F47" w:rsidRPr="003E3613">
        <w:rPr>
          <w:rFonts w:ascii="Book Antiqua" w:hAnsi="Book Antiqua" w:cs="EUAlbertina"/>
          <w:color w:val="000000"/>
          <w:sz w:val="23"/>
          <w:szCs w:val="23"/>
          <w:lang w:val="en-GB"/>
        </w:rPr>
        <w:t>national socialist</w:t>
      </w:r>
      <w:r w:rsidRPr="003E3613">
        <w:rPr>
          <w:rFonts w:ascii="Book Antiqua" w:hAnsi="Book Antiqua" w:cs="EUAlbertina"/>
          <w:color w:val="000000"/>
          <w:sz w:val="23"/>
          <w:szCs w:val="23"/>
          <w:lang w:val="en-GB"/>
        </w:rPr>
        <w:t xml:space="preserve"> </w:t>
      </w:r>
      <w:r w:rsidR="003D7F47" w:rsidRPr="003E3613">
        <w:rPr>
          <w:rFonts w:ascii="Book Antiqua" w:hAnsi="Book Antiqua" w:cs="EUAlbertina"/>
          <w:color w:val="000000"/>
          <w:sz w:val="23"/>
          <w:szCs w:val="23"/>
          <w:lang w:val="en-GB"/>
        </w:rPr>
        <w:t>or</w:t>
      </w:r>
      <w:r w:rsidRPr="003E3613">
        <w:rPr>
          <w:rFonts w:ascii="Book Antiqua" w:hAnsi="Book Antiqua" w:cs="EUAlbertina"/>
          <w:color w:val="000000"/>
          <w:sz w:val="23"/>
          <w:szCs w:val="23"/>
          <w:lang w:val="en-GB"/>
        </w:rPr>
        <w:t xml:space="preserve"> </w:t>
      </w:r>
      <w:r w:rsidR="003D7F47" w:rsidRPr="003E3613">
        <w:rPr>
          <w:rFonts w:ascii="Book Antiqua" w:hAnsi="Book Antiqua" w:cs="EUAlbertina"/>
          <w:color w:val="000000"/>
          <w:sz w:val="23"/>
          <w:szCs w:val="23"/>
          <w:lang w:val="en-GB"/>
        </w:rPr>
        <w:t>c</w:t>
      </w:r>
      <w:r w:rsidRPr="003E3613">
        <w:rPr>
          <w:rFonts w:ascii="Book Antiqua" w:hAnsi="Book Antiqua" w:cs="EUAlbertina"/>
          <w:color w:val="000000"/>
          <w:sz w:val="23"/>
          <w:szCs w:val="23"/>
          <w:lang w:val="en-GB"/>
        </w:rPr>
        <w:t>ommunist) regimes</w:t>
      </w:r>
      <w:r w:rsidR="000A0B76" w:rsidRPr="003E3613">
        <w:rPr>
          <w:rFonts w:ascii="Book Antiqua" w:hAnsi="Book Antiqua" w:cs="EUAlbertina"/>
          <w:color w:val="000000"/>
          <w:sz w:val="23"/>
          <w:szCs w:val="23"/>
          <w:lang w:val="en-GB"/>
        </w:rPr>
        <w:t xml:space="preserve"> in front of a large public audience</w:t>
      </w:r>
      <w:r w:rsidRPr="003E3613">
        <w:rPr>
          <w:rFonts w:ascii="Book Antiqua" w:hAnsi="Book Antiqua" w:cs="EUAlbertina"/>
          <w:color w:val="000000"/>
          <w:sz w:val="23"/>
          <w:szCs w:val="23"/>
          <w:lang w:val="en-GB"/>
        </w:rPr>
        <w:t xml:space="preserve">, </w:t>
      </w:r>
      <w:r w:rsidRPr="003E3613">
        <w:rPr>
          <w:rFonts w:ascii="Book Antiqua" w:hAnsi="Book Antiqua"/>
          <w:bCs/>
          <w:sz w:val="23"/>
          <w:szCs w:val="23"/>
          <w:lang w:val="en-GB"/>
        </w:rPr>
        <w:t xml:space="preserve">punishable </w:t>
      </w:r>
      <w:r w:rsidR="000A0B76" w:rsidRPr="003E3613">
        <w:rPr>
          <w:rFonts w:ascii="Book Antiqua" w:hAnsi="Book Antiqua"/>
          <w:bCs/>
          <w:sz w:val="23"/>
          <w:szCs w:val="23"/>
          <w:lang w:val="en-GB"/>
        </w:rPr>
        <w:t xml:space="preserve">by </w:t>
      </w:r>
      <w:r w:rsidRPr="003E3613">
        <w:rPr>
          <w:rFonts w:ascii="Book Antiqua" w:hAnsi="Book Antiqua"/>
          <w:bCs/>
          <w:sz w:val="23"/>
          <w:szCs w:val="23"/>
          <w:lang w:val="en-GB"/>
        </w:rPr>
        <w:t>up to 3 years of imprisonment</w:t>
      </w:r>
      <w:r w:rsidRPr="003E3613">
        <w:rPr>
          <w:rFonts w:ascii="Book Antiqua" w:hAnsi="Book Antiqua" w:cs="EUAlbertina"/>
          <w:color w:val="000000"/>
          <w:sz w:val="23"/>
          <w:szCs w:val="23"/>
          <w:lang w:val="en-GB"/>
        </w:rPr>
        <w:t xml:space="preserve"> (3) the use of totalitarian symbols in public, (4) establishing and running paramilitary groups or institutions, and (5) hate speech by MPs in the Parliament additionally sanctioned by the Rules</w:t>
      </w:r>
      <w:r w:rsidR="00B3605A" w:rsidRPr="003E3613">
        <w:rPr>
          <w:rFonts w:ascii="Book Antiqua" w:hAnsi="Book Antiqua" w:cs="EUAlbertina"/>
          <w:color w:val="000000"/>
          <w:sz w:val="23"/>
          <w:szCs w:val="23"/>
          <w:lang w:val="en-GB"/>
        </w:rPr>
        <w:t xml:space="preserve"> of Procedure</w:t>
      </w:r>
      <w:r w:rsidRPr="003E3613">
        <w:rPr>
          <w:rFonts w:ascii="Book Antiqua" w:hAnsi="Book Antiqua" w:cs="EUAlbertina"/>
          <w:color w:val="000000"/>
          <w:sz w:val="23"/>
          <w:szCs w:val="23"/>
          <w:lang w:val="en-GB"/>
        </w:rPr>
        <w:t xml:space="preserve">. </w:t>
      </w:r>
      <w:r w:rsidRPr="003E3613">
        <w:rPr>
          <w:rFonts w:ascii="Book Antiqua" w:hAnsi="Book Antiqua" w:cs="Times New Roman"/>
          <w:bCs/>
          <w:sz w:val="23"/>
          <w:szCs w:val="23"/>
          <w:lang w:val="en-GB"/>
        </w:rPr>
        <w:t>Moreover, the rules of the Criminal Code have been tightened regarding “</w:t>
      </w:r>
      <w:r w:rsidR="005928DB" w:rsidRPr="003E3613">
        <w:rPr>
          <w:rFonts w:ascii="Book Antiqua" w:hAnsi="Book Antiqua" w:cs="Times New Roman"/>
          <w:bCs/>
          <w:sz w:val="23"/>
          <w:szCs w:val="23"/>
          <w:lang w:val="en-GB"/>
        </w:rPr>
        <w:t>crimes committed by persons in uniform</w:t>
      </w:r>
      <w:r w:rsidRPr="003E3613">
        <w:rPr>
          <w:rFonts w:ascii="Book Antiqua" w:hAnsi="Book Antiqua" w:cs="Times New Roman"/>
          <w:bCs/>
          <w:sz w:val="23"/>
          <w:szCs w:val="23"/>
          <w:lang w:val="en-GB"/>
        </w:rPr>
        <w:t xml:space="preserve">”. </w:t>
      </w:r>
    </w:p>
    <w:p w14:paraId="1F1B60A0" w14:textId="77777777" w:rsidR="00815A80" w:rsidRPr="003E3613" w:rsidRDefault="00815A80" w:rsidP="00204696">
      <w:pPr>
        <w:autoSpaceDE w:val="0"/>
        <w:autoSpaceDN w:val="0"/>
        <w:spacing w:after="0"/>
        <w:jc w:val="both"/>
        <w:rPr>
          <w:rFonts w:ascii="Book Antiqua" w:hAnsi="Book Antiqua" w:cs="Times New Roman"/>
          <w:bCs/>
          <w:sz w:val="23"/>
          <w:szCs w:val="23"/>
          <w:lang w:val="en-GB"/>
        </w:rPr>
      </w:pPr>
    </w:p>
    <w:p w14:paraId="7856A2E1" w14:textId="77777777" w:rsidR="00815A80" w:rsidRPr="003E3613" w:rsidRDefault="00815A80" w:rsidP="00204696">
      <w:pPr>
        <w:autoSpaceDE w:val="0"/>
        <w:autoSpaceDN w:val="0"/>
        <w:adjustRightInd w:val="0"/>
        <w:spacing w:after="0"/>
        <w:jc w:val="both"/>
        <w:rPr>
          <w:rFonts w:ascii="Book Antiqua" w:hAnsi="Book Antiqua" w:cs="Times New Roman"/>
          <w:sz w:val="23"/>
          <w:szCs w:val="23"/>
          <w:lang w:val="en-GB" w:bidi="he-IL"/>
        </w:rPr>
      </w:pPr>
      <w:r w:rsidRPr="003E3613">
        <w:rPr>
          <w:rFonts w:ascii="Book Antiqua" w:hAnsi="Book Antiqua" w:cs="Times New Roman"/>
          <w:sz w:val="23"/>
          <w:szCs w:val="23"/>
          <w:lang w:val="en-GB" w:bidi="he-IL"/>
        </w:rPr>
        <w:t xml:space="preserve">Some examples on court rulings and other official proceedings in Anti-Semitic (mostly criminal) cases with decisions of punishment </w:t>
      </w:r>
      <w:r w:rsidRPr="003E3613">
        <w:rPr>
          <w:rFonts w:ascii="Book Antiqua" w:hAnsi="Book Antiqua" w:cs="Times New Roman"/>
          <w:bCs/>
          <w:sz w:val="23"/>
          <w:szCs w:val="23"/>
          <w:lang w:val="en-GB" w:bidi="he-IL"/>
        </w:rPr>
        <w:t>(either on probation or to be implemented):</w:t>
      </w:r>
    </w:p>
    <w:p w14:paraId="2EB379E4" w14:textId="77777777" w:rsidR="00815A80" w:rsidRPr="003E3613" w:rsidRDefault="00815A80" w:rsidP="00204696">
      <w:pPr>
        <w:numPr>
          <w:ilvl w:val="0"/>
          <w:numId w:val="11"/>
        </w:numPr>
        <w:spacing w:after="0"/>
        <w:jc w:val="both"/>
        <w:rPr>
          <w:rFonts w:ascii="Book Antiqua" w:eastAsia="Times New Roman" w:hAnsi="Book Antiqua" w:cs="Times New Roman"/>
          <w:sz w:val="23"/>
          <w:szCs w:val="23"/>
          <w:lang w:val="en-GB" w:bidi="he-IL"/>
        </w:rPr>
      </w:pPr>
      <w:r w:rsidRPr="003E3613">
        <w:rPr>
          <w:rFonts w:ascii="Book Antiqua" w:eastAsia="Times New Roman" w:hAnsi="Book Antiqua" w:cs="Times New Roman"/>
          <w:sz w:val="23"/>
          <w:szCs w:val="23"/>
          <w:lang w:val="en-GB" w:bidi="he-IL"/>
        </w:rPr>
        <w:t xml:space="preserve">On 7 December 2012 the first court decision entered into effect for </w:t>
      </w:r>
      <w:hyperlink r:id="rId24" w:tgtFrame="_hplink" w:history="1">
        <w:r w:rsidRPr="003E3613">
          <w:rPr>
            <w:rFonts w:ascii="Book Antiqua" w:eastAsia="Times New Roman" w:hAnsi="Book Antiqua" w:cs="Times New Roman"/>
            <w:sz w:val="23"/>
            <w:szCs w:val="23"/>
            <w:lang w:val="en-GB" w:bidi="he-IL"/>
          </w:rPr>
          <w:t>Holocaust denial</w:t>
        </w:r>
      </w:hyperlink>
      <w:r w:rsidRPr="003E3613">
        <w:rPr>
          <w:rFonts w:ascii="Book Antiqua" w:eastAsia="Times New Roman" w:hAnsi="Book Antiqua" w:cs="Times New Roman"/>
          <w:sz w:val="23"/>
          <w:szCs w:val="23"/>
          <w:lang w:val="en-GB" w:bidi="he-IL"/>
        </w:rPr>
        <w:t>. The Budapest Central Court sentenced a man of 42 to 18 months in prison, on three years’ probation. In addition</w:t>
      </w:r>
      <w:r w:rsidR="000C580E" w:rsidRPr="003E3613">
        <w:rPr>
          <w:rFonts w:ascii="Book Antiqua" w:eastAsia="Times New Roman" w:hAnsi="Book Antiqua" w:cs="Times New Roman"/>
          <w:sz w:val="23"/>
          <w:szCs w:val="23"/>
          <w:lang w:val="en-GB" w:bidi="he-IL"/>
        </w:rPr>
        <w:t>,</w:t>
      </w:r>
      <w:r w:rsidRPr="003E3613">
        <w:rPr>
          <w:rFonts w:ascii="Book Antiqua" w:eastAsia="Times New Roman" w:hAnsi="Book Antiqua" w:cs="Times New Roman"/>
          <w:sz w:val="23"/>
          <w:szCs w:val="23"/>
          <w:lang w:val="en-GB" w:bidi="he-IL"/>
        </w:rPr>
        <w:t xml:space="preserve"> </w:t>
      </w:r>
      <w:r w:rsidR="000C580E" w:rsidRPr="003E3613">
        <w:rPr>
          <w:rFonts w:ascii="Book Antiqua" w:eastAsia="Times New Roman" w:hAnsi="Book Antiqua" w:cs="Times New Roman"/>
          <w:sz w:val="23"/>
          <w:szCs w:val="23"/>
          <w:lang w:val="en-GB" w:bidi="he-IL"/>
        </w:rPr>
        <w:t>three</w:t>
      </w:r>
      <w:r w:rsidRPr="003E3613">
        <w:rPr>
          <w:rFonts w:ascii="Book Antiqua" w:eastAsia="Times New Roman" w:hAnsi="Book Antiqua" w:cs="Times New Roman"/>
          <w:sz w:val="23"/>
          <w:szCs w:val="23"/>
          <w:lang w:val="en-GB" w:bidi="he-IL"/>
        </w:rPr>
        <w:t xml:space="preserve"> times per year during </w:t>
      </w:r>
      <w:r w:rsidR="000C580E" w:rsidRPr="003E3613">
        <w:rPr>
          <w:rFonts w:ascii="Book Antiqua" w:eastAsia="Times New Roman" w:hAnsi="Book Antiqua" w:cs="Times New Roman"/>
          <w:sz w:val="23"/>
          <w:szCs w:val="23"/>
          <w:lang w:val="en-GB" w:bidi="he-IL"/>
        </w:rPr>
        <w:t>the three</w:t>
      </w:r>
      <w:r w:rsidRPr="003E3613">
        <w:rPr>
          <w:rFonts w:ascii="Book Antiqua" w:eastAsia="Times New Roman" w:hAnsi="Book Antiqua" w:cs="Times New Roman"/>
          <w:sz w:val="23"/>
          <w:szCs w:val="23"/>
          <w:lang w:val="en-GB" w:bidi="he-IL"/>
        </w:rPr>
        <w:t xml:space="preserve"> years of the probation period, he has to visit the </w:t>
      </w:r>
      <w:hyperlink r:id="rId25" w:tgtFrame="_hplink" w:history="1">
        <w:r w:rsidRPr="003E3613">
          <w:rPr>
            <w:rFonts w:ascii="Book Antiqua" w:eastAsia="Times New Roman" w:hAnsi="Book Antiqua" w:cs="Times New Roman"/>
            <w:sz w:val="23"/>
            <w:szCs w:val="23"/>
            <w:lang w:val="en-GB" w:bidi="he-IL"/>
          </w:rPr>
          <w:t xml:space="preserve">Budapest Holocaust Memorial </w:t>
        </w:r>
        <w:r w:rsidR="004F3FAE" w:rsidRPr="003E3613">
          <w:rPr>
            <w:rFonts w:ascii="Book Antiqua" w:eastAsia="Times New Roman" w:hAnsi="Book Antiqua" w:cs="Times New Roman"/>
            <w:sz w:val="23"/>
            <w:szCs w:val="23"/>
            <w:lang w:val="en-GB" w:bidi="he-IL"/>
          </w:rPr>
          <w:t>Centre</w:t>
        </w:r>
      </w:hyperlink>
      <w:r w:rsidRPr="003E3613">
        <w:rPr>
          <w:rFonts w:ascii="Book Antiqua" w:eastAsia="Times New Roman" w:hAnsi="Book Antiqua" w:cs="Times New Roman"/>
          <w:sz w:val="23"/>
          <w:szCs w:val="23"/>
          <w:lang w:val="en-GB" w:bidi="he-IL"/>
        </w:rPr>
        <w:t xml:space="preserve"> in </w:t>
      </w:r>
      <w:r w:rsidR="00B3605A" w:rsidRPr="003E3613">
        <w:rPr>
          <w:rFonts w:ascii="Book Antiqua" w:eastAsia="Times New Roman" w:hAnsi="Book Antiqua" w:cs="Times New Roman"/>
          <w:sz w:val="23"/>
          <w:szCs w:val="23"/>
          <w:lang w:val="en-GB" w:bidi="he-IL"/>
        </w:rPr>
        <w:t xml:space="preserve">Páva </w:t>
      </w:r>
      <w:r w:rsidR="004F3FAE" w:rsidRPr="003E3613">
        <w:rPr>
          <w:rFonts w:ascii="Book Antiqua" w:eastAsia="Times New Roman" w:hAnsi="Book Antiqua" w:cs="Times New Roman"/>
          <w:sz w:val="23"/>
          <w:szCs w:val="23"/>
          <w:lang w:val="en-GB" w:bidi="he-IL"/>
        </w:rPr>
        <w:t>Street</w:t>
      </w:r>
      <w:r w:rsidRPr="003E3613">
        <w:rPr>
          <w:rFonts w:ascii="Book Antiqua" w:eastAsia="Times New Roman" w:hAnsi="Book Antiqua" w:cs="Times New Roman"/>
          <w:sz w:val="23"/>
          <w:szCs w:val="23"/>
          <w:lang w:val="en-GB" w:bidi="he-IL"/>
        </w:rPr>
        <w:t xml:space="preserve"> and has to submit an account of his experiences. The perpetrator was </w:t>
      </w:r>
      <w:hyperlink r:id="rId26" w:tgtFrame="_hplink" w:history="1">
        <w:r w:rsidRPr="003E3613">
          <w:rPr>
            <w:rFonts w:ascii="Book Antiqua" w:eastAsia="Times New Roman" w:hAnsi="Book Antiqua" w:cs="Times New Roman"/>
            <w:sz w:val="23"/>
            <w:szCs w:val="23"/>
            <w:lang w:val="en-GB" w:bidi="he-IL"/>
          </w:rPr>
          <w:t>arrested in 2011</w:t>
        </w:r>
      </w:hyperlink>
      <w:r w:rsidRPr="003E3613">
        <w:rPr>
          <w:rFonts w:ascii="Book Antiqua" w:eastAsia="Times New Roman" w:hAnsi="Book Antiqua" w:cs="Times New Roman"/>
          <w:sz w:val="23"/>
          <w:szCs w:val="23"/>
          <w:lang w:val="en-GB" w:bidi="he-IL"/>
        </w:rPr>
        <w:t xml:space="preserve"> at a rally in Budapest for he was holding up a banner with the words in Hebrew: "The Shoah did not happen". </w:t>
      </w:r>
    </w:p>
    <w:p w14:paraId="004DF94A" w14:textId="77777777" w:rsidR="00660031" w:rsidRDefault="00815A80" w:rsidP="00204696">
      <w:pPr>
        <w:numPr>
          <w:ilvl w:val="0"/>
          <w:numId w:val="11"/>
        </w:numPr>
        <w:shd w:val="clear" w:color="auto" w:fill="FFFFFF"/>
        <w:spacing w:after="0"/>
        <w:jc w:val="both"/>
        <w:rPr>
          <w:rFonts w:ascii="Book Antiqua" w:hAnsi="Book Antiqua" w:cs="Times New Roman"/>
          <w:sz w:val="23"/>
          <w:szCs w:val="23"/>
          <w:lang w:val="en-GB" w:bidi="he-IL"/>
        </w:rPr>
      </w:pPr>
      <w:r w:rsidRPr="003E3613">
        <w:rPr>
          <w:rFonts w:ascii="Book Antiqua" w:hAnsi="Book Antiqua" w:cs="Times New Roman"/>
          <w:sz w:val="23"/>
          <w:szCs w:val="23"/>
          <w:lang w:val="en-GB" w:bidi="he-IL"/>
        </w:rPr>
        <w:t xml:space="preserve">In January 2015, a Hungarian court ordered an article on the far-right website Kuruc.info to be blocked because it </w:t>
      </w:r>
      <w:r w:rsidRPr="003E3613">
        <w:rPr>
          <w:rFonts w:ascii="Book Antiqua" w:hAnsi="Book Antiqua" w:cs="Times New Roman"/>
          <w:bCs/>
          <w:sz w:val="23"/>
          <w:szCs w:val="23"/>
          <w:lang w:val="en-GB" w:bidi="he-IL"/>
        </w:rPr>
        <w:t>(including its comments)</w:t>
      </w:r>
      <w:r w:rsidRPr="003E3613">
        <w:rPr>
          <w:rFonts w:ascii="Book Antiqua" w:hAnsi="Book Antiqua" w:cs="Times New Roman"/>
          <w:sz w:val="23"/>
          <w:szCs w:val="23"/>
          <w:lang w:val="en-GB" w:bidi="he-IL"/>
        </w:rPr>
        <w:t xml:space="preserve"> contained text denying, belittling or distorting the crimes committed by the National-Socialist regimes. </w:t>
      </w:r>
      <w:r w:rsidRPr="003E3613">
        <w:rPr>
          <w:rFonts w:ascii="Book Antiqua" w:hAnsi="Book Antiqua" w:cs="Times New Roman"/>
          <w:bCs/>
          <w:sz w:val="23"/>
          <w:szCs w:val="23"/>
          <w:lang w:val="en-GB" w:bidi="he-IL"/>
        </w:rPr>
        <w:t>This was the first time that a Hungarian court ruled to block the Internet content.</w:t>
      </w:r>
      <w:r w:rsidRPr="003E3613">
        <w:rPr>
          <w:rFonts w:ascii="Book Antiqua" w:hAnsi="Book Antiqua" w:cs="Times New Roman"/>
          <w:sz w:val="23"/>
          <w:szCs w:val="23"/>
          <w:lang w:val="en-GB" w:bidi="he-IL"/>
        </w:rPr>
        <w:t xml:space="preserve"> The article appeared there in June 2013 and questioned the atrocities against Jews in Auschwitz claiming that ‘such things never ever happened’. Following its </w:t>
      </w:r>
    </w:p>
    <w:p w14:paraId="0F3E844E" w14:textId="77777777" w:rsidR="00660031" w:rsidRDefault="00660031">
      <w:pPr>
        <w:rPr>
          <w:rFonts w:ascii="Book Antiqua" w:hAnsi="Book Antiqua" w:cs="Times New Roman"/>
          <w:sz w:val="23"/>
          <w:szCs w:val="23"/>
          <w:lang w:val="en-GB" w:bidi="he-IL"/>
        </w:rPr>
      </w:pPr>
      <w:r>
        <w:rPr>
          <w:rFonts w:ascii="Book Antiqua" w:hAnsi="Book Antiqua" w:cs="Times New Roman"/>
          <w:sz w:val="23"/>
          <w:szCs w:val="23"/>
          <w:lang w:val="en-GB" w:bidi="he-IL"/>
        </w:rPr>
        <w:br w:type="page"/>
      </w:r>
    </w:p>
    <w:p w14:paraId="3657E5E3" w14:textId="4A613BC3" w:rsidR="00815A80" w:rsidRPr="003E3613" w:rsidRDefault="00815A80" w:rsidP="00660031">
      <w:pPr>
        <w:shd w:val="clear" w:color="auto" w:fill="FFFFFF"/>
        <w:spacing w:after="0"/>
        <w:ind w:left="360"/>
        <w:jc w:val="both"/>
        <w:rPr>
          <w:rFonts w:ascii="Book Antiqua" w:hAnsi="Book Antiqua" w:cs="Times New Roman"/>
          <w:sz w:val="23"/>
          <w:szCs w:val="23"/>
          <w:lang w:val="en-GB" w:bidi="he-IL"/>
        </w:rPr>
      </w:pPr>
      <w:r w:rsidRPr="003E3613">
        <w:rPr>
          <w:rFonts w:ascii="Book Antiqua" w:hAnsi="Book Antiqua" w:cs="Times New Roman"/>
          <w:sz w:val="23"/>
          <w:szCs w:val="23"/>
          <w:lang w:val="en-GB" w:bidi="he-IL"/>
        </w:rPr>
        <w:lastRenderedPageBreak/>
        <w:t xml:space="preserve">appearance on the site, a police investigation was launched to find the author of the article. The police however was unable to identify the author or the person responsible for publishing the article. Therefore the Budapest Chief Prosecutor’s Office addressed the court to order the article to be made unavailable at long last. The US-based server </w:t>
      </w:r>
      <w:r w:rsidRPr="003E3613">
        <w:rPr>
          <w:rFonts w:ascii="Book Antiqua" w:hAnsi="Book Antiqua" w:cs="Times New Roman"/>
          <w:sz w:val="23"/>
          <w:szCs w:val="23"/>
          <w:shd w:val="clear" w:color="auto" w:fill="FFFFFF"/>
          <w:lang w:val="en-GB" w:bidi="he-IL"/>
        </w:rPr>
        <w:t xml:space="preserve">where the site is registered </w:t>
      </w:r>
      <w:r w:rsidRPr="003E3613">
        <w:rPr>
          <w:rFonts w:ascii="Book Antiqua" w:hAnsi="Book Antiqua" w:cs="Times New Roman"/>
          <w:bCs/>
          <w:sz w:val="23"/>
          <w:szCs w:val="23"/>
          <w:shd w:val="clear" w:color="auto" w:fill="FFFFFF"/>
          <w:lang w:val="en-GB" w:bidi="he-IL"/>
        </w:rPr>
        <w:t>refused to voluntarily make it unavailable</w:t>
      </w:r>
      <w:r w:rsidRPr="003E3613">
        <w:rPr>
          <w:rFonts w:ascii="Book Antiqua" w:hAnsi="Book Antiqua" w:cs="Times New Roman"/>
          <w:sz w:val="23"/>
          <w:szCs w:val="23"/>
          <w:lang w:val="en-GB" w:bidi="he-IL"/>
        </w:rPr>
        <w:t xml:space="preserve"> or to delete it from its database</w:t>
      </w:r>
      <w:r w:rsidRPr="003E3613">
        <w:rPr>
          <w:rFonts w:ascii="Book Antiqua" w:hAnsi="Book Antiqua"/>
          <w:color w:val="4C493F"/>
          <w:sz w:val="23"/>
          <w:szCs w:val="23"/>
          <w:shd w:val="clear" w:color="auto" w:fill="FFFFFF"/>
          <w:lang w:val="en-GB" w:bidi="he-IL"/>
        </w:rPr>
        <w:t>.</w:t>
      </w:r>
      <w:r w:rsidRPr="003E3613">
        <w:rPr>
          <w:rFonts w:ascii="Book Antiqua" w:hAnsi="Book Antiqua" w:cs="Times New Roman"/>
          <w:sz w:val="23"/>
          <w:szCs w:val="23"/>
          <w:lang w:val="en-GB" w:bidi="he-IL"/>
        </w:rPr>
        <w:t xml:space="preserve"> Then the Ministry of Justice through legal assistance requested the competent US court to enforce the Hungarian court’s ruling which however also proved </w:t>
      </w:r>
      <w:r w:rsidRPr="003E3613">
        <w:rPr>
          <w:rFonts w:ascii="Book Antiqua" w:hAnsi="Book Antiqua" w:cs="Times New Roman"/>
          <w:bCs/>
          <w:sz w:val="23"/>
          <w:szCs w:val="23"/>
          <w:lang w:val="en-GB" w:bidi="he-IL"/>
        </w:rPr>
        <w:t>futile.</w:t>
      </w:r>
      <w:r w:rsidRPr="003E3613">
        <w:rPr>
          <w:rFonts w:ascii="Book Antiqua" w:hAnsi="Book Antiqua" w:cs="Times New Roman"/>
          <w:sz w:val="23"/>
          <w:szCs w:val="23"/>
          <w:lang w:val="en-GB" w:bidi="he-IL"/>
        </w:rPr>
        <w:t xml:space="preserve"> </w:t>
      </w:r>
      <w:r w:rsidRPr="003E3613">
        <w:rPr>
          <w:rFonts w:ascii="Book Antiqua" w:hAnsi="Book Antiqua" w:cs="Times New Roman"/>
          <w:bCs/>
          <w:sz w:val="23"/>
          <w:szCs w:val="23"/>
          <w:lang w:val="en-GB" w:bidi="he-IL"/>
        </w:rPr>
        <w:t>In June 2015</w:t>
      </w:r>
      <w:r w:rsidRPr="003E3613">
        <w:rPr>
          <w:rFonts w:ascii="Book Antiqua" w:hAnsi="Book Antiqua" w:cs="Times New Roman"/>
          <w:sz w:val="23"/>
          <w:szCs w:val="23"/>
          <w:lang w:val="en-GB" w:bidi="he-IL"/>
        </w:rPr>
        <w:t xml:space="preserve">, the same legal proceedings were carried out with the same result regarding </w:t>
      </w:r>
      <w:r w:rsidRPr="003E3613">
        <w:rPr>
          <w:rFonts w:ascii="Book Antiqua" w:hAnsi="Book Antiqua" w:cs="Times New Roman"/>
          <w:bCs/>
          <w:sz w:val="23"/>
          <w:szCs w:val="23"/>
          <w:lang w:val="en-GB" w:bidi="he-IL"/>
        </w:rPr>
        <w:t xml:space="preserve">a sub-page of the above website </w:t>
      </w:r>
      <w:r w:rsidRPr="003E3613">
        <w:rPr>
          <w:rFonts w:ascii="Book Antiqua" w:hAnsi="Book Antiqua" w:cs="Times New Roman"/>
          <w:sz w:val="23"/>
          <w:szCs w:val="23"/>
          <w:lang w:val="en-GB" w:bidi="he-IL"/>
        </w:rPr>
        <w:t xml:space="preserve">for it was delivering anti-Semitic and Holocaust denying content. </w:t>
      </w:r>
      <w:r w:rsidRPr="003E3613">
        <w:rPr>
          <w:rFonts w:ascii="Book Antiqua" w:hAnsi="Book Antiqua" w:cs="Times New Roman"/>
          <w:sz w:val="23"/>
          <w:szCs w:val="23"/>
          <w:shd w:val="clear" w:color="auto" w:fill="FFFFFF"/>
          <w:lang w:val="en-GB" w:bidi="he-IL"/>
        </w:rPr>
        <w:t xml:space="preserve">Meanwhile an amendment to the </w:t>
      </w:r>
      <w:r w:rsidR="008B6D47" w:rsidRPr="003E3613">
        <w:rPr>
          <w:rFonts w:ascii="Book Antiqua" w:hAnsi="Book Antiqua" w:cs="Times New Roman"/>
          <w:sz w:val="23"/>
          <w:szCs w:val="23"/>
          <w:shd w:val="clear" w:color="auto" w:fill="FFFFFF"/>
          <w:lang w:val="en-GB" w:bidi="he-IL"/>
        </w:rPr>
        <w:t>C</w:t>
      </w:r>
      <w:r w:rsidRPr="003E3613">
        <w:rPr>
          <w:rFonts w:ascii="Book Antiqua" w:hAnsi="Book Antiqua" w:cs="Times New Roman"/>
          <w:sz w:val="23"/>
          <w:szCs w:val="23"/>
          <w:shd w:val="clear" w:color="auto" w:fill="FFFFFF"/>
          <w:lang w:val="en-GB" w:bidi="he-IL"/>
        </w:rPr>
        <w:t xml:space="preserve">riminal </w:t>
      </w:r>
      <w:r w:rsidR="008B6D47" w:rsidRPr="003E3613">
        <w:rPr>
          <w:rFonts w:ascii="Book Antiqua" w:hAnsi="Book Antiqua" w:cs="Times New Roman"/>
          <w:sz w:val="23"/>
          <w:szCs w:val="23"/>
          <w:shd w:val="clear" w:color="auto" w:fill="FFFFFF"/>
          <w:lang w:val="en-GB" w:bidi="he-IL"/>
        </w:rPr>
        <w:t>C</w:t>
      </w:r>
      <w:r w:rsidRPr="003E3613">
        <w:rPr>
          <w:rFonts w:ascii="Book Antiqua" w:hAnsi="Book Antiqua" w:cs="Times New Roman"/>
          <w:sz w:val="23"/>
          <w:szCs w:val="23"/>
          <w:shd w:val="clear" w:color="auto" w:fill="FFFFFF"/>
          <w:lang w:val="en-GB" w:bidi="he-IL"/>
        </w:rPr>
        <w:t>ode was introduced which ought to enable the courts to make websites operated from abroad, such as the US-registered Kuruc.info, unavailable from Hungary</w:t>
      </w:r>
      <w:r w:rsidRPr="003E3613">
        <w:rPr>
          <w:rFonts w:ascii="Book Antiqua" w:hAnsi="Book Antiqua"/>
          <w:color w:val="4C493F"/>
          <w:sz w:val="23"/>
          <w:szCs w:val="23"/>
          <w:shd w:val="clear" w:color="auto" w:fill="FFFFFF"/>
          <w:lang w:val="en-GB" w:bidi="he-IL"/>
        </w:rPr>
        <w:t>.</w:t>
      </w:r>
    </w:p>
    <w:p w14:paraId="651B08EF" w14:textId="77777777" w:rsidR="00815A80" w:rsidRPr="003E3613" w:rsidRDefault="008B6D47" w:rsidP="00204696">
      <w:pPr>
        <w:numPr>
          <w:ilvl w:val="0"/>
          <w:numId w:val="11"/>
        </w:numPr>
        <w:shd w:val="clear" w:color="auto" w:fill="FFFFFF"/>
        <w:spacing w:after="0"/>
        <w:jc w:val="both"/>
        <w:rPr>
          <w:rFonts w:ascii="Book Antiqua" w:hAnsi="Book Antiqua" w:cs="Times New Roman"/>
          <w:bCs/>
          <w:sz w:val="23"/>
          <w:szCs w:val="23"/>
          <w:lang w:val="en-GB" w:bidi="he-IL"/>
        </w:rPr>
      </w:pPr>
      <w:r w:rsidRPr="003E3613">
        <w:rPr>
          <w:rFonts w:ascii="Book Antiqua" w:eastAsia="Times New Roman" w:hAnsi="Book Antiqua" w:cs="Times New Roman"/>
          <w:sz w:val="23"/>
          <w:szCs w:val="23"/>
          <w:lang w:val="en-GB" w:bidi="he-IL"/>
        </w:rPr>
        <w:t xml:space="preserve">On </w:t>
      </w:r>
      <w:r w:rsidR="00815A80" w:rsidRPr="003E3613">
        <w:rPr>
          <w:rFonts w:ascii="Book Antiqua" w:eastAsia="Times New Roman" w:hAnsi="Book Antiqua" w:cs="Times New Roman"/>
          <w:sz w:val="23"/>
          <w:szCs w:val="23"/>
          <w:lang w:val="en-GB" w:bidi="he-IL"/>
        </w:rPr>
        <w:t>26 March 2015</w:t>
      </w:r>
      <w:r w:rsidR="00815A80" w:rsidRPr="003E3613">
        <w:rPr>
          <w:rFonts w:ascii="Book Antiqua" w:eastAsia="Times New Roman" w:hAnsi="Book Antiqua" w:cs="Times New Roman"/>
          <w:bCs/>
          <w:sz w:val="23"/>
          <w:szCs w:val="23"/>
          <w:lang w:val="en-GB" w:bidi="he-IL"/>
        </w:rPr>
        <w:t xml:space="preserve"> a court in Debrecen sentenced a member of the Jobbik Party's local </w:t>
      </w:r>
      <w:r w:rsidR="00BD0A8B" w:rsidRPr="003E3613">
        <w:rPr>
          <w:rFonts w:ascii="Book Antiqua" w:eastAsia="Times New Roman" w:hAnsi="Book Antiqua" w:cs="Times New Roman"/>
          <w:bCs/>
          <w:sz w:val="23"/>
          <w:szCs w:val="23"/>
          <w:lang w:val="en-GB" w:bidi="he-IL"/>
        </w:rPr>
        <w:t>organisation</w:t>
      </w:r>
      <w:r w:rsidR="00815A80" w:rsidRPr="003E3613">
        <w:rPr>
          <w:rFonts w:ascii="Book Antiqua" w:eastAsia="Times New Roman" w:hAnsi="Book Antiqua" w:cs="Times New Roman"/>
          <w:bCs/>
          <w:sz w:val="23"/>
          <w:szCs w:val="23"/>
          <w:lang w:val="en-GB" w:bidi="he-IL"/>
        </w:rPr>
        <w:t xml:space="preserve"> and member of the local municipal council to </w:t>
      </w:r>
      <w:r w:rsidR="00815A80" w:rsidRPr="003E3613">
        <w:rPr>
          <w:rFonts w:ascii="Book Antiqua" w:hAnsi="Book Antiqua" w:cs="Times New Roman"/>
          <w:sz w:val="23"/>
          <w:szCs w:val="23"/>
          <w:lang w:val="en-GB" w:bidi="he-IL"/>
        </w:rPr>
        <w:t xml:space="preserve">a </w:t>
      </w:r>
      <w:r w:rsidR="006A2208" w:rsidRPr="003E3613">
        <w:rPr>
          <w:rFonts w:ascii="Book Antiqua" w:hAnsi="Book Antiqua" w:cs="Times New Roman"/>
          <w:sz w:val="23"/>
          <w:szCs w:val="23"/>
          <w:lang w:val="en-GB" w:bidi="he-IL"/>
        </w:rPr>
        <w:t>fine</w:t>
      </w:r>
      <w:r w:rsidR="00815A80" w:rsidRPr="003E3613">
        <w:rPr>
          <w:rFonts w:ascii="Book Antiqua" w:hAnsi="Book Antiqua" w:cs="Times New Roman"/>
          <w:sz w:val="23"/>
          <w:szCs w:val="23"/>
          <w:lang w:val="en-GB" w:bidi="he-IL"/>
        </w:rPr>
        <w:t xml:space="preserve"> of 3000</w:t>
      </w:r>
      <w:r w:rsidR="00010AA7" w:rsidRPr="003E3613">
        <w:rPr>
          <w:rFonts w:ascii="Book Antiqua" w:hAnsi="Book Antiqua" w:cs="Times New Roman"/>
          <w:sz w:val="23"/>
          <w:szCs w:val="23"/>
          <w:lang w:val="en-GB" w:bidi="he-IL"/>
        </w:rPr>
        <w:t xml:space="preserve"> </w:t>
      </w:r>
      <w:r w:rsidR="00815A80" w:rsidRPr="003E3613">
        <w:rPr>
          <w:rFonts w:ascii="Book Antiqua" w:hAnsi="Book Antiqua" w:cs="Times New Roman"/>
          <w:sz w:val="23"/>
          <w:szCs w:val="23"/>
          <w:lang w:val="en-GB" w:bidi="he-IL"/>
        </w:rPr>
        <w:t>USD or 300 days imprisonment</w:t>
      </w:r>
      <w:r w:rsidR="00815A80" w:rsidRPr="003E3613">
        <w:rPr>
          <w:rFonts w:ascii="Book Antiqua" w:eastAsia="Times New Roman" w:hAnsi="Book Antiqua" w:cs="Times New Roman"/>
          <w:bCs/>
          <w:sz w:val="23"/>
          <w:szCs w:val="23"/>
          <w:lang w:val="en-GB" w:bidi="he-IL"/>
        </w:rPr>
        <w:t xml:space="preserve"> who publicly denigrated the Holocaust in a WWII-commemoration speech in January 2015.</w:t>
      </w:r>
      <w:r w:rsidR="00815A80" w:rsidRPr="003E3613">
        <w:rPr>
          <w:rFonts w:ascii="Book Antiqua" w:hAnsi="Book Antiqua" w:cs="Times New Roman"/>
          <w:sz w:val="23"/>
          <w:szCs w:val="23"/>
          <w:lang w:val="en-GB" w:bidi="he-IL"/>
        </w:rPr>
        <w:t xml:space="preserve"> </w:t>
      </w:r>
      <w:r w:rsidR="00815A80" w:rsidRPr="003E3613">
        <w:rPr>
          <w:rFonts w:ascii="Book Antiqua" w:hAnsi="Book Antiqua" w:cs="Times New Roman"/>
          <w:bCs/>
          <w:sz w:val="23"/>
          <w:szCs w:val="23"/>
          <w:lang w:val="en-GB" w:bidi="he-IL"/>
        </w:rPr>
        <w:t>The indicted person publicly apologized for his offen</w:t>
      </w:r>
      <w:r w:rsidR="000C580E" w:rsidRPr="003E3613">
        <w:rPr>
          <w:rFonts w:ascii="Book Antiqua" w:hAnsi="Book Antiqua" w:cs="Times New Roman"/>
          <w:bCs/>
          <w:sz w:val="23"/>
          <w:szCs w:val="23"/>
          <w:lang w:val="en-GB" w:bidi="he-IL"/>
        </w:rPr>
        <w:t>c</w:t>
      </w:r>
      <w:r w:rsidR="00815A80" w:rsidRPr="003E3613">
        <w:rPr>
          <w:rFonts w:ascii="Book Antiqua" w:hAnsi="Book Antiqua" w:cs="Times New Roman"/>
          <w:bCs/>
          <w:sz w:val="23"/>
          <w:szCs w:val="23"/>
          <w:lang w:val="en-GB" w:bidi="he-IL"/>
        </w:rPr>
        <w:t>e before the local Jewish community later in August.</w:t>
      </w:r>
      <w:r w:rsidR="00815A80" w:rsidRPr="003E3613">
        <w:rPr>
          <w:rFonts w:ascii="Book Antiqua" w:hAnsi="Book Antiqua" w:cs="Times New Roman"/>
          <w:sz w:val="23"/>
          <w:szCs w:val="23"/>
          <w:lang w:val="en-GB" w:bidi="he-IL"/>
        </w:rPr>
        <w:t xml:space="preserve"> </w:t>
      </w:r>
    </w:p>
    <w:p w14:paraId="5932A000" w14:textId="49DFD3B7" w:rsidR="00815A80" w:rsidRPr="003E3613" w:rsidRDefault="008B6D47" w:rsidP="00204696">
      <w:pPr>
        <w:numPr>
          <w:ilvl w:val="0"/>
          <w:numId w:val="11"/>
        </w:numPr>
        <w:shd w:val="clear" w:color="auto" w:fill="FFFFFF"/>
        <w:spacing w:after="0"/>
        <w:jc w:val="both"/>
        <w:rPr>
          <w:rFonts w:ascii="Book Antiqua" w:hAnsi="Book Antiqua" w:cs="Times New Roman"/>
          <w:sz w:val="23"/>
          <w:szCs w:val="23"/>
          <w:u w:val="single"/>
          <w:lang w:val="en-GB" w:bidi="he-IL"/>
        </w:rPr>
      </w:pPr>
      <w:r w:rsidRPr="003E3613">
        <w:rPr>
          <w:rFonts w:ascii="Book Antiqua" w:hAnsi="Book Antiqua" w:cs="Times New Roman"/>
          <w:sz w:val="23"/>
          <w:szCs w:val="23"/>
          <w:lang w:val="en-GB" w:bidi="he-IL"/>
        </w:rPr>
        <w:t xml:space="preserve">On </w:t>
      </w:r>
      <w:r w:rsidR="00815A80" w:rsidRPr="003E3613">
        <w:rPr>
          <w:rFonts w:ascii="Book Antiqua" w:hAnsi="Book Antiqua" w:cs="Times New Roman"/>
          <w:sz w:val="23"/>
          <w:szCs w:val="23"/>
          <w:lang w:val="en-GB" w:bidi="he-IL"/>
        </w:rPr>
        <w:t xml:space="preserve">5 January 2016 </w:t>
      </w:r>
      <w:r w:rsidR="00815A80" w:rsidRPr="003E3613">
        <w:rPr>
          <w:rFonts w:ascii="Book Antiqua" w:hAnsi="Book Antiqua" w:cs="Times New Roman"/>
          <w:bCs/>
          <w:sz w:val="23"/>
          <w:szCs w:val="23"/>
          <w:lang w:val="en-GB" w:bidi="he-IL"/>
        </w:rPr>
        <w:t xml:space="preserve">a man was </w:t>
      </w:r>
      <w:r w:rsidR="00815A80" w:rsidRPr="003E3613">
        <w:rPr>
          <w:rFonts w:ascii="Book Antiqua" w:hAnsi="Book Antiqua" w:cs="Times New Roman"/>
          <w:sz w:val="23"/>
          <w:szCs w:val="23"/>
          <w:lang w:val="en-GB" w:bidi="he-IL"/>
        </w:rPr>
        <w:t>punished</w:t>
      </w:r>
      <w:r w:rsidR="00815A80" w:rsidRPr="003E3613">
        <w:rPr>
          <w:rFonts w:ascii="Book Antiqua" w:hAnsi="Book Antiqua" w:cs="Times New Roman"/>
          <w:bCs/>
          <w:sz w:val="23"/>
          <w:szCs w:val="23"/>
          <w:lang w:val="en-GB" w:bidi="he-IL"/>
        </w:rPr>
        <w:t xml:space="preserve"> by a</w:t>
      </w:r>
      <w:r w:rsidR="00815A80" w:rsidRPr="003E3613">
        <w:rPr>
          <w:rFonts w:ascii="Book Antiqua" w:hAnsi="Book Antiqua" w:cs="Times New Roman"/>
          <w:sz w:val="23"/>
          <w:szCs w:val="23"/>
          <w:lang w:val="en-GB" w:bidi="he-IL"/>
        </w:rPr>
        <w:t xml:space="preserve"> court in Esztergom with a</w:t>
      </w:r>
      <w:r w:rsidR="009A0676">
        <w:rPr>
          <w:rFonts w:ascii="Book Antiqua" w:hAnsi="Book Antiqua" w:cs="Times New Roman"/>
          <w:sz w:val="23"/>
          <w:szCs w:val="23"/>
          <w:lang w:val="en-GB" w:bidi="he-IL"/>
        </w:rPr>
        <w:t xml:space="preserve"> EUR</w:t>
      </w:r>
      <w:r w:rsidR="00815A80" w:rsidRPr="003E3613">
        <w:rPr>
          <w:rFonts w:ascii="Book Antiqua" w:hAnsi="Book Antiqua" w:cs="Times New Roman"/>
          <w:sz w:val="23"/>
          <w:szCs w:val="23"/>
          <w:lang w:val="en-GB" w:bidi="he-IL"/>
        </w:rPr>
        <w:t xml:space="preserve"> 2600</w:t>
      </w:r>
      <w:r w:rsidR="00010AA7" w:rsidRPr="003E3613">
        <w:rPr>
          <w:rFonts w:ascii="Book Antiqua" w:hAnsi="Book Antiqua" w:cs="Times New Roman"/>
          <w:sz w:val="23"/>
          <w:szCs w:val="23"/>
          <w:lang w:val="en-GB" w:bidi="he-IL"/>
        </w:rPr>
        <w:t xml:space="preserve"> </w:t>
      </w:r>
      <w:r w:rsidR="006A2208" w:rsidRPr="003E3613">
        <w:rPr>
          <w:rFonts w:ascii="Book Antiqua" w:hAnsi="Book Antiqua" w:cs="Times New Roman"/>
          <w:sz w:val="23"/>
          <w:szCs w:val="23"/>
          <w:lang w:val="en-GB" w:bidi="he-IL"/>
        </w:rPr>
        <w:t xml:space="preserve">fine </w:t>
      </w:r>
      <w:r w:rsidR="00815A80" w:rsidRPr="003E3613">
        <w:rPr>
          <w:rFonts w:ascii="Book Antiqua" w:hAnsi="Book Antiqua" w:cs="Times New Roman"/>
          <w:sz w:val="23"/>
          <w:szCs w:val="23"/>
          <w:lang w:val="en-GB" w:bidi="he-IL"/>
        </w:rPr>
        <w:t>or 400 day</w:t>
      </w:r>
      <w:r w:rsidR="00B3605A" w:rsidRPr="003E3613">
        <w:rPr>
          <w:rFonts w:ascii="Book Antiqua" w:hAnsi="Book Antiqua" w:cs="Times New Roman"/>
          <w:sz w:val="23"/>
          <w:szCs w:val="23"/>
          <w:lang w:val="en-GB" w:bidi="he-IL"/>
        </w:rPr>
        <w:t>s</w:t>
      </w:r>
      <w:r w:rsidR="00815A80" w:rsidRPr="003E3613">
        <w:rPr>
          <w:rFonts w:ascii="Book Antiqua" w:hAnsi="Book Antiqua" w:cs="Times New Roman"/>
          <w:sz w:val="23"/>
          <w:szCs w:val="23"/>
          <w:lang w:val="en-GB" w:bidi="he-IL"/>
        </w:rPr>
        <w:t xml:space="preserve"> imprisonment </w:t>
      </w:r>
      <w:r w:rsidR="00815A80" w:rsidRPr="003E3613">
        <w:rPr>
          <w:rFonts w:ascii="Book Antiqua" w:hAnsi="Book Antiqua" w:cs="Times New Roman"/>
          <w:bCs/>
          <w:sz w:val="23"/>
          <w:szCs w:val="23"/>
          <w:lang w:val="en-GB" w:bidi="he-IL"/>
        </w:rPr>
        <w:t>for committing</w:t>
      </w:r>
      <w:r w:rsidR="00815A80" w:rsidRPr="003E3613">
        <w:rPr>
          <w:rFonts w:ascii="Book Antiqua" w:hAnsi="Book Antiqua" w:cs="Times New Roman"/>
          <w:sz w:val="23"/>
          <w:szCs w:val="23"/>
          <w:lang w:val="en-GB" w:bidi="he-IL"/>
        </w:rPr>
        <w:t xml:space="preserve"> by a Facebook posting the denial</w:t>
      </w:r>
      <w:r w:rsidR="006A2208" w:rsidRPr="003E3613">
        <w:rPr>
          <w:rFonts w:ascii="Book Antiqua" w:hAnsi="Book Antiqua" w:cs="Times New Roman"/>
          <w:sz w:val="23"/>
          <w:szCs w:val="23"/>
          <w:lang w:val="en-GB" w:bidi="he-IL"/>
        </w:rPr>
        <w:t xml:space="preserve"> of the crimes committed by the National Socialist and Communist regimes</w:t>
      </w:r>
      <w:r w:rsidR="00815A80" w:rsidRPr="003E3613">
        <w:rPr>
          <w:rFonts w:ascii="Book Antiqua" w:hAnsi="Book Antiqua" w:cs="Times New Roman"/>
          <w:sz w:val="23"/>
          <w:szCs w:val="23"/>
          <w:lang w:val="en-GB" w:bidi="he-IL"/>
        </w:rPr>
        <w:t>.</w:t>
      </w:r>
    </w:p>
    <w:p w14:paraId="0630FE6A" w14:textId="77777777" w:rsidR="00815A80" w:rsidRPr="003E3613" w:rsidRDefault="00815A80" w:rsidP="00204696">
      <w:pPr>
        <w:spacing w:after="0"/>
        <w:jc w:val="both"/>
        <w:rPr>
          <w:rFonts w:ascii="Book Antiqua" w:hAnsi="Book Antiqua"/>
          <w:sz w:val="23"/>
          <w:szCs w:val="23"/>
          <w:lang w:val="en-GB"/>
        </w:rPr>
      </w:pPr>
    </w:p>
    <w:p w14:paraId="209CD6E4" w14:textId="77777777" w:rsidR="00E63D73" w:rsidRPr="003E3613" w:rsidRDefault="008C4FA2" w:rsidP="00204696">
      <w:pPr>
        <w:spacing w:after="0"/>
        <w:jc w:val="both"/>
        <w:rPr>
          <w:rFonts w:ascii="Book Antiqua" w:hAnsi="Book Antiqua"/>
          <w:sz w:val="23"/>
          <w:szCs w:val="23"/>
          <w:lang w:val="en-GB"/>
        </w:rPr>
      </w:pPr>
      <w:r w:rsidRPr="003E3613">
        <w:rPr>
          <w:rFonts w:ascii="Book Antiqua" w:hAnsi="Book Antiqua"/>
          <w:sz w:val="23"/>
          <w:szCs w:val="23"/>
          <w:lang w:val="en-GB"/>
        </w:rPr>
        <w:t>The leaders of the local Jewish community a</w:t>
      </w:r>
      <w:r w:rsidR="00033A5E" w:rsidRPr="003E3613">
        <w:rPr>
          <w:rFonts w:ascii="Book Antiqua" w:hAnsi="Book Antiqua"/>
          <w:sz w:val="23"/>
          <w:szCs w:val="23"/>
          <w:lang w:val="en-GB"/>
        </w:rPr>
        <w:t>cknowledged</w:t>
      </w:r>
      <w:r w:rsidRPr="003E3613">
        <w:rPr>
          <w:rFonts w:ascii="Book Antiqua" w:hAnsi="Book Antiqua"/>
          <w:sz w:val="23"/>
          <w:szCs w:val="23"/>
          <w:lang w:val="en-GB"/>
        </w:rPr>
        <w:t xml:space="preserve"> </w:t>
      </w:r>
      <w:r w:rsidR="00815A80" w:rsidRPr="003E3613">
        <w:rPr>
          <w:rFonts w:ascii="Book Antiqua" w:hAnsi="Book Antiqua"/>
          <w:sz w:val="23"/>
          <w:szCs w:val="23"/>
          <w:lang w:val="en-GB"/>
        </w:rPr>
        <w:t xml:space="preserve">that Jewish life in Hungary is experiencing a renaissance. </w:t>
      </w:r>
      <w:r w:rsidRPr="003E3613">
        <w:rPr>
          <w:rFonts w:ascii="Book Antiqua" w:hAnsi="Book Antiqua"/>
          <w:sz w:val="23"/>
          <w:szCs w:val="23"/>
          <w:lang w:val="en-GB"/>
        </w:rPr>
        <w:t>During his 19</w:t>
      </w:r>
      <w:r w:rsidRPr="003E3613">
        <w:rPr>
          <w:rFonts w:ascii="Book Antiqua" w:hAnsi="Book Antiqua"/>
          <w:sz w:val="23"/>
          <w:szCs w:val="23"/>
          <w:vertAlign w:val="superscript"/>
          <w:lang w:val="en-GB"/>
        </w:rPr>
        <w:t>th</w:t>
      </w:r>
      <w:r w:rsidRPr="003E3613">
        <w:rPr>
          <w:rFonts w:ascii="Book Antiqua" w:hAnsi="Book Antiqua"/>
          <w:sz w:val="23"/>
          <w:szCs w:val="23"/>
          <w:lang w:val="en-GB"/>
        </w:rPr>
        <w:t xml:space="preserve"> July 2017 visit to Hungary, Israeli Prime Minister Benjamin Netanyahu</w:t>
      </w:r>
      <w:r w:rsidR="00815A80" w:rsidRPr="003E3613">
        <w:rPr>
          <w:rFonts w:ascii="Book Antiqua" w:hAnsi="Book Antiqua"/>
          <w:sz w:val="23"/>
          <w:szCs w:val="23"/>
          <w:lang w:val="en-GB"/>
        </w:rPr>
        <w:t xml:space="preserve"> said that it was important that in his statement the Hungarian Prime Minister had spoken openly about the crimes committed against the Jews by previous Hungarian </w:t>
      </w:r>
      <w:r w:rsidR="00A63AE1" w:rsidRPr="003E3613">
        <w:rPr>
          <w:rFonts w:ascii="Book Antiqua" w:hAnsi="Book Antiqua"/>
          <w:sz w:val="23"/>
          <w:szCs w:val="23"/>
          <w:lang w:val="en-GB"/>
        </w:rPr>
        <w:t>g</w:t>
      </w:r>
      <w:r w:rsidR="00815A80" w:rsidRPr="003E3613">
        <w:rPr>
          <w:rFonts w:ascii="Book Antiqua" w:hAnsi="Book Antiqua"/>
          <w:sz w:val="23"/>
          <w:szCs w:val="23"/>
          <w:lang w:val="en-GB"/>
        </w:rPr>
        <w:t xml:space="preserve">overnments. He thanked </w:t>
      </w:r>
      <w:r w:rsidR="00C0428C" w:rsidRPr="003E3613">
        <w:rPr>
          <w:rFonts w:ascii="Book Antiqua" w:hAnsi="Book Antiqua"/>
          <w:sz w:val="23"/>
          <w:szCs w:val="23"/>
          <w:lang w:val="en-GB"/>
        </w:rPr>
        <w:t xml:space="preserve">Prime </w:t>
      </w:r>
      <w:r w:rsidR="00B809F3" w:rsidRPr="003E3613">
        <w:rPr>
          <w:rFonts w:ascii="Book Antiqua" w:hAnsi="Book Antiqua"/>
          <w:sz w:val="23"/>
          <w:szCs w:val="23"/>
          <w:lang w:val="en-GB"/>
        </w:rPr>
        <w:t>M</w:t>
      </w:r>
      <w:r w:rsidR="00C0428C" w:rsidRPr="003E3613">
        <w:rPr>
          <w:rFonts w:ascii="Book Antiqua" w:hAnsi="Book Antiqua"/>
          <w:sz w:val="23"/>
          <w:szCs w:val="23"/>
          <w:lang w:val="en-GB"/>
        </w:rPr>
        <w:t>inister</w:t>
      </w:r>
      <w:r w:rsidR="00815A80" w:rsidRPr="003E3613">
        <w:rPr>
          <w:rFonts w:ascii="Book Antiqua" w:hAnsi="Book Antiqua"/>
          <w:sz w:val="23"/>
          <w:szCs w:val="23"/>
          <w:lang w:val="en-GB"/>
        </w:rPr>
        <w:t xml:space="preserve"> Orbán for speaking out against those who question Israel’s legitimacy. </w:t>
      </w:r>
      <w:r w:rsidR="00B809F3" w:rsidRPr="003E3613">
        <w:rPr>
          <w:rFonts w:ascii="Book Antiqua" w:hAnsi="Book Antiqua"/>
          <w:sz w:val="23"/>
          <w:szCs w:val="23"/>
          <w:lang w:val="en-GB"/>
        </w:rPr>
        <w:t>H</w:t>
      </w:r>
      <w:r w:rsidR="00815A80" w:rsidRPr="003E3613">
        <w:rPr>
          <w:rFonts w:ascii="Book Antiqua" w:hAnsi="Book Antiqua"/>
          <w:sz w:val="23"/>
          <w:szCs w:val="23"/>
          <w:lang w:val="en-GB"/>
        </w:rPr>
        <w:t>e</w:t>
      </w:r>
      <w:r w:rsidR="00B809F3" w:rsidRPr="003E3613">
        <w:rPr>
          <w:rFonts w:ascii="Book Antiqua" w:hAnsi="Book Antiqua"/>
          <w:sz w:val="23"/>
          <w:szCs w:val="23"/>
          <w:lang w:val="en-GB"/>
        </w:rPr>
        <w:t xml:space="preserve"> also</w:t>
      </w:r>
      <w:r w:rsidR="00815A80" w:rsidRPr="003E3613">
        <w:rPr>
          <w:rFonts w:ascii="Book Antiqua" w:hAnsi="Book Antiqua"/>
          <w:sz w:val="23"/>
          <w:szCs w:val="23"/>
          <w:lang w:val="en-GB"/>
        </w:rPr>
        <w:t xml:space="preserve"> stated that ‘Budapest is at the forefront of the states that are opposed to anti-Jewish policy’.</w:t>
      </w:r>
      <w:r w:rsidR="00264571" w:rsidRPr="003E3613">
        <w:rPr>
          <w:rStyle w:val="FootnoteReference"/>
          <w:rFonts w:ascii="Book Antiqua" w:hAnsi="Book Antiqua"/>
          <w:sz w:val="23"/>
          <w:szCs w:val="23"/>
          <w:lang w:val="en-GB"/>
        </w:rPr>
        <w:footnoteReference w:id="41"/>
      </w:r>
      <w:r w:rsidR="00815A80" w:rsidRPr="003E3613">
        <w:rPr>
          <w:rFonts w:ascii="Book Antiqua" w:hAnsi="Book Antiqua"/>
          <w:sz w:val="23"/>
          <w:szCs w:val="23"/>
          <w:lang w:val="en-GB"/>
        </w:rPr>
        <w:t xml:space="preserve"> Additionally, on 13 April 2018, Rabbi Israel Eichler, Head of the Israeli-Hungarian Friendship Association of the Israeli Parliament, sent greetings to </w:t>
      </w:r>
      <w:r w:rsidR="006070F1" w:rsidRPr="003E3613">
        <w:rPr>
          <w:rFonts w:ascii="Book Antiqua" w:hAnsi="Book Antiqua"/>
          <w:sz w:val="23"/>
          <w:szCs w:val="23"/>
          <w:lang w:val="en-GB"/>
        </w:rPr>
        <w:t>Prime Minister</w:t>
      </w:r>
      <w:r w:rsidR="00815A80" w:rsidRPr="003E3613">
        <w:rPr>
          <w:rFonts w:ascii="Book Antiqua" w:hAnsi="Book Antiqua"/>
          <w:sz w:val="23"/>
          <w:szCs w:val="23"/>
          <w:lang w:val="en-GB"/>
        </w:rPr>
        <w:t xml:space="preserve"> Orbán congratulating him for his victory at the 8 April re-election, as well as for the great election campaign. The rabbi also appraised the efforts of Mr Orbán in fighting against the anti-Semitism in Hungary and Europe.</w:t>
      </w:r>
    </w:p>
    <w:p w14:paraId="3BECAD03" w14:textId="77777777" w:rsidR="00D3662A" w:rsidRPr="003E3613" w:rsidRDefault="00D3662A" w:rsidP="00204696">
      <w:pPr>
        <w:spacing w:after="0"/>
        <w:jc w:val="both"/>
        <w:rPr>
          <w:rFonts w:ascii="Book Antiqua" w:hAnsi="Book Antiqua"/>
          <w:i/>
          <w:sz w:val="23"/>
          <w:szCs w:val="23"/>
          <w:lang w:val="en-GB"/>
        </w:rPr>
      </w:pPr>
    </w:p>
    <w:p w14:paraId="01B6312C" w14:textId="77777777" w:rsidR="002744E0" w:rsidRPr="003E3613" w:rsidRDefault="0016567F" w:rsidP="00204696">
      <w:pPr>
        <w:spacing w:after="0"/>
        <w:jc w:val="both"/>
        <w:rPr>
          <w:rFonts w:ascii="Book Antiqua" w:hAnsi="Book Antiqua"/>
          <w:i/>
          <w:sz w:val="23"/>
          <w:szCs w:val="23"/>
          <w:lang w:val="en-GB"/>
        </w:rPr>
      </w:pPr>
      <w:r w:rsidRPr="003E3613">
        <w:rPr>
          <w:rFonts w:ascii="Book Antiqua" w:hAnsi="Book Antiqua"/>
          <w:i/>
          <w:sz w:val="23"/>
          <w:szCs w:val="23"/>
          <w:lang w:val="en-GB"/>
        </w:rPr>
        <w:t>(5</w:t>
      </w:r>
      <w:r w:rsidR="00C33A7E" w:rsidRPr="003E3613">
        <w:rPr>
          <w:rFonts w:ascii="Book Antiqua" w:hAnsi="Book Antiqua"/>
          <w:i/>
          <w:sz w:val="23"/>
          <w:szCs w:val="23"/>
          <w:lang w:val="en-GB"/>
        </w:rPr>
        <w:t>8</w:t>
      </w:r>
      <w:r w:rsidRPr="003E3613">
        <w:rPr>
          <w:rFonts w:ascii="Book Antiqua" w:hAnsi="Book Antiqua"/>
          <w:i/>
          <w:sz w:val="23"/>
          <w:szCs w:val="23"/>
          <w:lang w:val="en-GB"/>
        </w:rPr>
        <w:t xml:space="preserve">) The Hungarian Government ordered that the life annuity of Holocaust survivors was to be raised by 50 % in 2012, established the Hungarian Holocaust – 2014 Memorial Committee in 2013, declared 2014 to be the Holocaust Memorial Year, launched renovation and restoration programmes of several Hungarian synagogues and Jewish cemeteries and is currently preparing for the 2019 European Maccabi Games to be held in Budapest. Hungarian legal provisions identify several offences related to hatred or incitement of hatred, including anti-Semitic or Holocaust-denying or denigrating acts. Hungary was awarded the chairmanship of the International Holocaust Remembrance Alliance (IHRA) in 2015-2016. Nevertheless, in a speech held on 15 March 2018 in Budapest, the Prime Minister of </w:t>
      </w:r>
      <w:r w:rsidRPr="003E3613">
        <w:rPr>
          <w:rFonts w:ascii="Book Antiqua" w:hAnsi="Book Antiqua"/>
          <w:i/>
          <w:sz w:val="23"/>
          <w:szCs w:val="23"/>
          <w:lang w:val="en-GB"/>
        </w:rPr>
        <w:lastRenderedPageBreak/>
        <w:t>Hungary used polemic attacks including clearly anti-Semitic stereotypes against George Soros that could have been assessed as punishable.</w:t>
      </w:r>
    </w:p>
    <w:p w14:paraId="458919BC" w14:textId="77777777" w:rsidR="0016567F" w:rsidRPr="003E3613" w:rsidRDefault="0016567F" w:rsidP="00204696">
      <w:pPr>
        <w:spacing w:after="0"/>
        <w:jc w:val="both"/>
        <w:rPr>
          <w:rFonts w:ascii="Book Antiqua" w:hAnsi="Book Antiqua"/>
          <w:i/>
          <w:sz w:val="23"/>
          <w:szCs w:val="23"/>
          <w:lang w:val="en-GB"/>
        </w:rPr>
      </w:pPr>
    </w:p>
    <w:p w14:paraId="37AD1658" w14:textId="77777777" w:rsidR="00F80BB4" w:rsidRPr="003E3613" w:rsidRDefault="00F80BB4" w:rsidP="00204696">
      <w:pPr>
        <w:spacing w:after="0"/>
        <w:jc w:val="both"/>
        <w:rPr>
          <w:rFonts w:ascii="Book Antiqua" w:hAnsi="Book Antiqua"/>
          <w:sz w:val="23"/>
          <w:szCs w:val="23"/>
          <w:lang w:val="en-GB"/>
        </w:rPr>
      </w:pPr>
      <w:r w:rsidRPr="003E3613">
        <w:rPr>
          <w:rFonts w:ascii="Book Antiqua" w:hAnsi="Book Antiqua"/>
          <w:sz w:val="23"/>
          <w:szCs w:val="23"/>
          <w:lang w:val="en-GB"/>
        </w:rPr>
        <w:t>The Hungarian Prime Minister’s speech held on 15 March 2018 in Budapest, in fact, did not contain any, either direct or indirect, references at all to the Jewish roots of George Soros, and cannot be considered as a rhetorical manifestation of antisemitism even within the broad antisemitism concept of the IHRA working definition.</w:t>
      </w:r>
    </w:p>
    <w:p w14:paraId="063EFEAC" w14:textId="77777777" w:rsidR="0016567F" w:rsidRPr="003E3613" w:rsidRDefault="0016567F" w:rsidP="00204696">
      <w:pPr>
        <w:spacing w:after="0"/>
        <w:jc w:val="both"/>
        <w:rPr>
          <w:rFonts w:ascii="Book Antiqua" w:hAnsi="Book Antiqua"/>
          <w:i/>
          <w:sz w:val="23"/>
          <w:szCs w:val="23"/>
          <w:lang w:val="en-GB"/>
        </w:rPr>
      </w:pPr>
    </w:p>
    <w:p w14:paraId="39BCB1A6" w14:textId="279D8C20" w:rsidR="004102CA" w:rsidRPr="003E3613" w:rsidRDefault="00503C39" w:rsidP="00204696">
      <w:pPr>
        <w:pStyle w:val="Heading2"/>
        <w:keepNext w:val="0"/>
        <w:keepLines w:val="0"/>
        <w:spacing w:before="0"/>
        <w:rPr>
          <w:rFonts w:ascii="Book Antiqua" w:hAnsi="Book Antiqua"/>
          <w:color w:val="auto"/>
          <w:sz w:val="23"/>
          <w:szCs w:val="23"/>
          <w:lang w:val="en-GB"/>
        </w:rPr>
      </w:pPr>
      <w:bookmarkStart w:id="64" w:name="_Toc19120822"/>
      <w:r w:rsidRPr="003E3613">
        <w:rPr>
          <w:rFonts w:ascii="Book Antiqua" w:hAnsi="Book Antiqua"/>
          <w:color w:val="auto"/>
          <w:sz w:val="23"/>
          <w:szCs w:val="23"/>
          <w:lang w:val="en-GB"/>
        </w:rPr>
        <w:t xml:space="preserve">Roma exclusion in education / </w:t>
      </w:r>
      <w:r w:rsidR="004102CA" w:rsidRPr="003E3613">
        <w:rPr>
          <w:rFonts w:ascii="Book Antiqua" w:hAnsi="Book Antiqua"/>
          <w:color w:val="auto"/>
          <w:sz w:val="23"/>
          <w:szCs w:val="23"/>
          <w:lang w:val="en-GB"/>
        </w:rPr>
        <w:t>Hate crimes and hate speech</w:t>
      </w:r>
      <w:bookmarkEnd w:id="64"/>
    </w:p>
    <w:p w14:paraId="16F80ABE" w14:textId="77777777" w:rsidR="004102CA" w:rsidRPr="003E3613" w:rsidRDefault="004102CA" w:rsidP="00204696">
      <w:pPr>
        <w:spacing w:after="0"/>
        <w:jc w:val="both"/>
        <w:rPr>
          <w:rFonts w:ascii="Book Antiqua" w:hAnsi="Book Antiqua"/>
          <w:i/>
          <w:sz w:val="23"/>
          <w:szCs w:val="23"/>
          <w:lang w:val="en-GB"/>
        </w:rPr>
      </w:pPr>
    </w:p>
    <w:p w14:paraId="44C0E1E8" w14:textId="77777777" w:rsidR="00B9677E" w:rsidRPr="003E3613" w:rsidRDefault="00B9677E"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8104F6" w:rsidRPr="003E3613">
        <w:rPr>
          <w:rFonts w:ascii="Book Antiqua" w:hAnsi="Book Antiqua"/>
          <w:i/>
          <w:sz w:val="23"/>
          <w:szCs w:val="23"/>
          <w:lang w:val="en-GB"/>
        </w:rPr>
        <w:t>5</w:t>
      </w:r>
      <w:r w:rsidR="00802437" w:rsidRPr="003E3613">
        <w:rPr>
          <w:rFonts w:ascii="Book Antiqua" w:hAnsi="Book Antiqua"/>
          <w:i/>
          <w:sz w:val="23"/>
          <w:szCs w:val="23"/>
          <w:lang w:val="en-GB"/>
        </w:rPr>
        <w:t>9</w:t>
      </w:r>
      <w:r w:rsidR="008104F6" w:rsidRPr="003E3613">
        <w:rPr>
          <w:rFonts w:ascii="Book Antiqua" w:hAnsi="Book Antiqua"/>
          <w:i/>
          <w:sz w:val="23"/>
          <w:szCs w:val="23"/>
          <w:lang w:val="en-GB"/>
        </w:rPr>
        <w:t>)</w:t>
      </w:r>
      <w:r w:rsidRPr="003E3613">
        <w:rPr>
          <w:rFonts w:ascii="Book Antiqua" w:hAnsi="Book Antiqua"/>
          <w:i/>
          <w:sz w:val="23"/>
          <w:szCs w:val="23"/>
          <w:lang w:val="en-GB"/>
        </w:rPr>
        <w:t xml:space="preserve"> In its concluding observations of 5 April 2018, the UN Human Rights Committee expressed concerns about reports that the Roma community continues to suffer from widespread discrimination and exclusion, unemployment, housing and educational segregation. It is particularly concerned that, notwithstanding the Public Education Act, segregation in schools, especially church and private schools, remains prevalent and the number of Roma children placed in schools for children with mild disabilities remains disproportionately high. It also mentioned concerns about the prevalence of hate crimes and about hate speech in political discourse, the media and on the internet targeting minorities, in particular Roma, </w:t>
      </w:r>
      <w:r w:rsidR="00522CE5" w:rsidRPr="003E3613">
        <w:rPr>
          <w:rFonts w:ascii="Book Antiqua" w:hAnsi="Book Antiqua"/>
          <w:i/>
          <w:sz w:val="23"/>
          <w:szCs w:val="23"/>
          <w:lang w:val="en-GB"/>
        </w:rPr>
        <w:t>Muslims</w:t>
      </w:r>
      <w:r w:rsidRPr="003E3613">
        <w:rPr>
          <w:rFonts w:ascii="Book Antiqua" w:hAnsi="Book Antiqua"/>
          <w:i/>
          <w:sz w:val="23"/>
          <w:szCs w:val="23"/>
          <w:lang w:val="en-GB"/>
        </w:rPr>
        <w:t>, migrants and refugees, including in the context of government-sponsored campaigns. The Committee expressed its concern over the prevalence of anti-Semitic stereotypes. The Committee also noted with concern allegations that the number of registered hate crimes is extremely low because the police often fail to investigate and prosecute credible claims of hate crimes and criminal hate speech. Finally, the Committee was concerned about reports of the persistent practice of racial profiling of Roma by the police.</w:t>
      </w:r>
    </w:p>
    <w:p w14:paraId="36A754AD" w14:textId="77777777" w:rsidR="00B14D4D" w:rsidRPr="003E3613" w:rsidRDefault="00B14D4D" w:rsidP="00204696">
      <w:pPr>
        <w:spacing w:after="0"/>
        <w:jc w:val="both"/>
        <w:rPr>
          <w:rFonts w:ascii="Book Antiqua" w:hAnsi="Book Antiqua"/>
          <w:sz w:val="23"/>
          <w:szCs w:val="23"/>
          <w:lang w:val="en-GB"/>
        </w:rPr>
      </w:pPr>
    </w:p>
    <w:p w14:paraId="4C68510E" w14:textId="77777777" w:rsidR="00503C39" w:rsidRPr="003E3613" w:rsidRDefault="00503C39" w:rsidP="00204696">
      <w:pPr>
        <w:spacing w:after="0"/>
        <w:jc w:val="both"/>
        <w:rPr>
          <w:rFonts w:ascii="Book Antiqua" w:hAnsi="Book Antiqua"/>
          <w:sz w:val="23"/>
          <w:szCs w:val="23"/>
          <w:lang w:val="en-GB"/>
        </w:rPr>
      </w:pPr>
      <w:r w:rsidRPr="003E3613">
        <w:rPr>
          <w:rFonts w:ascii="Book Antiqua" w:hAnsi="Book Antiqua"/>
          <w:sz w:val="23"/>
          <w:szCs w:val="23"/>
          <w:lang w:val="en-GB"/>
        </w:rPr>
        <w:t>The Hungarian</w:t>
      </w:r>
      <w:r w:rsidR="0016567F" w:rsidRPr="003E3613">
        <w:rPr>
          <w:rFonts w:ascii="Book Antiqua" w:hAnsi="Book Antiqua"/>
          <w:sz w:val="23"/>
          <w:szCs w:val="23"/>
          <w:lang w:val="en-GB"/>
        </w:rPr>
        <w:t xml:space="preserve"> National Social</w:t>
      </w:r>
      <w:r w:rsidRPr="003E3613">
        <w:rPr>
          <w:rFonts w:ascii="Book Antiqua" w:hAnsi="Book Antiqua"/>
          <w:sz w:val="23"/>
          <w:szCs w:val="23"/>
          <w:lang w:val="en-GB"/>
        </w:rPr>
        <w:t xml:space="preserve"> Inclusion Strategy accepted in 2011 treats the reduction of segregation as a priority objective. Accordingly, in the area of education and training, particular areas of intervention are the promotion of integrated education, the reduction of segregation, the breaking of the cycle of intergenerational transmission of disadvantages, the establishment of an inclusive school environment.</w:t>
      </w:r>
      <w:r w:rsidR="00554D9C" w:rsidRPr="003E3613">
        <w:rPr>
          <w:rFonts w:ascii="Book Antiqua" w:hAnsi="Book Antiqua"/>
          <w:sz w:val="23"/>
          <w:szCs w:val="23"/>
          <w:lang w:val="en-GB"/>
        </w:rPr>
        <w:t xml:space="preserve"> </w:t>
      </w:r>
      <w:r w:rsidRPr="003E3613">
        <w:rPr>
          <w:rFonts w:ascii="Book Antiqua" w:hAnsi="Book Antiqua"/>
          <w:sz w:val="23"/>
          <w:szCs w:val="23"/>
          <w:lang w:val="en-GB"/>
        </w:rPr>
        <w:t xml:space="preserve">Special attention is paid to integration in kindergartens and schools. Therefore Roma children's access to quality education is facilitated by the application of legal, financing and institutional measures and by a number of government actions. It is important to note, however, that because of the complex nature of the problem, we have to look for a solution in a wider context, too. This means that the termination of the practice of segregation is necessary, but not enough in itself. </w:t>
      </w:r>
    </w:p>
    <w:p w14:paraId="58FA689E" w14:textId="77777777" w:rsidR="00503C39" w:rsidRPr="003E3613" w:rsidRDefault="00503C39" w:rsidP="00204696">
      <w:pPr>
        <w:spacing w:after="0"/>
        <w:jc w:val="both"/>
        <w:rPr>
          <w:rFonts w:ascii="Book Antiqua" w:hAnsi="Book Antiqua"/>
          <w:sz w:val="23"/>
          <w:szCs w:val="23"/>
          <w:lang w:val="en-GB"/>
        </w:rPr>
      </w:pPr>
    </w:p>
    <w:p w14:paraId="198C49C5" w14:textId="77777777" w:rsidR="00503C39" w:rsidRPr="003E3613" w:rsidRDefault="00503C39" w:rsidP="00204696">
      <w:pPr>
        <w:spacing w:after="0"/>
        <w:jc w:val="both"/>
        <w:rPr>
          <w:rFonts w:ascii="Book Antiqua" w:hAnsi="Book Antiqua"/>
          <w:sz w:val="23"/>
          <w:szCs w:val="23"/>
          <w:lang w:val="en-GB"/>
        </w:rPr>
      </w:pPr>
      <w:r w:rsidRPr="003E3613">
        <w:rPr>
          <w:rFonts w:ascii="Book Antiqua" w:hAnsi="Book Antiqua"/>
          <w:sz w:val="23"/>
          <w:szCs w:val="23"/>
          <w:lang w:val="en-GB"/>
        </w:rPr>
        <w:t>Therefore, there is a complex set of actions to promote success in school is required, to support the child and its family from the child's birth to the start of his/her employment. Each centre of school district employs an anti-segregation expert, who will assist the state in organising local meetings and roundtable discussions and in detecting and signalling problems. The head of the anti-segregation working group produces a report to the minister for education and to the president of the Klebelsberg Centre with annual frequency. This way the tools required for monitoring by the Government have been established. The regulation of the districts of admittance to primary schools facilitate</w:t>
      </w:r>
      <w:r w:rsidR="00A41AB7" w:rsidRPr="003E3613">
        <w:rPr>
          <w:rFonts w:ascii="Book Antiqua" w:hAnsi="Book Antiqua"/>
          <w:sz w:val="23"/>
          <w:szCs w:val="23"/>
          <w:lang w:val="en-GB"/>
        </w:rPr>
        <w:t>s</w:t>
      </w:r>
      <w:r w:rsidRPr="003E3613">
        <w:rPr>
          <w:rFonts w:ascii="Book Antiqua" w:hAnsi="Book Antiqua"/>
          <w:sz w:val="23"/>
          <w:szCs w:val="23"/>
          <w:lang w:val="en-GB"/>
        </w:rPr>
        <w:t xml:space="preserve"> the elimination of the undesired effects of the free </w:t>
      </w:r>
      <w:r w:rsidRPr="003E3613">
        <w:rPr>
          <w:rFonts w:ascii="Book Antiqua" w:hAnsi="Book Antiqua"/>
          <w:sz w:val="23"/>
          <w:szCs w:val="23"/>
          <w:lang w:val="en-GB"/>
        </w:rPr>
        <w:lastRenderedPageBreak/>
        <w:t xml:space="preserve">selection of schools and the prevention of segregation. In order to regulate unlawful segregation, the Act on National Public Education was extended with additional guarantee elements: </w:t>
      </w:r>
      <w:r w:rsidR="000E2071" w:rsidRPr="003E3613">
        <w:rPr>
          <w:rFonts w:ascii="Book Antiqua" w:hAnsi="Book Antiqua"/>
          <w:sz w:val="23"/>
          <w:szCs w:val="23"/>
          <w:lang w:val="en-GB"/>
        </w:rPr>
        <w:t>a</w:t>
      </w:r>
      <w:r w:rsidRPr="003E3613">
        <w:rPr>
          <w:rFonts w:ascii="Book Antiqua" w:hAnsi="Book Antiqua"/>
          <w:sz w:val="23"/>
          <w:szCs w:val="23"/>
          <w:lang w:val="en-GB"/>
        </w:rPr>
        <w:t xml:space="preserve">s of January 2017, the centre of school district received a competence of approval in the definition of the borders of districts. In the framework of desegregation measures, we initiated official audits in 2011-2015, which were followed by actions by government offices. Following that, a so-called segregation index based survey was conducted: based on the index, we examined schools and selected the ones that would participate in the priority tender titled “Support to institutions affected by early school leaving” to be implemented until 2020 from EU funds, with a limit amount of HUF 12.9 billion. The </w:t>
      </w:r>
      <w:r w:rsidR="000E2071" w:rsidRPr="003E3613">
        <w:rPr>
          <w:rFonts w:ascii="Book Antiqua" w:hAnsi="Book Antiqua"/>
          <w:sz w:val="23"/>
          <w:szCs w:val="23"/>
          <w:lang w:val="en-GB"/>
        </w:rPr>
        <w:t xml:space="preserve">call for </w:t>
      </w:r>
      <w:r w:rsidRPr="003E3613">
        <w:rPr>
          <w:rFonts w:ascii="Book Antiqua" w:hAnsi="Book Antiqua"/>
          <w:sz w:val="23"/>
          <w:szCs w:val="23"/>
          <w:lang w:val="en-GB"/>
        </w:rPr>
        <w:t>tender was published in October 2016. The project covers 300 schools (locations of performing public education institution tasks), and involves the development of complex desegregation institution development and pedagogical services. The selection of the institutions was based on the assessment with the segregation index, and we involved institutions affected in court proceedings initiated because of segregation, too. Based on the provisions of the Act on Equal Treatment, in Hungary, each local government has to</w:t>
      </w:r>
      <w:r w:rsidR="00CE1D40" w:rsidRPr="003E3613">
        <w:rPr>
          <w:rFonts w:ascii="Book Antiqua" w:hAnsi="Book Antiqua"/>
          <w:sz w:val="23"/>
          <w:szCs w:val="23"/>
          <w:lang w:val="en-GB"/>
        </w:rPr>
        <w:t xml:space="preserve"> prepare</w:t>
      </w:r>
      <w:r w:rsidRPr="003E3613">
        <w:rPr>
          <w:rFonts w:ascii="Book Antiqua" w:hAnsi="Book Antiqua"/>
          <w:sz w:val="23"/>
          <w:szCs w:val="23"/>
          <w:lang w:val="en-GB"/>
        </w:rPr>
        <w:t xml:space="preserve"> a so-called </w:t>
      </w:r>
      <w:r w:rsidR="00CE1D40" w:rsidRPr="003E3613">
        <w:rPr>
          <w:rFonts w:ascii="Book Antiqua" w:hAnsi="Book Antiqua"/>
          <w:sz w:val="23"/>
          <w:szCs w:val="23"/>
          <w:lang w:val="en-GB"/>
        </w:rPr>
        <w:t xml:space="preserve">Local Equal Opportunity Program </w:t>
      </w:r>
      <w:r w:rsidRPr="003E3613">
        <w:rPr>
          <w:rFonts w:ascii="Book Antiqua" w:hAnsi="Book Antiqua"/>
          <w:sz w:val="23"/>
          <w:szCs w:val="23"/>
          <w:lang w:val="en-GB"/>
        </w:rPr>
        <w:t>(HEP), in which they analyse the situation of disadvantaged groups, including the Roma, and determine an action plan to treat the detected problems in the area of education, too. The production and the regular revision of the HEP is a pre-condition of access to EU and budgetary resources.</w:t>
      </w:r>
    </w:p>
    <w:p w14:paraId="35F6D246" w14:textId="77777777" w:rsidR="00503C39" w:rsidRPr="003E3613" w:rsidRDefault="00503C39" w:rsidP="00204696">
      <w:pPr>
        <w:spacing w:after="0"/>
        <w:jc w:val="both"/>
        <w:rPr>
          <w:rFonts w:ascii="Book Antiqua" w:hAnsi="Book Antiqua"/>
          <w:sz w:val="23"/>
          <w:szCs w:val="23"/>
          <w:lang w:val="en-GB"/>
        </w:rPr>
      </w:pPr>
    </w:p>
    <w:p w14:paraId="58ED9AC0" w14:textId="77777777" w:rsidR="00541AEC" w:rsidRPr="003E3613" w:rsidRDefault="00503C39" w:rsidP="00204696">
      <w:pPr>
        <w:spacing w:after="0"/>
        <w:jc w:val="both"/>
        <w:rPr>
          <w:rFonts w:ascii="Book Antiqua" w:hAnsi="Book Antiqua"/>
          <w:sz w:val="23"/>
          <w:szCs w:val="23"/>
          <w:lang w:val="en-GB"/>
        </w:rPr>
      </w:pPr>
      <w:r w:rsidRPr="003E3613">
        <w:rPr>
          <w:rFonts w:ascii="Book Antiqua" w:hAnsi="Book Antiqua"/>
          <w:sz w:val="23"/>
          <w:szCs w:val="23"/>
          <w:lang w:val="en-GB"/>
        </w:rPr>
        <w:t>With regard to hate speech</w:t>
      </w:r>
      <w:r w:rsidR="007A1595" w:rsidRPr="003E3613">
        <w:rPr>
          <w:rFonts w:ascii="Book Antiqua" w:hAnsi="Book Antiqua"/>
          <w:sz w:val="23"/>
          <w:szCs w:val="23"/>
          <w:lang w:val="en-GB"/>
        </w:rPr>
        <w:t xml:space="preserve"> and hate crimes</w:t>
      </w:r>
      <w:r w:rsidRPr="003E3613">
        <w:rPr>
          <w:rFonts w:ascii="Book Antiqua" w:hAnsi="Book Antiqua"/>
          <w:sz w:val="23"/>
          <w:szCs w:val="23"/>
          <w:lang w:val="en-GB"/>
        </w:rPr>
        <w:t>, it must be pointed out that</w:t>
      </w:r>
      <w:r w:rsidR="007A1595" w:rsidRPr="003E3613">
        <w:rPr>
          <w:rFonts w:ascii="Book Antiqua" w:hAnsi="Book Antiqua"/>
          <w:sz w:val="23"/>
          <w:szCs w:val="23"/>
          <w:lang w:val="en-GB"/>
        </w:rPr>
        <w:t xml:space="preserve"> the Hungarian </w:t>
      </w:r>
      <w:r w:rsidR="0081729A" w:rsidRPr="003E3613">
        <w:rPr>
          <w:rFonts w:ascii="Book Antiqua" w:hAnsi="Book Antiqua"/>
          <w:sz w:val="23"/>
          <w:szCs w:val="23"/>
          <w:lang w:val="en-GB"/>
        </w:rPr>
        <w:t xml:space="preserve">Criminal </w:t>
      </w:r>
      <w:r w:rsidR="007A1595" w:rsidRPr="003E3613">
        <w:rPr>
          <w:rFonts w:ascii="Book Antiqua" w:hAnsi="Book Antiqua"/>
          <w:sz w:val="23"/>
          <w:szCs w:val="23"/>
          <w:lang w:val="en-GB"/>
        </w:rPr>
        <w:t>Code strictly punishes</w:t>
      </w:r>
      <w:r w:rsidRPr="003E3613">
        <w:rPr>
          <w:rFonts w:ascii="Book Antiqua" w:hAnsi="Book Antiqua"/>
          <w:sz w:val="23"/>
          <w:szCs w:val="23"/>
          <w:lang w:val="en-GB"/>
        </w:rPr>
        <w:t xml:space="preserve"> </w:t>
      </w:r>
      <w:r w:rsidR="007A1595" w:rsidRPr="003E3613">
        <w:rPr>
          <w:rFonts w:ascii="Book Antiqua" w:hAnsi="Book Antiqua"/>
          <w:sz w:val="23"/>
          <w:szCs w:val="23"/>
          <w:lang w:val="en-GB"/>
        </w:rPr>
        <w:t xml:space="preserve">inciting violence or hatred against </w:t>
      </w:r>
      <w:r w:rsidR="00541AEC" w:rsidRPr="003E3613">
        <w:rPr>
          <w:rFonts w:ascii="Book Antiqua" w:hAnsi="Book Antiqua"/>
          <w:sz w:val="23"/>
          <w:szCs w:val="23"/>
          <w:lang w:val="en-GB"/>
        </w:rPr>
        <w:t>a member of a</w:t>
      </w:r>
      <w:r w:rsidR="007A1595" w:rsidRPr="003E3613">
        <w:rPr>
          <w:rFonts w:ascii="Book Antiqua" w:hAnsi="Book Antiqua"/>
          <w:sz w:val="23"/>
          <w:szCs w:val="23"/>
          <w:lang w:val="en-GB"/>
        </w:rPr>
        <w:t xml:space="preserve"> community </w:t>
      </w:r>
      <w:r w:rsidR="00541AEC" w:rsidRPr="003E3613">
        <w:rPr>
          <w:rFonts w:ascii="Book Antiqua" w:hAnsi="Book Antiqua"/>
          <w:sz w:val="23"/>
          <w:szCs w:val="23"/>
          <w:lang w:val="en-GB"/>
        </w:rPr>
        <w:t xml:space="preserve">(see </w:t>
      </w:r>
      <w:r w:rsidR="00097BEF" w:rsidRPr="003E3613">
        <w:rPr>
          <w:rFonts w:ascii="Book Antiqua" w:hAnsi="Book Antiqua"/>
          <w:sz w:val="23"/>
          <w:szCs w:val="23"/>
          <w:lang w:val="en-GB"/>
        </w:rPr>
        <w:t>recital 51</w:t>
      </w:r>
      <w:r w:rsidR="00541AEC" w:rsidRPr="003E3613">
        <w:rPr>
          <w:rFonts w:ascii="Book Antiqua" w:hAnsi="Book Antiqua"/>
          <w:sz w:val="23"/>
          <w:szCs w:val="23"/>
          <w:lang w:val="en-GB"/>
        </w:rPr>
        <w:t xml:space="preserve">). </w:t>
      </w:r>
      <w:r w:rsidR="00AE1342" w:rsidRPr="003E3613">
        <w:rPr>
          <w:rFonts w:ascii="Book Antiqua" w:hAnsi="Book Antiqua"/>
          <w:sz w:val="23"/>
          <w:szCs w:val="23"/>
          <w:lang w:val="en-GB"/>
        </w:rPr>
        <w:t>In 2013, the</w:t>
      </w:r>
      <w:r w:rsidR="00AE1342" w:rsidRPr="003E3613" w:rsidDel="00AE1342">
        <w:rPr>
          <w:rFonts w:ascii="Book Antiqua" w:hAnsi="Book Antiqua"/>
          <w:sz w:val="23"/>
          <w:szCs w:val="23"/>
          <w:lang w:val="en-GB"/>
        </w:rPr>
        <w:t xml:space="preserve"> </w:t>
      </w:r>
      <w:r w:rsidR="00541AEC" w:rsidRPr="003E3613">
        <w:rPr>
          <w:rFonts w:ascii="Book Antiqua" w:hAnsi="Book Antiqua"/>
          <w:sz w:val="23"/>
          <w:szCs w:val="23"/>
          <w:lang w:val="en-GB"/>
        </w:rPr>
        <w:t xml:space="preserve">Hungarian Parliament has amended the Hungarian </w:t>
      </w:r>
      <w:r w:rsidR="00C856A7" w:rsidRPr="003E3613">
        <w:rPr>
          <w:rFonts w:ascii="Book Antiqua" w:hAnsi="Book Antiqua"/>
          <w:sz w:val="23"/>
          <w:szCs w:val="23"/>
          <w:lang w:val="en-GB"/>
        </w:rPr>
        <w:t xml:space="preserve">Criminal </w:t>
      </w:r>
      <w:r w:rsidR="00541AEC" w:rsidRPr="003E3613">
        <w:rPr>
          <w:rFonts w:ascii="Book Antiqua" w:hAnsi="Book Antiqua"/>
          <w:sz w:val="23"/>
          <w:szCs w:val="23"/>
          <w:lang w:val="en-GB"/>
        </w:rPr>
        <w:t>Code in order to make the public denial of</w:t>
      </w:r>
      <w:r w:rsidR="003127AD" w:rsidRPr="003E3613">
        <w:rPr>
          <w:rFonts w:ascii="Book Antiqua" w:hAnsi="Book Antiqua"/>
          <w:sz w:val="23"/>
          <w:szCs w:val="23"/>
          <w:lang w:val="en-GB"/>
        </w:rPr>
        <w:t xml:space="preserve"> and attempt of justifying</w:t>
      </w:r>
      <w:r w:rsidR="00541AEC" w:rsidRPr="003E3613">
        <w:rPr>
          <w:rFonts w:ascii="Book Antiqua" w:hAnsi="Book Antiqua"/>
          <w:sz w:val="23"/>
          <w:szCs w:val="23"/>
          <w:lang w:val="en-GB"/>
        </w:rPr>
        <w:t xml:space="preserve"> Holocaust </w:t>
      </w:r>
      <w:r w:rsidR="00AE1342" w:rsidRPr="003E3613">
        <w:rPr>
          <w:rFonts w:ascii="Book Antiqua" w:hAnsi="Book Antiqua"/>
          <w:sz w:val="23"/>
          <w:szCs w:val="23"/>
          <w:lang w:val="en-GB"/>
        </w:rPr>
        <w:t>or the crimes of the</w:t>
      </w:r>
      <w:r w:rsidR="003127AD" w:rsidRPr="003E3613">
        <w:rPr>
          <w:rFonts w:ascii="Book Antiqua" w:hAnsi="Book Antiqua"/>
          <w:sz w:val="23"/>
          <w:szCs w:val="23"/>
          <w:lang w:val="en-GB"/>
        </w:rPr>
        <w:t xml:space="preserve"> national socialist and</w:t>
      </w:r>
      <w:r w:rsidR="00AE1342" w:rsidRPr="003E3613">
        <w:rPr>
          <w:rFonts w:ascii="Book Antiqua" w:hAnsi="Book Antiqua"/>
          <w:sz w:val="23"/>
          <w:szCs w:val="23"/>
          <w:lang w:val="en-GB"/>
        </w:rPr>
        <w:t xml:space="preserve"> communist regimes </w:t>
      </w:r>
      <w:r w:rsidR="00541AEC" w:rsidRPr="003E3613">
        <w:rPr>
          <w:rFonts w:ascii="Book Antiqua" w:hAnsi="Book Antiqua"/>
          <w:sz w:val="23"/>
          <w:szCs w:val="23"/>
          <w:lang w:val="en-GB"/>
        </w:rPr>
        <w:t>a crime.</w:t>
      </w:r>
      <w:r w:rsidR="00E10621" w:rsidRPr="003E3613">
        <w:rPr>
          <w:rFonts w:ascii="Book Antiqua" w:hAnsi="Book Antiqua"/>
          <w:sz w:val="23"/>
          <w:szCs w:val="23"/>
          <w:lang w:val="en-GB"/>
        </w:rPr>
        <w:t xml:space="preserve"> The specific hate-realted criminal offences are - not mentioning general anti-discrimination laws on genocide and other international crimes - the following</w:t>
      </w:r>
      <w:r w:rsidR="00541AEC" w:rsidRPr="003E3613">
        <w:rPr>
          <w:rFonts w:ascii="Book Antiqua" w:hAnsi="Book Antiqua"/>
          <w:sz w:val="23"/>
          <w:szCs w:val="23"/>
          <w:lang w:val="en-GB"/>
        </w:rPr>
        <w:t>: (1) violence against a member of a community; (2) incitement against a community; (3) publicly denying the crimes of National Socialist and Communist regimes; and (4) using symbols of totalitarian regimes.</w:t>
      </w:r>
    </w:p>
    <w:p w14:paraId="2E5690FE" w14:textId="77777777" w:rsidR="00541AEC" w:rsidRPr="003E3613" w:rsidRDefault="00541AEC" w:rsidP="00204696">
      <w:pPr>
        <w:spacing w:after="0"/>
        <w:jc w:val="both"/>
        <w:rPr>
          <w:rFonts w:ascii="Book Antiqua" w:hAnsi="Book Antiqua"/>
          <w:sz w:val="23"/>
          <w:szCs w:val="23"/>
          <w:lang w:val="en-GB"/>
        </w:rPr>
      </w:pPr>
    </w:p>
    <w:p w14:paraId="22336DE6" w14:textId="77777777" w:rsidR="00660031" w:rsidRDefault="00541AEC" w:rsidP="00204696">
      <w:pPr>
        <w:spacing w:after="0"/>
        <w:jc w:val="both"/>
        <w:rPr>
          <w:rFonts w:ascii="Book Antiqua" w:hAnsi="Book Antiqua"/>
          <w:sz w:val="23"/>
          <w:szCs w:val="23"/>
          <w:lang w:val="en-GB"/>
        </w:rPr>
      </w:pPr>
      <w:r w:rsidRPr="003E3613">
        <w:rPr>
          <w:rFonts w:ascii="Book Antiqua" w:hAnsi="Book Antiqua"/>
          <w:sz w:val="23"/>
          <w:szCs w:val="23"/>
          <w:lang w:val="en-GB"/>
        </w:rPr>
        <w:t>B</w:t>
      </w:r>
      <w:r w:rsidR="00B14D4D" w:rsidRPr="003E3613">
        <w:rPr>
          <w:rFonts w:ascii="Book Antiqua" w:hAnsi="Book Antiqua"/>
          <w:sz w:val="23"/>
          <w:szCs w:val="23"/>
          <w:lang w:val="en-GB"/>
        </w:rPr>
        <w:t xml:space="preserve">y reason of the </w:t>
      </w:r>
      <w:r w:rsidR="00CD09CE" w:rsidRPr="003E3613">
        <w:rPr>
          <w:rFonts w:ascii="Book Antiqua" w:hAnsi="Book Antiqua"/>
          <w:sz w:val="23"/>
          <w:szCs w:val="23"/>
          <w:lang w:val="en-GB"/>
        </w:rPr>
        <w:t xml:space="preserve">Fourth </w:t>
      </w:r>
      <w:r w:rsidR="00B14D4D" w:rsidRPr="003E3613">
        <w:rPr>
          <w:rFonts w:ascii="Book Antiqua" w:hAnsi="Book Antiqua"/>
          <w:sz w:val="23"/>
          <w:szCs w:val="23"/>
          <w:lang w:val="en-GB"/>
        </w:rPr>
        <w:t xml:space="preserve">Amendment of the </w:t>
      </w:r>
      <w:r w:rsidR="00CD09CE" w:rsidRPr="003E3613">
        <w:rPr>
          <w:rFonts w:ascii="Book Antiqua" w:hAnsi="Book Antiqua"/>
          <w:sz w:val="23"/>
          <w:szCs w:val="23"/>
          <w:lang w:val="en-GB"/>
        </w:rPr>
        <w:t xml:space="preserve">Fundamental Law </w:t>
      </w:r>
      <w:r w:rsidR="00B14D4D" w:rsidRPr="003E3613">
        <w:rPr>
          <w:rFonts w:ascii="Book Antiqua" w:hAnsi="Book Antiqua"/>
          <w:sz w:val="23"/>
          <w:szCs w:val="23"/>
          <w:lang w:val="en-GB"/>
        </w:rPr>
        <w:t xml:space="preserve">the ‘freedom of expression may not be exercised with the aim of violating the dignity of the Hungarian nation or of any national, ethnic, racial or religious community’ and the right of individuals belonging to various communities to bring a civil law action (but not criminal law action) </w:t>
      </w:r>
    </w:p>
    <w:p w14:paraId="258DDD7A" w14:textId="77777777" w:rsidR="00660031" w:rsidRDefault="00660031">
      <w:pPr>
        <w:rPr>
          <w:rFonts w:ascii="Book Antiqua" w:hAnsi="Book Antiqua"/>
          <w:sz w:val="23"/>
          <w:szCs w:val="23"/>
          <w:lang w:val="en-GB"/>
        </w:rPr>
      </w:pPr>
      <w:r>
        <w:rPr>
          <w:rFonts w:ascii="Book Antiqua" w:hAnsi="Book Antiqua"/>
          <w:sz w:val="23"/>
          <w:szCs w:val="23"/>
          <w:lang w:val="en-GB"/>
        </w:rPr>
        <w:br w:type="page"/>
      </w:r>
    </w:p>
    <w:p w14:paraId="4A052090" w14:textId="2A0BE646" w:rsidR="00B14D4D" w:rsidRPr="003E3613" w:rsidRDefault="00B14D4D"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before the court because of hate speech is permitted. This legislative change has been hailed as a historic step by many – in particular by Jewish – communities, as it makes the fight against hate speech more efficient. This provision has already proved to be useful in this sense when a group of far-right bikers planned to stage a demonstration in Budapest, scheduled for 21 April 2013, the day of the ‘March of the Living’ with the slogan of ‘Give Gas!’. Based on the mentioned Amendment</w:t>
      </w:r>
      <w:r w:rsidR="00CD09CE" w:rsidRPr="003E3613">
        <w:rPr>
          <w:rFonts w:ascii="Book Antiqua" w:hAnsi="Book Antiqua"/>
          <w:sz w:val="23"/>
          <w:szCs w:val="23"/>
          <w:lang w:val="en-GB"/>
        </w:rPr>
        <w:t>,</w:t>
      </w:r>
      <w:r w:rsidRPr="003E3613">
        <w:rPr>
          <w:rFonts w:ascii="Book Antiqua" w:hAnsi="Book Antiqua"/>
          <w:sz w:val="23"/>
          <w:szCs w:val="23"/>
          <w:lang w:val="en-GB"/>
        </w:rPr>
        <w:t xml:space="preserve"> the </w:t>
      </w:r>
      <w:r w:rsidR="00CD09CE" w:rsidRPr="003E3613">
        <w:rPr>
          <w:rFonts w:ascii="Book Antiqua" w:hAnsi="Book Antiqua"/>
          <w:sz w:val="23"/>
          <w:szCs w:val="23"/>
          <w:lang w:val="en-GB"/>
        </w:rPr>
        <w:t>trial c</w:t>
      </w:r>
      <w:r w:rsidRPr="003E3613">
        <w:rPr>
          <w:rFonts w:ascii="Book Antiqua" w:hAnsi="Book Antiqua"/>
          <w:sz w:val="23"/>
          <w:szCs w:val="23"/>
          <w:lang w:val="en-GB"/>
        </w:rPr>
        <w:t>ourt banned the motorcade in order to prevent any disruption during the commemoration.</w:t>
      </w:r>
    </w:p>
    <w:p w14:paraId="41BF084F" w14:textId="77777777" w:rsidR="00B14D4D" w:rsidRPr="003E3613" w:rsidRDefault="00B14D4D" w:rsidP="00204696">
      <w:pPr>
        <w:spacing w:after="0"/>
        <w:jc w:val="both"/>
        <w:rPr>
          <w:rFonts w:ascii="Book Antiqua" w:hAnsi="Book Antiqua"/>
          <w:sz w:val="23"/>
          <w:szCs w:val="23"/>
          <w:lang w:val="en-GB"/>
        </w:rPr>
      </w:pPr>
    </w:p>
    <w:p w14:paraId="58AE89ED" w14:textId="1B53BC03" w:rsidR="00B14D4D" w:rsidRPr="003E3613" w:rsidRDefault="00E47492" w:rsidP="00204696">
      <w:pPr>
        <w:spacing w:after="0"/>
        <w:jc w:val="both"/>
        <w:rPr>
          <w:rFonts w:ascii="Book Antiqua" w:hAnsi="Book Antiqua"/>
          <w:sz w:val="23"/>
          <w:szCs w:val="23"/>
          <w:lang w:val="en-GB"/>
        </w:rPr>
      </w:pPr>
      <w:r>
        <w:rPr>
          <w:rFonts w:ascii="Book Antiqua" w:hAnsi="Book Antiqua"/>
          <w:sz w:val="23"/>
          <w:szCs w:val="23"/>
          <w:lang w:val="en-GB"/>
        </w:rPr>
        <w:t xml:space="preserve">Non-governmental organisations have </w:t>
      </w:r>
      <w:r w:rsidR="00B14D4D" w:rsidRPr="003E3613">
        <w:rPr>
          <w:rFonts w:ascii="Book Antiqua" w:hAnsi="Book Antiqua"/>
          <w:sz w:val="23"/>
          <w:szCs w:val="23"/>
          <w:lang w:val="en-GB"/>
        </w:rPr>
        <w:t>established a Working Group Against Hate Crime providing training for police officers and helping victims to cooperate with the police and report incidents. A professional forum has further been established for exchanging good practices related to the investigation of hate crimes.</w:t>
      </w:r>
      <w:r w:rsidR="00295E92" w:rsidRPr="003E3613">
        <w:rPr>
          <w:rFonts w:ascii="Book Antiqua" w:hAnsi="Book Antiqua"/>
          <w:sz w:val="23"/>
          <w:szCs w:val="23"/>
          <w:lang w:val="en-GB"/>
        </w:rPr>
        <w:t xml:space="preserve"> This forum includes law enforcement personnel as well as representatives of various non-governmental organisations working in the field of legal protection. The forum is convened by </w:t>
      </w:r>
      <w:r>
        <w:rPr>
          <w:rFonts w:ascii="Book Antiqua" w:hAnsi="Book Antiqua"/>
          <w:sz w:val="23"/>
          <w:szCs w:val="23"/>
          <w:lang w:val="en-GB"/>
        </w:rPr>
        <w:t xml:space="preserve">non-governmental organisations in cooperation with </w:t>
      </w:r>
      <w:r w:rsidR="00295E92" w:rsidRPr="003E3613">
        <w:rPr>
          <w:rFonts w:ascii="Book Antiqua" w:hAnsi="Book Antiqua"/>
          <w:sz w:val="23"/>
          <w:szCs w:val="23"/>
          <w:lang w:val="en-GB"/>
        </w:rPr>
        <w:t>the National Police on a regular basis. The comprehensive and effective work of the members of the forum has produced useful tools with which hate crime could be better countered and acted against.</w:t>
      </w:r>
    </w:p>
    <w:p w14:paraId="3AEE3106" w14:textId="77777777" w:rsidR="00B14D4D" w:rsidRPr="003E3613" w:rsidRDefault="00B14D4D" w:rsidP="00204696">
      <w:pPr>
        <w:spacing w:after="0"/>
        <w:jc w:val="both"/>
        <w:rPr>
          <w:rFonts w:ascii="Book Antiqua" w:hAnsi="Book Antiqua"/>
          <w:i/>
          <w:sz w:val="23"/>
          <w:szCs w:val="23"/>
          <w:lang w:val="en-GB"/>
        </w:rPr>
      </w:pPr>
    </w:p>
    <w:p w14:paraId="5EDB8A8B" w14:textId="77777777" w:rsidR="008104F6" w:rsidRPr="003E3613" w:rsidRDefault="008104F6"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7A7825" w:rsidRPr="003E3613">
        <w:rPr>
          <w:rFonts w:ascii="Book Antiqua" w:hAnsi="Book Antiqua"/>
          <w:i/>
          <w:sz w:val="23"/>
          <w:szCs w:val="23"/>
          <w:lang w:val="en-GB"/>
        </w:rPr>
        <w:t>60</w:t>
      </w:r>
      <w:r w:rsidRPr="003E3613">
        <w:rPr>
          <w:rFonts w:ascii="Book Antiqua" w:hAnsi="Book Antiqua"/>
          <w:i/>
          <w:sz w:val="23"/>
          <w:szCs w:val="23"/>
          <w:lang w:val="en-GB"/>
        </w:rPr>
        <w:t xml:space="preserve">) In a case regarding the village of Gyöngyöspata, where the local police was imposing fines solely on Roma for minor traffic offences, the first instance judgment found that the practice constituted harassment and direct discrimination against the Roma even if the individual measures were lawful. The second instance court and the Supreme Court ruled that the Hungarian Civil Liberties Union (HCLU), which had submitted an actio popularis claim, could not substantiate discrimination. The case was brought before the ECtHR. </w:t>
      </w:r>
    </w:p>
    <w:p w14:paraId="275EEEC2" w14:textId="77777777" w:rsidR="008104F6" w:rsidRPr="003E3613" w:rsidRDefault="008104F6" w:rsidP="00204696">
      <w:pPr>
        <w:spacing w:after="0"/>
        <w:jc w:val="both"/>
        <w:rPr>
          <w:rFonts w:ascii="Book Antiqua" w:hAnsi="Book Antiqua"/>
          <w:i/>
          <w:sz w:val="23"/>
          <w:szCs w:val="23"/>
          <w:lang w:val="en-GB"/>
        </w:rPr>
      </w:pPr>
    </w:p>
    <w:p w14:paraId="7FFA5067" w14:textId="77777777" w:rsidR="00F80BB4" w:rsidRPr="003E3613" w:rsidRDefault="00F80BB4" w:rsidP="00204696">
      <w:pPr>
        <w:spacing w:after="0"/>
        <w:jc w:val="both"/>
        <w:rPr>
          <w:rFonts w:ascii="Book Antiqua" w:hAnsi="Book Antiqua"/>
          <w:i/>
          <w:sz w:val="23"/>
          <w:szCs w:val="23"/>
          <w:lang w:val="en-GB"/>
        </w:rPr>
      </w:pPr>
      <w:r w:rsidRPr="003E3613">
        <w:rPr>
          <w:rFonts w:ascii="Book Antiqua" w:hAnsi="Book Antiqua"/>
          <w:sz w:val="23"/>
          <w:szCs w:val="23"/>
          <w:lang w:val="en-GB"/>
        </w:rPr>
        <w:t>Since it is a pending case,</w:t>
      </w:r>
      <w:r w:rsidR="00D3022F" w:rsidRPr="003E3613">
        <w:rPr>
          <w:rFonts w:ascii="Book Antiqua" w:hAnsi="Book Antiqua"/>
          <w:sz w:val="23"/>
          <w:szCs w:val="23"/>
          <w:lang w:val="en-GB"/>
        </w:rPr>
        <w:t xml:space="preserve"> </w:t>
      </w:r>
      <w:r w:rsidR="00D3022F" w:rsidRPr="003E3613">
        <w:rPr>
          <w:rFonts w:ascii="Book Antiqua" w:hAnsi="Book Antiqua"/>
          <w:bCs/>
          <w:sz w:val="23"/>
          <w:szCs w:val="23"/>
          <w:lang w:val="en-GB"/>
        </w:rPr>
        <w:t>which has not even been communicated to the Government by the ECtHR,</w:t>
      </w:r>
      <w:r w:rsidRPr="003E3613">
        <w:rPr>
          <w:rFonts w:ascii="Book Antiqua" w:hAnsi="Book Antiqua"/>
          <w:sz w:val="23"/>
          <w:szCs w:val="23"/>
          <w:lang w:val="en-GB"/>
        </w:rPr>
        <w:t xml:space="preserve"> it would be premature to </w:t>
      </w:r>
      <w:r w:rsidR="00B80325" w:rsidRPr="003E3613">
        <w:rPr>
          <w:rFonts w:ascii="Book Antiqua" w:hAnsi="Book Antiqua"/>
          <w:sz w:val="23"/>
          <w:szCs w:val="23"/>
          <w:lang w:val="en-GB"/>
        </w:rPr>
        <w:t>comment on it, however, Hungary maintains that the law and order should be maintained even for minor offences</w:t>
      </w:r>
      <w:r w:rsidR="00D3022F" w:rsidRPr="003E3613">
        <w:rPr>
          <w:rFonts w:ascii="Book Antiqua" w:hAnsi="Book Antiqua"/>
          <w:sz w:val="23"/>
          <w:szCs w:val="23"/>
          <w:lang w:val="en-GB"/>
        </w:rPr>
        <w:t xml:space="preserve"> </w:t>
      </w:r>
      <w:r w:rsidR="00D3022F" w:rsidRPr="003E3613">
        <w:rPr>
          <w:rFonts w:ascii="Book Antiqua" w:hAnsi="Book Antiqua"/>
          <w:bCs/>
          <w:sz w:val="23"/>
          <w:szCs w:val="23"/>
          <w:lang w:val="en-GB"/>
        </w:rPr>
        <w:t>and domestic judicial authorities which have the benefit of directly hearing all witnesses and consider all evidence are in the best position to decide on the lawfulness of specific actions of the law-enforcement authorities.</w:t>
      </w:r>
      <w:r w:rsidR="00D3022F" w:rsidRPr="003E3613">
        <w:rPr>
          <w:rFonts w:ascii="Book Antiqua" w:hAnsi="Book Antiqua"/>
          <w:sz w:val="23"/>
          <w:szCs w:val="23"/>
          <w:lang w:val="en-GB"/>
        </w:rPr>
        <w:t xml:space="preserve"> </w:t>
      </w:r>
      <w:r w:rsidR="00D3022F" w:rsidRPr="003E3613">
        <w:rPr>
          <w:rFonts w:ascii="Book Antiqua" w:hAnsi="Book Antiqua"/>
          <w:bCs/>
          <w:sz w:val="23"/>
          <w:szCs w:val="23"/>
          <w:lang w:val="en-GB"/>
        </w:rPr>
        <w:t>Furthermore</w:t>
      </w:r>
      <w:r w:rsidR="00886811" w:rsidRPr="003E3613">
        <w:rPr>
          <w:rFonts w:ascii="Book Antiqua" w:hAnsi="Book Antiqua"/>
          <w:bCs/>
          <w:sz w:val="23"/>
          <w:szCs w:val="23"/>
          <w:lang w:val="en-GB"/>
        </w:rPr>
        <w:t>,</w:t>
      </w:r>
      <w:r w:rsidR="00D3022F" w:rsidRPr="003E3613">
        <w:rPr>
          <w:rFonts w:ascii="Book Antiqua" w:hAnsi="Book Antiqua"/>
          <w:bCs/>
          <w:sz w:val="23"/>
          <w:szCs w:val="23"/>
          <w:lang w:val="en-GB"/>
        </w:rPr>
        <w:t xml:space="preserve"> it must be noted that that the same judgment, upheld by the Kúria </w:t>
      </w:r>
      <w:r w:rsidR="00886811" w:rsidRPr="003E3613">
        <w:rPr>
          <w:rFonts w:ascii="Book Antiqua" w:hAnsi="Book Antiqua"/>
          <w:bCs/>
          <w:sz w:val="23"/>
          <w:szCs w:val="23"/>
          <w:lang w:val="en-GB"/>
        </w:rPr>
        <w:t xml:space="preserve">(Supreme Court of Hungary) </w:t>
      </w:r>
      <w:r w:rsidR="00D3022F" w:rsidRPr="003E3613">
        <w:rPr>
          <w:rFonts w:ascii="Book Antiqua" w:hAnsi="Book Antiqua"/>
          <w:bCs/>
          <w:sz w:val="23"/>
          <w:szCs w:val="23"/>
          <w:lang w:val="en-GB"/>
        </w:rPr>
        <w:t>on 8 February 2017, established that the Heves County Regional Police Headquarters’ failure to protect the members of the ethnic population from actions of the “patrolling” organisation constituted harassment within the meaning of the Equal Treatment Act (Act no. CXXV. of 2003) and prohibited the defendant authority from further illegal actions</w:t>
      </w:r>
      <w:r w:rsidR="00B80325" w:rsidRPr="003E3613">
        <w:rPr>
          <w:rFonts w:ascii="Book Antiqua" w:hAnsi="Book Antiqua"/>
          <w:sz w:val="23"/>
          <w:szCs w:val="23"/>
          <w:lang w:val="en-GB"/>
        </w:rPr>
        <w:t>.</w:t>
      </w:r>
    </w:p>
    <w:p w14:paraId="40EB8E02" w14:textId="77777777" w:rsidR="00B80325" w:rsidRPr="003E3613" w:rsidRDefault="00B80325" w:rsidP="00204696">
      <w:pPr>
        <w:spacing w:after="0"/>
        <w:jc w:val="both"/>
        <w:rPr>
          <w:rFonts w:ascii="Book Antiqua" w:hAnsi="Book Antiqua"/>
          <w:i/>
          <w:sz w:val="23"/>
          <w:szCs w:val="23"/>
          <w:lang w:val="en-GB"/>
        </w:rPr>
      </w:pPr>
    </w:p>
    <w:p w14:paraId="27B3AFAE" w14:textId="77777777" w:rsidR="008104F6" w:rsidRPr="003E3613" w:rsidRDefault="00B80325" w:rsidP="00204696">
      <w:pPr>
        <w:spacing w:after="0"/>
        <w:jc w:val="both"/>
        <w:rPr>
          <w:rFonts w:ascii="Book Antiqua" w:hAnsi="Book Antiqua"/>
          <w:b/>
          <w:sz w:val="23"/>
          <w:szCs w:val="23"/>
          <w:lang w:val="en-GB"/>
        </w:rPr>
      </w:pPr>
      <w:r w:rsidRPr="003E3613">
        <w:rPr>
          <w:rFonts w:ascii="Book Antiqua" w:hAnsi="Book Antiqua"/>
          <w:b/>
          <w:sz w:val="23"/>
          <w:szCs w:val="23"/>
          <w:lang w:val="en-GB"/>
        </w:rPr>
        <w:t>Freedom of expression</w:t>
      </w:r>
    </w:p>
    <w:p w14:paraId="33676E98" w14:textId="77777777" w:rsidR="00B80325" w:rsidRPr="003E3613" w:rsidRDefault="00B80325" w:rsidP="00204696">
      <w:pPr>
        <w:spacing w:after="0"/>
        <w:jc w:val="both"/>
        <w:rPr>
          <w:rFonts w:ascii="Book Antiqua" w:hAnsi="Book Antiqua"/>
          <w:i/>
          <w:sz w:val="23"/>
          <w:szCs w:val="23"/>
          <w:lang w:val="en-GB"/>
        </w:rPr>
      </w:pPr>
    </w:p>
    <w:p w14:paraId="220A8288" w14:textId="77777777" w:rsidR="008104F6" w:rsidRPr="003E3613" w:rsidRDefault="008104F6"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7A7825" w:rsidRPr="003E3613">
        <w:rPr>
          <w:rFonts w:ascii="Book Antiqua" w:hAnsi="Book Antiqua"/>
          <w:i/>
          <w:sz w:val="23"/>
          <w:szCs w:val="23"/>
          <w:lang w:val="en-GB"/>
        </w:rPr>
        <w:t>61</w:t>
      </w:r>
      <w:r w:rsidRPr="003E3613">
        <w:rPr>
          <w:rFonts w:ascii="Book Antiqua" w:hAnsi="Book Antiqua"/>
          <w:i/>
          <w:sz w:val="23"/>
          <w:szCs w:val="23"/>
          <w:lang w:val="en-GB"/>
        </w:rPr>
        <w:t xml:space="preserve">) In accordance with the Fourth Amendment of the Fundamental Law, the ‘freedom of expression may not be exercised with the aim of violating the dignity of the Hungarian nation or of any national, ethnic, racial or religious community’. The Hungarian Penal Code punishes inciting violence or hatred against a member of a community. The Government has established a Working Group Against Hate </w:t>
      </w:r>
      <w:r w:rsidRPr="003E3613">
        <w:rPr>
          <w:rFonts w:ascii="Book Antiqua" w:hAnsi="Book Antiqua"/>
          <w:i/>
          <w:sz w:val="23"/>
          <w:szCs w:val="23"/>
          <w:lang w:val="en-GB"/>
        </w:rPr>
        <w:lastRenderedPageBreak/>
        <w:t xml:space="preserve">Crime providing training for police officers and helping victims to cooperate with the police and report incidents. </w:t>
      </w:r>
    </w:p>
    <w:p w14:paraId="083E4F8F" w14:textId="77777777" w:rsidR="005B5069" w:rsidRPr="003E3613" w:rsidRDefault="005B5069" w:rsidP="00204696">
      <w:pPr>
        <w:spacing w:after="0"/>
        <w:jc w:val="both"/>
        <w:rPr>
          <w:rFonts w:ascii="Book Antiqua" w:hAnsi="Book Antiqua"/>
          <w:i/>
          <w:sz w:val="23"/>
          <w:szCs w:val="23"/>
          <w:lang w:val="en-GB"/>
        </w:rPr>
      </w:pPr>
    </w:p>
    <w:p w14:paraId="597EE49C" w14:textId="77777777" w:rsidR="00B80325" w:rsidRPr="003E3613" w:rsidRDefault="00B80325"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It is to be greeted that the </w:t>
      </w:r>
      <w:r w:rsidR="002E06C0" w:rsidRPr="003E3613">
        <w:rPr>
          <w:rFonts w:ascii="Book Antiqua" w:hAnsi="Book Antiqua"/>
          <w:sz w:val="23"/>
          <w:szCs w:val="23"/>
          <w:lang w:val="en-GB"/>
        </w:rPr>
        <w:t xml:space="preserve">reasoned proposal </w:t>
      </w:r>
      <w:r w:rsidRPr="003E3613">
        <w:rPr>
          <w:rFonts w:ascii="Book Antiqua" w:hAnsi="Book Antiqua"/>
          <w:sz w:val="23"/>
          <w:szCs w:val="23"/>
          <w:lang w:val="en-GB"/>
        </w:rPr>
        <w:t xml:space="preserve">acknowledges the efforts of the Government, therefore the criticisms on freedom of expression should have been completely deleted </w:t>
      </w:r>
      <w:r w:rsidR="00EC66F0" w:rsidRPr="003E3613">
        <w:rPr>
          <w:rFonts w:ascii="Book Antiqua" w:hAnsi="Book Antiqua"/>
          <w:sz w:val="23"/>
          <w:szCs w:val="23"/>
          <w:lang w:val="en-GB"/>
        </w:rPr>
        <w:t>there</w:t>
      </w:r>
      <w:r w:rsidRPr="003E3613">
        <w:rPr>
          <w:rFonts w:ascii="Book Antiqua" w:hAnsi="Book Antiqua"/>
          <w:sz w:val="23"/>
          <w:szCs w:val="23"/>
          <w:lang w:val="en-GB"/>
        </w:rPr>
        <w:t>from.</w:t>
      </w:r>
    </w:p>
    <w:p w14:paraId="74150F55" w14:textId="77777777" w:rsidR="002B3E40" w:rsidRPr="003E3613" w:rsidRDefault="002B3E40" w:rsidP="00204696">
      <w:pPr>
        <w:spacing w:after="0"/>
        <w:jc w:val="both"/>
        <w:rPr>
          <w:rFonts w:ascii="Book Antiqua" w:hAnsi="Book Antiqua"/>
          <w:sz w:val="23"/>
          <w:szCs w:val="23"/>
          <w:lang w:val="en-GB"/>
        </w:rPr>
      </w:pPr>
    </w:p>
    <w:p w14:paraId="7E4E69DF" w14:textId="21409037" w:rsidR="007A7E18" w:rsidRPr="003E3613" w:rsidRDefault="000D0F81" w:rsidP="00204696">
      <w:pPr>
        <w:jc w:val="both"/>
        <w:rPr>
          <w:rFonts w:ascii="Book Antiqua" w:hAnsi="Book Antiqua"/>
          <w:b/>
          <w:sz w:val="23"/>
          <w:szCs w:val="23"/>
          <w:lang w:val="en-GB"/>
        </w:rPr>
      </w:pPr>
      <w:r w:rsidRPr="003E3613">
        <w:rPr>
          <w:rFonts w:ascii="Book Antiqua" w:hAnsi="Book Antiqua"/>
          <w:b/>
          <w:sz w:val="23"/>
          <w:szCs w:val="23"/>
          <w:lang w:val="en-GB"/>
        </w:rPr>
        <w:t>Zero tolerance in case of any form of racism is provided by the Hungarian legislation and repeated univocally at the highest political levels. Therefore, it is not justified to mention the elements of recitals 51-61 in a reasoned proposal requesting the Council to determine, pursuant to Article 7(1) of the Treaty on European Union, the existence of a clear risk of a serious breach by Hungary of the values on which the Union is founded.</w:t>
      </w:r>
    </w:p>
    <w:p w14:paraId="25D7359A" w14:textId="77777777" w:rsidR="000C03EC" w:rsidRPr="003E3613" w:rsidRDefault="000C03EC" w:rsidP="00204696">
      <w:pPr>
        <w:pStyle w:val="Heading1"/>
        <w:keepNext w:val="0"/>
        <w:keepLines w:val="0"/>
        <w:pBdr>
          <w:top w:val="single" w:sz="4" w:space="1" w:color="auto"/>
          <w:left w:val="single" w:sz="4" w:space="4" w:color="auto"/>
          <w:bottom w:val="single" w:sz="4" w:space="1" w:color="auto"/>
          <w:right w:val="single" w:sz="4" w:space="4" w:color="auto"/>
        </w:pBdr>
        <w:shd w:val="clear" w:color="auto" w:fill="C6D9F1" w:themeFill="text2" w:themeFillTint="33"/>
        <w:spacing w:before="0"/>
        <w:rPr>
          <w:rFonts w:ascii="Book Antiqua" w:hAnsi="Book Antiqua"/>
          <w:color w:val="auto"/>
          <w:sz w:val="23"/>
          <w:szCs w:val="23"/>
          <w:lang w:val="en-GB"/>
        </w:rPr>
      </w:pPr>
      <w:bookmarkStart w:id="65" w:name="_Toc19120823"/>
      <w:r w:rsidRPr="003E3613">
        <w:rPr>
          <w:rFonts w:ascii="Book Antiqua" w:hAnsi="Book Antiqua"/>
          <w:color w:val="auto"/>
          <w:sz w:val="23"/>
          <w:szCs w:val="23"/>
          <w:lang w:val="en-GB"/>
        </w:rPr>
        <w:t>Fundamental rights of migrants, asylum seekers and refugees</w:t>
      </w:r>
      <w:bookmarkEnd w:id="65"/>
    </w:p>
    <w:p w14:paraId="4C302E42" w14:textId="77777777" w:rsidR="000C03EC" w:rsidRPr="003E3613" w:rsidRDefault="000C03EC" w:rsidP="00204696">
      <w:pPr>
        <w:spacing w:after="0"/>
        <w:jc w:val="both"/>
        <w:rPr>
          <w:rFonts w:ascii="Book Antiqua" w:hAnsi="Book Antiqua"/>
          <w:i/>
          <w:sz w:val="23"/>
          <w:szCs w:val="23"/>
          <w:lang w:val="en-GB"/>
        </w:rPr>
      </w:pPr>
    </w:p>
    <w:p w14:paraId="6F6B8798" w14:textId="77777777" w:rsidR="00102A0B" w:rsidRPr="003E3613" w:rsidRDefault="00102A0B"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During the EP debate, the Members of the European Parliament who supported the </w:t>
      </w:r>
      <w:r w:rsidR="00BE595A" w:rsidRPr="003E3613">
        <w:rPr>
          <w:rFonts w:ascii="Book Antiqua" w:hAnsi="Book Antiqua"/>
          <w:sz w:val="23"/>
          <w:szCs w:val="23"/>
          <w:lang w:val="en-GB"/>
        </w:rPr>
        <w:t xml:space="preserve">reasoned proposal </w:t>
      </w:r>
      <w:r w:rsidRPr="003E3613">
        <w:rPr>
          <w:rFonts w:ascii="Book Antiqua" w:hAnsi="Book Antiqua"/>
          <w:sz w:val="23"/>
          <w:szCs w:val="23"/>
          <w:lang w:val="en-GB"/>
        </w:rPr>
        <w:t xml:space="preserve">have </w:t>
      </w:r>
      <w:r w:rsidR="00BE595A" w:rsidRPr="003E3613">
        <w:rPr>
          <w:rFonts w:ascii="Book Antiqua" w:hAnsi="Book Antiqua"/>
          <w:sz w:val="23"/>
          <w:szCs w:val="23"/>
          <w:lang w:val="en-GB"/>
        </w:rPr>
        <w:t xml:space="preserve">consistently denied </w:t>
      </w:r>
      <w:r w:rsidRPr="003E3613">
        <w:rPr>
          <w:rFonts w:ascii="Book Antiqua" w:hAnsi="Book Antiqua"/>
          <w:sz w:val="23"/>
          <w:szCs w:val="23"/>
          <w:lang w:val="en-GB"/>
        </w:rPr>
        <w:t xml:space="preserve">that the initiation of the Article 7 procedure </w:t>
      </w:r>
      <w:r w:rsidR="00BE595A" w:rsidRPr="003E3613">
        <w:rPr>
          <w:rFonts w:ascii="Book Antiqua" w:hAnsi="Book Antiqua"/>
          <w:sz w:val="23"/>
          <w:szCs w:val="23"/>
          <w:lang w:val="en-GB"/>
        </w:rPr>
        <w:t xml:space="preserve">would be </w:t>
      </w:r>
      <w:r w:rsidRPr="003E3613">
        <w:rPr>
          <w:rFonts w:ascii="Book Antiqua" w:hAnsi="Book Antiqua"/>
          <w:sz w:val="23"/>
          <w:szCs w:val="23"/>
          <w:lang w:val="en-GB"/>
        </w:rPr>
        <w:t xml:space="preserve">due to the Hungarian Government's migration policy, however, it is worth examining the extent to which the </w:t>
      </w:r>
      <w:r w:rsidR="00BE595A" w:rsidRPr="003E3613">
        <w:rPr>
          <w:rFonts w:ascii="Book Antiqua" w:hAnsi="Book Antiqua"/>
          <w:sz w:val="23"/>
          <w:szCs w:val="23"/>
          <w:lang w:val="en-GB"/>
        </w:rPr>
        <w:t xml:space="preserve">final text still </w:t>
      </w:r>
      <w:r w:rsidRPr="003E3613">
        <w:rPr>
          <w:rFonts w:ascii="Book Antiqua" w:hAnsi="Book Antiqua"/>
          <w:sz w:val="23"/>
          <w:szCs w:val="23"/>
          <w:lang w:val="en-GB"/>
        </w:rPr>
        <w:t xml:space="preserve">deals with migration policy steps and events. The </w:t>
      </w:r>
      <w:r w:rsidR="00BE595A" w:rsidRPr="003E3613">
        <w:rPr>
          <w:rFonts w:ascii="Book Antiqua" w:hAnsi="Book Antiqua"/>
          <w:sz w:val="23"/>
          <w:szCs w:val="23"/>
          <w:lang w:val="en-GB"/>
        </w:rPr>
        <w:t xml:space="preserve">truth is, however, </w:t>
      </w:r>
      <w:r w:rsidRPr="003E3613">
        <w:rPr>
          <w:rFonts w:ascii="Book Antiqua" w:hAnsi="Book Antiqua"/>
          <w:sz w:val="23"/>
          <w:szCs w:val="23"/>
          <w:lang w:val="en-GB"/>
        </w:rPr>
        <w:t xml:space="preserve">that in the reasoned proposal, critics of all the possible international </w:t>
      </w:r>
      <w:r w:rsidR="00BD0A8B" w:rsidRPr="003E3613">
        <w:rPr>
          <w:rFonts w:ascii="Book Antiqua" w:hAnsi="Book Antiqua"/>
          <w:sz w:val="23"/>
          <w:szCs w:val="23"/>
          <w:lang w:val="en-GB"/>
        </w:rPr>
        <w:t>organisation</w:t>
      </w:r>
      <w:r w:rsidRPr="003E3613">
        <w:rPr>
          <w:rFonts w:ascii="Book Antiqua" w:hAnsi="Book Antiqua"/>
          <w:sz w:val="23"/>
          <w:szCs w:val="23"/>
          <w:lang w:val="en-GB"/>
        </w:rPr>
        <w:t xml:space="preserve">s and actors </w:t>
      </w:r>
      <w:r w:rsidR="00BE595A" w:rsidRPr="003E3613">
        <w:rPr>
          <w:rFonts w:ascii="Book Antiqua" w:hAnsi="Book Antiqua"/>
          <w:sz w:val="23"/>
          <w:szCs w:val="23"/>
          <w:lang w:val="en-GB"/>
        </w:rPr>
        <w:t xml:space="preserve">who are active in this field </w:t>
      </w:r>
      <w:r w:rsidRPr="003E3613">
        <w:rPr>
          <w:rFonts w:ascii="Book Antiqua" w:hAnsi="Book Antiqua"/>
          <w:sz w:val="23"/>
          <w:szCs w:val="23"/>
          <w:lang w:val="en-GB"/>
        </w:rPr>
        <w:t xml:space="preserve">have been collected. The political context in this respect should not be put aside, since these international </w:t>
      </w:r>
      <w:r w:rsidR="00BD0A8B" w:rsidRPr="003E3613">
        <w:rPr>
          <w:rFonts w:ascii="Book Antiqua" w:hAnsi="Book Antiqua"/>
          <w:sz w:val="23"/>
          <w:szCs w:val="23"/>
          <w:lang w:val="en-GB"/>
        </w:rPr>
        <w:t>organisation</w:t>
      </w:r>
      <w:r w:rsidRPr="003E3613">
        <w:rPr>
          <w:rFonts w:ascii="Book Antiqua" w:hAnsi="Book Antiqua"/>
          <w:sz w:val="23"/>
          <w:szCs w:val="23"/>
          <w:lang w:val="en-GB"/>
        </w:rPr>
        <w:t xml:space="preserve">s and actors, partly because of their function and status, are those who support migration, </w:t>
      </w:r>
      <w:r w:rsidR="00BE595A" w:rsidRPr="003E3613">
        <w:rPr>
          <w:rFonts w:ascii="Book Antiqua" w:hAnsi="Book Antiqua"/>
          <w:sz w:val="23"/>
          <w:szCs w:val="23"/>
          <w:lang w:val="en-GB"/>
        </w:rPr>
        <w:t xml:space="preserve">and are of the view </w:t>
      </w:r>
      <w:r w:rsidRPr="003E3613">
        <w:rPr>
          <w:rFonts w:ascii="Book Antiqua" w:hAnsi="Book Antiqua"/>
          <w:sz w:val="23"/>
          <w:szCs w:val="23"/>
          <w:lang w:val="en-GB"/>
        </w:rPr>
        <w:t xml:space="preserve">that migration shall not be stopped but treated within Europe, which, </w:t>
      </w:r>
      <w:r w:rsidR="00BE595A" w:rsidRPr="003E3613">
        <w:rPr>
          <w:rFonts w:ascii="Book Antiqua" w:hAnsi="Book Antiqua"/>
          <w:sz w:val="23"/>
          <w:szCs w:val="23"/>
          <w:lang w:val="en-GB"/>
        </w:rPr>
        <w:t>by definition</w:t>
      </w:r>
      <w:r w:rsidRPr="003E3613">
        <w:rPr>
          <w:rFonts w:ascii="Book Antiqua" w:hAnsi="Book Antiqua"/>
          <w:sz w:val="23"/>
          <w:szCs w:val="23"/>
          <w:lang w:val="en-GB"/>
        </w:rPr>
        <w:t>, is opposed to the position of the Hungarian Government.</w:t>
      </w:r>
    </w:p>
    <w:p w14:paraId="0B3DC876" w14:textId="77777777" w:rsidR="00102A0B" w:rsidRPr="003E3613" w:rsidRDefault="00102A0B" w:rsidP="00204696">
      <w:pPr>
        <w:spacing w:after="0"/>
        <w:jc w:val="both"/>
        <w:rPr>
          <w:rFonts w:ascii="Book Antiqua" w:hAnsi="Book Antiqua"/>
          <w:sz w:val="23"/>
          <w:szCs w:val="23"/>
          <w:lang w:val="en-GB"/>
        </w:rPr>
      </w:pPr>
    </w:p>
    <w:p w14:paraId="5C3FFC41" w14:textId="77777777" w:rsidR="00356945" w:rsidRPr="003E3613" w:rsidRDefault="00356945" w:rsidP="00204696">
      <w:pPr>
        <w:jc w:val="both"/>
        <w:rPr>
          <w:rFonts w:ascii="Book Antiqua" w:hAnsi="Book Antiqua"/>
          <w:sz w:val="23"/>
          <w:szCs w:val="23"/>
          <w:lang w:val="en-GB"/>
        </w:rPr>
      </w:pPr>
      <w:r w:rsidRPr="003E3613">
        <w:rPr>
          <w:rFonts w:ascii="Book Antiqua" w:hAnsi="Book Antiqua"/>
          <w:sz w:val="23"/>
          <w:szCs w:val="23"/>
          <w:lang w:val="en-GB"/>
        </w:rPr>
        <w:t>The priority for Hungary is to address the causes of migration at its root and to fully protect the external borders. Cooperation with third countries focuses on return, readmission and reintegration, disruption of human trafficking networks and local economic, security and social problems. Hungary also supports third countries in capacity building in the field of border protection.</w:t>
      </w:r>
    </w:p>
    <w:p w14:paraId="1DBD3BF5" w14:textId="77777777" w:rsidR="00356945" w:rsidRPr="003E3613" w:rsidRDefault="00356945" w:rsidP="00204696">
      <w:pPr>
        <w:jc w:val="both"/>
        <w:rPr>
          <w:rFonts w:ascii="Book Antiqua" w:hAnsi="Book Antiqua"/>
          <w:sz w:val="23"/>
          <w:szCs w:val="23"/>
          <w:lang w:val="en-GB"/>
        </w:rPr>
      </w:pPr>
      <w:r w:rsidRPr="003E3613">
        <w:rPr>
          <w:rFonts w:ascii="Book Antiqua" w:hAnsi="Book Antiqua"/>
          <w:sz w:val="23"/>
          <w:szCs w:val="23"/>
          <w:lang w:val="en-GB"/>
        </w:rPr>
        <w:t>Hungary's position is that protection should be provided to those fleeing persecution. At the same time, the current migration crisis has shown that asylum abuse is a major burden for the asylum and migration system. With this in mind, Hungary is strongly opposed to abuses in order to concentrate all the necessary resources on those who really need protection.</w:t>
      </w:r>
      <w:r w:rsidRPr="003E3613">
        <w:rPr>
          <w:lang w:val="en-GB"/>
        </w:rPr>
        <w:t xml:space="preserve"> </w:t>
      </w:r>
      <w:r w:rsidRPr="003E3613">
        <w:rPr>
          <w:rFonts w:ascii="Book Antiqua" w:hAnsi="Book Antiqua"/>
          <w:sz w:val="23"/>
          <w:szCs w:val="23"/>
          <w:lang w:val="en-GB"/>
        </w:rPr>
        <w:t>In accordance with Article 2 of the Return Directive, Hungary does not apply the Return Directive to third-country nationals who have been refused entry in accordance with Article 13 of the Schengen Borders Code or who have been refused entry by a competent authority at the external border of a Member State, have been caught or arrested for illegal crossing by sea or air, and who have not subsequently been granted the right to reside in that Member State.</w:t>
      </w:r>
    </w:p>
    <w:p w14:paraId="7FB1E085" w14:textId="77777777" w:rsidR="00BE595A" w:rsidRPr="003E3613" w:rsidRDefault="00102A0B" w:rsidP="00204696">
      <w:pPr>
        <w:jc w:val="both"/>
        <w:rPr>
          <w:lang w:val="en-GB"/>
        </w:rPr>
      </w:pPr>
      <w:r w:rsidRPr="003E3613">
        <w:rPr>
          <w:rFonts w:ascii="Book Antiqua" w:hAnsi="Book Antiqua"/>
          <w:sz w:val="23"/>
          <w:szCs w:val="23"/>
          <w:lang w:val="en-GB"/>
        </w:rPr>
        <w:t>The Hungarian Government is of the firm opinion that none of the elements listed in th</w:t>
      </w:r>
      <w:r w:rsidR="00BE595A" w:rsidRPr="003E3613">
        <w:rPr>
          <w:rFonts w:ascii="Book Antiqua" w:hAnsi="Book Antiqua"/>
          <w:sz w:val="23"/>
          <w:szCs w:val="23"/>
          <w:lang w:val="en-GB"/>
        </w:rPr>
        <w:t>is</w:t>
      </w:r>
      <w:r w:rsidRPr="003E3613">
        <w:rPr>
          <w:rFonts w:ascii="Book Antiqua" w:hAnsi="Book Antiqua"/>
          <w:sz w:val="23"/>
          <w:szCs w:val="23"/>
          <w:lang w:val="en-GB"/>
        </w:rPr>
        <w:t xml:space="preserve"> chapter by the European Parliament justifies </w:t>
      </w:r>
      <w:r w:rsidR="00BE595A" w:rsidRPr="003E3613">
        <w:rPr>
          <w:rFonts w:ascii="Book Antiqua" w:hAnsi="Book Antiqua"/>
          <w:sz w:val="23"/>
          <w:szCs w:val="23"/>
          <w:lang w:val="en-GB"/>
        </w:rPr>
        <w:t xml:space="preserve">to request </w:t>
      </w:r>
      <w:r w:rsidRPr="003E3613">
        <w:rPr>
          <w:rFonts w:ascii="Book Antiqua" w:hAnsi="Book Antiqua"/>
          <w:sz w:val="23"/>
          <w:szCs w:val="23"/>
          <w:lang w:val="en-GB"/>
        </w:rPr>
        <w:t xml:space="preserve">the procedure under Article 7 (1) TEU </w:t>
      </w:r>
      <w:r w:rsidRPr="003E3613">
        <w:rPr>
          <w:rFonts w:ascii="Book Antiqua" w:hAnsi="Book Antiqua"/>
          <w:sz w:val="23"/>
          <w:szCs w:val="23"/>
          <w:lang w:val="en-GB"/>
        </w:rPr>
        <w:lastRenderedPageBreak/>
        <w:t>from the Council. The Hungarian Government asks the Member States to consider Hungary's arguments below and to give their consent on the basis of Hungarian legislation, measures and steps and the provisions of the Treaties, that there is no basis for the procedure under Article 7 (1) TEU.</w:t>
      </w:r>
    </w:p>
    <w:p w14:paraId="65FF4932" w14:textId="3599A21F" w:rsidR="004102CA" w:rsidRPr="003E3613" w:rsidRDefault="004102CA" w:rsidP="00204696">
      <w:pPr>
        <w:pStyle w:val="Heading2"/>
        <w:keepNext w:val="0"/>
        <w:keepLines w:val="0"/>
        <w:spacing w:before="0"/>
        <w:rPr>
          <w:rFonts w:ascii="Book Antiqua" w:hAnsi="Book Antiqua"/>
          <w:color w:val="auto"/>
          <w:sz w:val="23"/>
          <w:szCs w:val="23"/>
          <w:lang w:val="en-GB"/>
        </w:rPr>
      </w:pPr>
      <w:bookmarkStart w:id="66" w:name="_Toc19120824"/>
      <w:r w:rsidRPr="003E3613">
        <w:rPr>
          <w:rFonts w:ascii="Book Antiqua" w:hAnsi="Book Antiqua"/>
          <w:color w:val="auto"/>
          <w:sz w:val="23"/>
          <w:szCs w:val="23"/>
          <w:lang w:val="en-GB"/>
        </w:rPr>
        <w:t>Amending asylum law in Hungary</w:t>
      </w:r>
      <w:r w:rsidR="00090557" w:rsidRPr="003E3613">
        <w:rPr>
          <w:rFonts w:ascii="Book Antiqua" w:hAnsi="Book Antiqua"/>
          <w:color w:val="auto"/>
          <w:sz w:val="23"/>
          <w:szCs w:val="23"/>
          <w:lang w:val="en-GB"/>
        </w:rPr>
        <w:t xml:space="preserve"> / abuses by border authorities</w:t>
      </w:r>
      <w:bookmarkEnd w:id="66"/>
    </w:p>
    <w:p w14:paraId="0DA7FF2C" w14:textId="77777777" w:rsidR="004102CA" w:rsidRPr="003E3613" w:rsidRDefault="004102CA" w:rsidP="00204696">
      <w:pPr>
        <w:spacing w:after="0"/>
        <w:jc w:val="both"/>
        <w:rPr>
          <w:rFonts w:ascii="Book Antiqua" w:hAnsi="Book Antiqua"/>
          <w:sz w:val="23"/>
          <w:szCs w:val="23"/>
          <w:lang w:val="en-GB"/>
        </w:rPr>
      </w:pPr>
    </w:p>
    <w:p w14:paraId="00F50611" w14:textId="77777777" w:rsidR="000C03EC" w:rsidRPr="003E3613" w:rsidRDefault="000C03EC"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C80223" w:rsidRPr="003E3613">
        <w:rPr>
          <w:rFonts w:ascii="Book Antiqua" w:hAnsi="Book Antiqua"/>
          <w:i/>
          <w:sz w:val="23"/>
          <w:szCs w:val="23"/>
          <w:lang w:val="en-GB"/>
        </w:rPr>
        <w:t>62</w:t>
      </w:r>
      <w:r w:rsidRPr="003E3613">
        <w:rPr>
          <w:rFonts w:ascii="Book Antiqua" w:hAnsi="Book Antiqua"/>
          <w:i/>
          <w:sz w:val="23"/>
          <w:szCs w:val="23"/>
          <w:lang w:val="en-GB"/>
        </w:rPr>
        <w:t>) On 3 July 2015, the UN High Commissioner for Refugees expressed concerns about the fast-track procedure for amending asylum law. On 17 September 2015, the UN High Commissioner for Human Rights expressed his opinion that Hungary violated international law by its treatment of refugees and migrants. On 27 November 2015, the Council of Europe Commissioner for Human Rights made a statement that Hungary’s response to the refugee challenge falls short on human rights. On 21 December 2015, the UN High Commissioner for Refugees, the Council of Europe and the OSCE Office for Democratic Institutions and Human Rights urged Hungary to refrain from policies and practices that promote intolerance and fear and fuel xenophobia against refugees and migrants. On 6 June 2016, the UN High Commissioner for Refugees expressed concerns about the increasing number of allegations of abuse in Hungary against asylum-seekers and migrants by border authorities, and the broader restrictive border and legislative measures, including access to asylum procedures.</w:t>
      </w:r>
      <w:r w:rsidR="008104F6" w:rsidRPr="003E3613">
        <w:rPr>
          <w:rFonts w:ascii="Book Antiqua" w:hAnsi="Book Antiqua"/>
          <w:i/>
          <w:sz w:val="23"/>
          <w:szCs w:val="23"/>
          <w:lang w:val="en-GB"/>
        </w:rPr>
        <w:t xml:space="preserve"> On 10 April 2017, the Office of the UN High Commissioner for Refugees called for an immediate suspension of Dublin transfers to Hungary. In 2017, out of 3 397 applications for international protection filed in Hungary, 2 880 applications were rejected, which amounted to a rejection rate of 69,1 %. In 2015, out of 480 judicial appeals relating to applications for international protection, there were 40 positive decisions, i.e. 9 %. In 2016, there were 775 appeals, 5 of which resulted in positive decisions, i.e. 1 %, while there were no appeals in 2017.</w:t>
      </w:r>
    </w:p>
    <w:p w14:paraId="52F66DCD" w14:textId="77777777" w:rsidR="0044552A" w:rsidRPr="003E3613" w:rsidRDefault="0044552A" w:rsidP="00204696">
      <w:pPr>
        <w:spacing w:after="0"/>
        <w:jc w:val="both"/>
        <w:rPr>
          <w:rFonts w:ascii="Book Antiqua" w:hAnsi="Book Antiqua"/>
          <w:iCs/>
          <w:sz w:val="23"/>
          <w:szCs w:val="23"/>
          <w:lang w:val="en-GB"/>
        </w:rPr>
      </w:pPr>
    </w:p>
    <w:p w14:paraId="52DF3115" w14:textId="77777777" w:rsidR="00BE12D7" w:rsidRPr="003E3613" w:rsidRDefault="00102A0B"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It should be pointed out that Hungary has always ensured the requirements of international </w:t>
      </w:r>
      <w:r w:rsidR="00C038CC" w:rsidRPr="003E3613">
        <w:rPr>
          <w:rFonts w:ascii="Book Antiqua" w:hAnsi="Book Antiqua" w:cs="Times New Roman"/>
          <w:sz w:val="23"/>
          <w:szCs w:val="23"/>
          <w:lang w:val="en-GB"/>
        </w:rPr>
        <w:t>conventions</w:t>
      </w:r>
      <w:r w:rsidR="000F458C" w:rsidRPr="003E3613">
        <w:rPr>
          <w:rFonts w:ascii="Book Antiqua" w:hAnsi="Book Antiqua" w:cs="Times New Roman"/>
          <w:sz w:val="23"/>
          <w:szCs w:val="23"/>
          <w:lang w:val="en-GB"/>
        </w:rPr>
        <w:t>.</w:t>
      </w:r>
      <w:r w:rsidR="00C038CC" w:rsidRPr="003E3613">
        <w:rPr>
          <w:rFonts w:ascii="Book Antiqua" w:hAnsi="Book Antiqua" w:cs="Times New Roman"/>
          <w:sz w:val="23"/>
          <w:szCs w:val="23"/>
          <w:lang w:val="en-GB"/>
        </w:rPr>
        <w:t xml:space="preserve"> Hungary fulfils all of its international obligations that deal with the safeguarding of human rights of asylum seekers and refugees</w:t>
      </w:r>
      <w:r w:rsidRPr="003E3613">
        <w:rPr>
          <w:rFonts w:ascii="Book Antiqua" w:hAnsi="Book Antiqua" w:cs="Times New Roman"/>
          <w:sz w:val="23"/>
          <w:szCs w:val="23"/>
          <w:lang w:val="en-GB"/>
        </w:rPr>
        <w:t>.</w:t>
      </w:r>
      <w:r w:rsidR="00097BEF" w:rsidRPr="003E3613">
        <w:rPr>
          <w:rFonts w:ascii="Book Antiqua" w:hAnsi="Book Antiqua" w:cs="Times New Roman"/>
          <w:sz w:val="23"/>
          <w:szCs w:val="23"/>
          <w:lang w:val="en-GB"/>
        </w:rPr>
        <w:t xml:space="preserve"> </w:t>
      </w:r>
      <w:r w:rsidRPr="003E3613">
        <w:rPr>
          <w:rFonts w:ascii="Book Antiqua" w:hAnsi="Book Antiqua" w:cs="Times New Roman"/>
          <w:sz w:val="23"/>
          <w:szCs w:val="23"/>
          <w:lang w:val="en-GB"/>
        </w:rPr>
        <w:t xml:space="preserve">Regarding the impartiality of the reasoned proposal, a significant part of the European Parliament's findings are unilateral. All the arguments suggested by the European Parliament in this section have been altered and influenced by the developments since 2015. </w:t>
      </w:r>
      <w:r w:rsidR="00150CA3" w:rsidRPr="003E3613">
        <w:rPr>
          <w:rFonts w:ascii="Book Antiqua" w:hAnsi="Book Antiqua" w:cs="Times New Roman"/>
          <w:sz w:val="23"/>
          <w:szCs w:val="23"/>
          <w:lang w:val="en-GB"/>
        </w:rPr>
        <w:t xml:space="preserve">We would like to stress that a new approach is being developed in asylum policy, both at EU and at </w:t>
      </w:r>
      <w:bookmarkStart w:id="67" w:name="_Hlk520633581"/>
      <w:r w:rsidR="00150CA3" w:rsidRPr="003E3613">
        <w:rPr>
          <w:rFonts w:ascii="Book Antiqua" w:hAnsi="Book Antiqua" w:cs="Times New Roman"/>
          <w:sz w:val="23"/>
          <w:szCs w:val="23"/>
          <w:lang w:val="en-GB"/>
        </w:rPr>
        <w:t>Member States level</w:t>
      </w:r>
      <w:bookmarkEnd w:id="67"/>
      <w:r w:rsidR="00150CA3" w:rsidRPr="003E3613">
        <w:rPr>
          <w:rFonts w:ascii="Book Antiqua" w:hAnsi="Book Antiqua" w:cs="Times New Roman"/>
          <w:sz w:val="23"/>
          <w:szCs w:val="23"/>
          <w:lang w:val="en-GB"/>
        </w:rPr>
        <w:t>, which instead of the existing mandatory allocation, focuses on the cooperation with third countries and the protection of external borders - in line with the views Hungary has been permanently expressing.</w:t>
      </w:r>
      <w:r w:rsidR="00BE12D7" w:rsidRPr="003E3613">
        <w:rPr>
          <w:rFonts w:ascii="Book Antiqua" w:hAnsi="Book Antiqua" w:cs="Times New Roman"/>
          <w:sz w:val="23"/>
          <w:szCs w:val="23"/>
          <w:lang w:val="en-GB"/>
        </w:rPr>
        <w:t xml:space="preserve"> The concept of controlled centres is presently being developed by the Member States in line with the Conclusions of the European Council adopted on 28 June 2018. The ideas raised so far regarding such controlled centres show many similarities with the Hungarian transit zones given the fact that the main aim of the controlled centres would be not to let any asylum seeker enter the territory of the EU before examining whether the asylum-seeker is eligible for international protection. According to the position of France, until the positive result of such examination, no asylum-seeker should be allowed to enter the territory of the EU.</w:t>
      </w:r>
    </w:p>
    <w:p w14:paraId="576ACF3D" w14:textId="77777777" w:rsidR="00873350" w:rsidRPr="003E3613" w:rsidRDefault="00873350" w:rsidP="00204696">
      <w:pPr>
        <w:spacing w:after="0"/>
        <w:jc w:val="both"/>
        <w:rPr>
          <w:rFonts w:ascii="Book Antiqua" w:hAnsi="Book Antiqua" w:cs="Times New Roman"/>
          <w:sz w:val="23"/>
          <w:szCs w:val="23"/>
          <w:lang w:val="en-GB"/>
        </w:rPr>
      </w:pPr>
    </w:p>
    <w:p w14:paraId="379D447B" w14:textId="77777777" w:rsidR="00873350" w:rsidRPr="003E3613" w:rsidRDefault="00150CA3"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lastRenderedPageBreak/>
        <w:t xml:space="preserve">Suffice is to mention in this regard the adoption of a new Asylum Agreement by the German Grand Coalition on 5 July 2018. According to this Agreement, and in accordance with the Geneva Convention, the right for asylum does not include the right to decide freely on the country in which asylum </w:t>
      </w:r>
      <w:r w:rsidR="00B62597" w:rsidRPr="003E3613">
        <w:rPr>
          <w:rFonts w:ascii="Book Antiqua" w:hAnsi="Book Antiqua" w:cs="Times New Roman"/>
          <w:sz w:val="23"/>
          <w:szCs w:val="23"/>
          <w:lang w:val="en-GB"/>
        </w:rPr>
        <w:t>is sought</w:t>
      </w:r>
      <w:r w:rsidRPr="003E3613">
        <w:rPr>
          <w:rFonts w:ascii="Book Antiqua" w:hAnsi="Book Antiqua" w:cs="Times New Roman"/>
          <w:sz w:val="23"/>
          <w:szCs w:val="23"/>
          <w:lang w:val="en-GB"/>
        </w:rPr>
        <w:t>. Therefore, at the German-Austrian border persons who have already lodged an application for asylum in a Member State of the European Union will be returned directly to the Member State concerned, if an agreement has been made with that Member State or the pr</w:t>
      </w:r>
      <w:r w:rsidR="001C0E44" w:rsidRPr="003E3613">
        <w:rPr>
          <w:rFonts w:ascii="Book Antiqua" w:hAnsi="Book Antiqua" w:cs="Times New Roman"/>
          <w:sz w:val="23"/>
          <w:szCs w:val="23"/>
          <w:lang w:val="en-GB"/>
        </w:rPr>
        <w:t>a</w:t>
      </w:r>
      <w:r w:rsidRPr="003E3613">
        <w:rPr>
          <w:rFonts w:ascii="Book Antiqua" w:hAnsi="Book Antiqua" w:cs="Times New Roman"/>
          <w:sz w:val="23"/>
          <w:szCs w:val="23"/>
          <w:lang w:val="en-GB"/>
        </w:rPr>
        <w:t>ctice of that Member State results in taking them back. A basic principle of the Agreement of the Grand Coalition is that the border procedure will be carried out in the existing facilities located in the proximity of the German-Austrian border and in the transit zone of the Munich Airport, within a period of 48 hours.</w:t>
      </w:r>
      <w:r w:rsidR="004A0EFC" w:rsidRPr="003E3613">
        <w:rPr>
          <w:lang w:val="en-GB"/>
        </w:rPr>
        <w:t xml:space="preserve"> </w:t>
      </w:r>
      <w:r w:rsidR="004A0EFC" w:rsidRPr="003E3613">
        <w:rPr>
          <w:rFonts w:ascii="Book Antiqua" w:hAnsi="Book Antiqua" w:cs="Times New Roman"/>
          <w:sz w:val="23"/>
          <w:szCs w:val="23"/>
          <w:lang w:val="en-GB"/>
        </w:rPr>
        <w:t>As regards effective remedy of asylum seekers, the absence of automatic suspensive effect and independent and rigorous scrutiny of the claim is only criticised vis-à-vis Hungary. The prescribed 3 days timeline guarantees enough time to prove their identity and that they arrived to Hungary through a country that is unsafe.</w:t>
      </w:r>
    </w:p>
    <w:p w14:paraId="2758FD0D" w14:textId="77777777" w:rsidR="00150CA3" w:rsidRPr="003E3613" w:rsidRDefault="00150CA3" w:rsidP="00204696">
      <w:pPr>
        <w:spacing w:after="0"/>
        <w:jc w:val="both"/>
        <w:rPr>
          <w:rFonts w:ascii="Book Antiqua" w:hAnsi="Book Antiqua"/>
          <w:iCs/>
          <w:sz w:val="23"/>
          <w:szCs w:val="23"/>
          <w:lang w:val="en-GB"/>
        </w:rPr>
      </w:pPr>
    </w:p>
    <w:p w14:paraId="1BF09173" w14:textId="63672406" w:rsidR="00150CA3" w:rsidRPr="003E3613" w:rsidRDefault="00CA1AC3"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In September 2015, under the authorisation of the Asylum Act, the Hungarian Government </w:t>
      </w:r>
      <w:r w:rsidR="00A41AB7" w:rsidRPr="003E3613">
        <w:rPr>
          <w:rFonts w:ascii="Book Antiqua" w:hAnsi="Book Antiqua"/>
          <w:iCs/>
          <w:sz w:val="23"/>
          <w:szCs w:val="23"/>
          <w:lang w:val="en-GB"/>
        </w:rPr>
        <w:t xml:space="preserve">declared </w:t>
      </w:r>
      <w:r w:rsidR="00CD09CE" w:rsidRPr="003E3613">
        <w:rPr>
          <w:rFonts w:ascii="Book Antiqua" w:hAnsi="Book Antiqua"/>
          <w:iCs/>
          <w:sz w:val="23"/>
          <w:szCs w:val="23"/>
          <w:lang w:val="en-GB"/>
        </w:rPr>
        <w:t xml:space="preserve">a </w:t>
      </w:r>
      <w:r w:rsidRPr="003E3613">
        <w:rPr>
          <w:rFonts w:ascii="Book Antiqua" w:hAnsi="Book Antiqua"/>
          <w:iCs/>
          <w:sz w:val="23"/>
          <w:szCs w:val="23"/>
          <w:lang w:val="en-GB"/>
        </w:rPr>
        <w:t xml:space="preserve">crisis situation due to mass immigration </w:t>
      </w:r>
      <w:r w:rsidR="000C580E" w:rsidRPr="003E3613">
        <w:rPr>
          <w:rFonts w:ascii="Book Antiqua" w:hAnsi="Book Antiqua"/>
          <w:iCs/>
          <w:sz w:val="23"/>
          <w:szCs w:val="23"/>
          <w:lang w:val="en-GB"/>
        </w:rPr>
        <w:t>for the</w:t>
      </w:r>
      <w:r w:rsidRPr="003E3613">
        <w:rPr>
          <w:rFonts w:ascii="Book Antiqua" w:hAnsi="Book Antiqua"/>
          <w:iCs/>
          <w:sz w:val="23"/>
          <w:szCs w:val="23"/>
          <w:lang w:val="en-GB"/>
        </w:rPr>
        <w:t xml:space="preserve"> first time. The rationale behind introducing this crisis situation, and the subsequent law enforcement measures, was that from 2015 on huge masses of third country nationals entered, or wanted to enter, the territory of Hungary illegally bringing about an imminent danger to public order and security. </w:t>
      </w:r>
      <w:r w:rsidR="004A0EFC" w:rsidRPr="003E3613">
        <w:rPr>
          <w:rFonts w:ascii="Book Antiqua" w:hAnsi="Book Antiqua"/>
          <w:iCs/>
          <w:sz w:val="23"/>
          <w:szCs w:val="23"/>
          <w:lang w:val="en-GB"/>
        </w:rPr>
        <w:t>Due to the large number and geographical proximity of immigrants in Serbia, Bosnia and Herzegovina and North Macedonia, maintaining a crisis situation is absolutely justified.</w:t>
      </w:r>
      <w:r w:rsidR="00E369D2" w:rsidRPr="003E3613">
        <w:rPr>
          <w:rFonts w:ascii="Book Antiqua" w:hAnsi="Book Antiqua"/>
          <w:iCs/>
          <w:sz w:val="23"/>
          <w:szCs w:val="23"/>
          <w:lang w:val="en-GB"/>
        </w:rPr>
        <w:t xml:space="preserve"> </w:t>
      </w:r>
      <w:r w:rsidR="004D57CF" w:rsidRPr="003E3613">
        <w:rPr>
          <w:rFonts w:ascii="Book Antiqua" w:hAnsi="Book Antiqua"/>
          <w:iCs/>
          <w:sz w:val="23"/>
          <w:szCs w:val="23"/>
          <w:lang w:val="en-GB"/>
        </w:rPr>
        <w:t>Concern</w:t>
      </w:r>
      <w:r w:rsidR="00E369D2" w:rsidRPr="003E3613">
        <w:rPr>
          <w:rFonts w:ascii="Book Antiqua" w:hAnsi="Book Antiqua"/>
          <w:iCs/>
          <w:sz w:val="23"/>
          <w:szCs w:val="23"/>
          <w:lang w:val="en-GB"/>
        </w:rPr>
        <w:t>ing the situation in Turkey, maintaining a crisis situation may prevent the escalation of a new wave, so the nature of the crisis situation is not only corrective but also preventive.</w:t>
      </w:r>
      <w:r w:rsidR="004A0EFC" w:rsidRPr="003E3613">
        <w:rPr>
          <w:rFonts w:ascii="Book Antiqua" w:hAnsi="Book Antiqua"/>
          <w:iCs/>
          <w:sz w:val="23"/>
          <w:szCs w:val="23"/>
          <w:lang w:val="en-GB"/>
        </w:rPr>
        <w:t xml:space="preserve"> The report also mentions that legislation designed to deal with a crisis situation is contrary to EU and international law. We would like to point out that no forum has ruled in a final decision </w:t>
      </w:r>
      <w:r w:rsidR="005216EF" w:rsidRPr="003E3613">
        <w:rPr>
          <w:rFonts w:ascii="Book Antiqua" w:hAnsi="Book Antiqua"/>
          <w:iCs/>
          <w:sz w:val="23"/>
          <w:szCs w:val="23"/>
          <w:lang w:val="en-GB"/>
        </w:rPr>
        <w:t xml:space="preserve">yet </w:t>
      </w:r>
      <w:r w:rsidR="004A0EFC" w:rsidRPr="003E3613">
        <w:rPr>
          <w:rFonts w:ascii="Book Antiqua" w:hAnsi="Book Antiqua"/>
          <w:iCs/>
          <w:sz w:val="23"/>
          <w:szCs w:val="23"/>
          <w:lang w:val="en-GB"/>
        </w:rPr>
        <w:t xml:space="preserve">that </w:t>
      </w:r>
      <w:r w:rsidR="005216EF" w:rsidRPr="003E3613">
        <w:rPr>
          <w:rFonts w:ascii="Book Antiqua" w:hAnsi="Book Antiqua"/>
          <w:iCs/>
          <w:sz w:val="23"/>
          <w:szCs w:val="23"/>
          <w:lang w:val="en-GB"/>
        </w:rPr>
        <w:t xml:space="preserve">it would be </w:t>
      </w:r>
      <w:r w:rsidR="004A0EFC" w:rsidRPr="003E3613">
        <w:rPr>
          <w:rFonts w:ascii="Book Antiqua" w:hAnsi="Book Antiqua"/>
          <w:iCs/>
          <w:sz w:val="23"/>
          <w:szCs w:val="23"/>
          <w:lang w:val="en-GB"/>
        </w:rPr>
        <w:t>incompatible with EU or international law.</w:t>
      </w:r>
    </w:p>
    <w:p w14:paraId="7708A551" w14:textId="77777777" w:rsidR="00010AA7" w:rsidRPr="003E3613" w:rsidRDefault="00010AA7" w:rsidP="00204696">
      <w:pPr>
        <w:spacing w:after="0"/>
        <w:jc w:val="both"/>
        <w:rPr>
          <w:rFonts w:ascii="Book Antiqua" w:hAnsi="Book Antiqua"/>
          <w:iCs/>
          <w:sz w:val="23"/>
          <w:szCs w:val="23"/>
          <w:lang w:val="en-GB"/>
        </w:rPr>
      </w:pPr>
    </w:p>
    <w:p w14:paraId="21BB0BA4" w14:textId="77777777" w:rsidR="00150CA3" w:rsidRPr="003E3613" w:rsidRDefault="00CA1AC3"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We wish to point to the very nature of the crisis situation due to mass immigration as a special (interim) situation. The Government </w:t>
      </w:r>
      <w:r w:rsidR="001C0E44" w:rsidRPr="003E3613">
        <w:rPr>
          <w:rFonts w:ascii="Book Antiqua" w:hAnsi="Book Antiqua"/>
          <w:iCs/>
          <w:sz w:val="23"/>
          <w:szCs w:val="23"/>
          <w:lang w:val="en-GB"/>
        </w:rPr>
        <w:t>is</w:t>
      </w:r>
      <w:r w:rsidRPr="003E3613">
        <w:rPr>
          <w:rFonts w:ascii="Book Antiqua" w:hAnsi="Book Antiqua"/>
          <w:iCs/>
          <w:sz w:val="23"/>
          <w:szCs w:val="23"/>
          <w:lang w:val="en-GB"/>
        </w:rPr>
        <w:t xml:space="preserve"> authorised, by the Act on Asylum, to declare the crisis situation due to mass immigration </w:t>
      </w:r>
      <w:r w:rsidR="001770E2" w:rsidRPr="003E3613">
        <w:rPr>
          <w:rFonts w:ascii="Book Antiqua" w:hAnsi="Book Antiqua"/>
          <w:iCs/>
          <w:sz w:val="23"/>
          <w:szCs w:val="23"/>
          <w:lang w:val="en-GB"/>
        </w:rPr>
        <w:t xml:space="preserve">by </w:t>
      </w:r>
      <w:r w:rsidRPr="003E3613">
        <w:rPr>
          <w:rFonts w:ascii="Book Antiqua" w:hAnsi="Book Antiqua"/>
          <w:iCs/>
          <w:sz w:val="23"/>
          <w:szCs w:val="23"/>
          <w:lang w:val="en-GB"/>
        </w:rPr>
        <w:t xml:space="preserve">a government decree. During this crisis situation, and apart from the ordinary rules of asylum procedures, exceptional regulations apply. Pursuant to the effective Government Decree </w:t>
      </w:r>
      <w:r w:rsidR="00FD26FA" w:rsidRPr="003E3613">
        <w:rPr>
          <w:rFonts w:ascii="Book Antiqua" w:hAnsi="Book Antiqua"/>
          <w:iCs/>
          <w:sz w:val="23"/>
          <w:szCs w:val="23"/>
          <w:lang w:val="en-GB"/>
        </w:rPr>
        <w:t xml:space="preserve">No. </w:t>
      </w:r>
      <w:r w:rsidRPr="003E3613">
        <w:rPr>
          <w:rFonts w:ascii="Book Antiqua" w:hAnsi="Book Antiqua"/>
          <w:iCs/>
          <w:sz w:val="23"/>
          <w:szCs w:val="23"/>
          <w:lang w:val="en-GB"/>
        </w:rPr>
        <w:t>41/2016</w:t>
      </w:r>
      <w:r w:rsidR="00150CA3" w:rsidRPr="003E3613">
        <w:rPr>
          <w:rFonts w:ascii="Book Antiqua" w:hAnsi="Book Antiqua"/>
          <w:iCs/>
          <w:sz w:val="23"/>
          <w:szCs w:val="23"/>
          <w:lang w:val="en-GB"/>
        </w:rPr>
        <w:t xml:space="preserve"> (III. 9.) on declaring a state of crisis caused by mass migration to the entire territory of Hungary and on the rules in connection with the declaration, continuation and termination of the state of crisis</w:t>
      </w:r>
      <w:r w:rsidR="00B80325" w:rsidRPr="003E3613">
        <w:rPr>
          <w:rFonts w:ascii="Book Antiqua" w:hAnsi="Book Antiqua"/>
          <w:iCs/>
          <w:sz w:val="23"/>
          <w:szCs w:val="23"/>
          <w:lang w:val="en-GB"/>
        </w:rPr>
        <w:t>,</w:t>
      </w:r>
      <w:r w:rsidR="00150CA3" w:rsidRPr="003E3613">
        <w:rPr>
          <w:rFonts w:ascii="Book Antiqua" w:hAnsi="Book Antiqua"/>
          <w:iCs/>
          <w:sz w:val="23"/>
          <w:szCs w:val="23"/>
          <w:lang w:val="en-GB"/>
        </w:rPr>
        <w:t xml:space="preserve"> </w:t>
      </w:r>
      <w:r w:rsidRPr="003E3613">
        <w:rPr>
          <w:rFonts w:ascii="Book Antiqua" w:hAnsi="Book Antiqua"/>
          <w:iCs/>
          <w:sz w:val="23"/>
          <w:szCs w:val="23"/>
          <w:lang w:val="en-GB"/>
        </w:rPr>
        <w:t xml:space="preserve">the crisis situation lasts till 7 </w:t>
      </w:r>
      <w:r w:rsidR="00047955" w:rsidRPr="003E3613">
        <w:rPr>
          <w:rFonts w:ascii="Book Antiqua" w:hAnsi="Book Antiqua"/>
          <w:iCs/>
          <w:sz w:val="23"/>
          <w:szCs w:val="23"/>
          <w:lang w:val="en-GB"/>
        </w:rPr>
        <w:t xml:space="preserve">March </w:t>
      </w:r>
      <w:r w:rsidRPr="003E3613">
        <w:rPr>
          <w:rFonts w:ascii="Book Antiqua" w:hAnsi="Book Antiqua"/>
          <w:iCs/>
          <w:sz w:val="23"/>
          <w:szCs w:val="23"/>
          <w:lang w:val="en-GB"/>
        </w:rPr>
        <w:t>20</w:t>
      </w:r>
      <w:r w:rsidR="00047955" w:rsidRPr="003E3613">
        <w:rPr>
          <w:rFonts w:ascii="Book Antiqua" w:hAnsi="Book Antiqua"/>
          <w:iCs/>
          <w:sz w:val="23"/>
          <w:szCs w:val="23"/>
          <w:lang w:val="en-GB"/>
        </w:rPr>
        <w:t>20</w:t>
      </w:r>
      <w:r w:rsidRPr="003E3613">
        <w:rPr>
          <w:rFonts w:ascii="Book Antiqua" w:hAnsi="Book Antiqua"/>
          <w:iCs/>
          <w:sz w:val="23"/>
          <w:szCs w:val="23"/>
          <w:lang w:val="en-GB"/>
        </w:rPr>
        <w:t>, unless it will be extended depending on the then relevant immigration situation.</w:t>
      </w:r>
    </w:p>
    <w:p w14:paraId="1FBA45C2" w14:textId="77777777" w:rsidR="00CA1AC3" w:rsidRPr="003E3613" w:rsidRDefault="00CA1AC3" w:rsidP="00204696">
      <w:pPr>
        <w:spacing w:after="0"/>
        <w:jc w:val="both"/>
        <w:rPr>
          <w:rFonts w:ascii="Book Antiqua" w:hAnsi="Book Antiqua"/>
          <w:iCs/>
          <w:sz w:val="23"/>
          <w:szCs w:val="23"/>
          <w:lang w:val="en-GB"/>
        </w:rPr>
      </w:pPr>
    </w:p>
    <w:p w14:paraId="4812D946" w14:textId="77777777" w:rsidR="00F563B5" w:rsidRPr="003E3613" w:rsidRDefault="00CA1AC3"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As </w:t>
      </w:r>
      <w:r w:rsidR="000E08CB" w:rsidRPr="003E3613">
        <w:rPr>
          <w:rFonts w:ascii="Book Antiqua" w:hAnsi="Book Antiqua"/>
          <w:iCs/>
          <w:sz w:val="23"/>
          <w:szCs w:val="23"/>
          <w:lang w:val="en-GB"/>
        </w:rPr>
        <w:t>far as the</w:t>
      </w:r>
      <w:r w:rsidRPr="003E3613">
        <w:rPr>
          <w:rFonts w:ascii="Book Antiqua" w:hAnsi="Book Antiqua"/>
          <w:iCs/>
          <w:sz w:val="23"/>
          <w:szCs w:val="23"/>
          <w:lang w:val="en-GB"/>
        </w:rPr>
        <w:t xml:space="preserve"> fast-track procedure</w:t>
      </w:r>
      <w:r w:rsidR="00150CA3" w:rsidRPr="003E3613">
        <w:rPr>
          <w:rFonts w:ascii="Book Antiqua" w:hAnsi="Book Antiqua"/>
          <w:iCs/>
          <w:sz w:val="23"/>
          <w:szCs w:val="23"/>
          <w:lang w:val="en-GB"/>
        </w:rPr>
        <w:t xml:space="preserve"> is concerned</w:t>
      </w:r>
      <w:r w:rsidRPr="003E3613">
        <w:rPr>
          <w:rFonts w:ascii="Book Antiqua" w:hAnsi="Book Antiqua"/>
          <w:iCs/>
          <w:sz w:val="23"/>
          <w:szCs w:val="23"/>
          <w:lang w:val="en-GB"/>
        </w:rPr>
        <w:t>, the EU law (Asylum Procedure Directive) empowers Member States to conduct examination procedures</w:t>
      </w:r>
      <w:r w:rsidR="00150CA3" w:rsidRPr="003E3613">
        <w:rPr>
          <w:rFonts w:ascii="Book Antiqua" w:hAnsi="Book Antiqua" w:cs="Times New Roman"/>
          <w:sz w:val="23"/>
          <w:szCs w:val="23"/>
          <w:lang w:val="en-GB"/>
        </w:rPr>
        <w:t>,</w:t>
      </w:r>
      <w:r w:rsidRPr="003E3613">
        <w:rPr>
          <w:rFonts w:ascii="Book Antiqua" w:hAnsi="Book Antiqua"/>
          <w:iCs/>
          <w:sz w:val="23"/>
          <w:szCs w:val="23"/>
          <w:lang w:val="en-GB"/>
        </w:rPr>
        <w:t xml:space="preserve"> in accordance with the basic principles and guarantees, in an accelerated way. We wish to emphasize, though, that each application for international protection is examined thoroughly and on individual basis, even in the course of accelerated procedures.</w:t>
      </w:r>
      <w:r w:rsidR="00F563B5" w:rsidRPr="003E3613">
        <w:rPr>
          <w:rFonts w:ascii="Book Antiqua" w:hAnsi="Book Antiqua"/>
          <w:iCs/>
          <w:sz w:val="23"/>
          <w:szCs w:val="23"/>
          <w:lang w:val="en-GB"/>
        </w:rPr>
        <w:t xml:space="preserve"> Throughout the accelerated procedure, the asy</w:t>
      </w:r>
      <w:r w:rsidR="000C580E" w:rsidRPr="003E3613">
        <w:rPr>
          <w:rFonts w:ascii="Book Antiqua" w:hAnsi="Book Antiqua"/>
          <w:iCs/>
          <w:sz w:val="23"/>
          <w:szCs w:val="23"/>
          <w:lang w:val="en-GB"/>
        </w:rPr>
        <w:t>l</w:t>
      </w:r>
      <w:r w:rsidR="00F563B5" w:rsidRPr="003E3613">
        <w:rPr>
          <w:rFonts w:ascii="Book Antiqua" w:hAnsi="Book Antiqua"/>
          <w:iCs/>
          <w:sz w:val="23"/>
          <w:szCs w:val="23"/>
          <w:lang w:val="en-GB"/>
        </w:rPr>
        <w:t xml:space="preserve">um </w:t>
      </w:r>
      <w:r w:rsidR="00F563B5" w:rsidRPr="003E3613">
        <w:rPr>
          <w:rFonts w:ascii="Book Antiqua" w:hAnsi="Book Antiqua"/>
          <w:iCs/>
          <w:sz w:val="23"/>
          <w:szCs w:val="23"/>
          <w:lang w:val="en-GB"/>
        </w:rPr>
        <w:lastRenderedPageBreak/>
        <w:t>authorities examine the merits of applications and the application of the procedure is determined in accordance with Paragraph 8 of Article 31 of the Asylum Procedures Directive.</w:t>
      </w:r>
    </w:p>
    <w:p w14:paraId="16263C4E" w14:textId="77777777" w:rsidR="00CA1AC3" w:rsidRPr="003E3613" w:rsidRDefault="00CA1AC3" w:rsidP="00204696">
      <w:pPr>
        <w:spacing w:after="0"/>
        <w:jc w:val="both"/>
        <w:rPr>
          <w:rFonts w:ascii="Book Antiqua" w:hAnsi="Book Antiqua"/>
          <w:iCs/>
          <w:sz w:val="23"/>
          <w:szCs w:val="23"/>
          <w:lang w:val="en-GB"/>
        </w:rPr>
      </w:pPr>
    </w:p>
    <w:p w14:paraId="53E44910" w14:textId="77777777" w:rsidR="004C2788" w:rsidRPr="003E3613" w:rsidRDefault="00CA1AC3"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As </w:t>
      </w:r>
      <w:r w:rsidR="000E08CB" w:rsidRPr="003E3613">
        <w:rPr>
          <w:rFonts w:ascii="Book Antiqua" w:hAnsi="Book Antiqua"/>
          <w:iCs/>
          <w:sz w:val="23"/>
          <w:szCs w:val="23"/>
          <w:lang w:val="en-GB"/>
        </w:rPr>
        <w:t xml:space="preserve">for </w:t>
      </w:r>
      <w:r w:rsidRPr="003E3613">
        <w:rPr>
          <w:rFonts w:ascii="Book Antiqua" w:hAnsi="Book Antiqua"/>
          <w:iCs/>
          <w:sz w:val="23"/>
          <w:szCs w:val="23"/>
          <w:lang w:val="en-GB"/>
        </w:rPr>
        <w:t>the alleged ill-treatment of asylum seekers by Hungarian border authorities we firmly deny this presumption.</w:t>
      </w:r>
      <w:r w:rsidR="006E099F" w:rsidRPr="003E3613">
        <w:rPr>
          <w:rFonts w:ascii="Book Antiqua" w:hAnsi="Book Antiqua"/>
          <w:iCs/>
          <w:sz w:val="23"/>
          <w:szCs w:val="23"/>
          <w:lang w:val="en-GB"/>
        </w:rPr>
        <w:t xml:space="preserve"> </w:t>
      </w:r>
      <w:r w:rsidR="00150CA3" w:rsidRPr="003E3613">
        <w:rPr>
          <w:rFonts w:ascii="Book Antiqua" w:hAnsi="Book Antiqua"/>
          <w:iCs/>
          <w:sz w:val="23"/>
          <w:szCs w:val="23"/>
          <w:lang w:val="en-GB"/>
        </w:rPr>
        <w:t xml:space="preserve">The right to act, the obligations and the regime of border police officers to fulfil the duties in service are meticulously specified in the Act XXXIV of 1994 on the Police (hereinafter: Rtv). According to this law, police officers must not recourse to torture, inhuman or degrading treatment and shall always act with due respect for human dignity. During carrying out their measures, proportionality and the graduated approach </w:t>
      </w:r>
      <w:r w:rsidR="00CE41F1" w:rsidRPr="003E3613">
        <w:rPr>
          <w:rFonts w:ascii="Book Antiqua" w:hAnsi="Book Antiqua"/>
          <w:iCs/>
          <w:sz w:val="23"/>
          <w:szCs w:val="23"/>
          <w:lang w:val="en-GB"/>
        </w:rPr>
        <w:t xml:space="preserve">are </w:t>
      </w:r>
      <w:r w:rsidR="00150CA3" w:rsidRPr="003E3613">
        <w:rPr>
          <w:rFonts w:ascii="Book Antiqua" w:hAnsi="Book Antiqua"/>
          <w:iCs/>
          <w:sz w:val="23"/>
          <w:szCs w:val="23"/>
          <w:lang w:val="en-GB"/>
        </w:rPr>
        <w:t>always applied. Reports on alleged ill-treatments are mostly based on subjective resources stemming from illegal</w:t>
      </w:r>
      <w:r w:rsidR="00CE41F1" w:rsidRPr="003E3613">
        <w:rPr>
          <w:rFonts w:ascii="Book Antiqua" w:hAnsi="Book Antiqua"/>
          <w:iCs/>
          <w:sz w:val="23"/>
          <w:szCs w:val="23"/>
          <w:lang w:val="en-GB"/>
        </w:rPr>
        <w:t>ly staying</w:t>
      </w:r>
      <w:r w:rsidR="00150CA3" w:rsidRPr="003E3613">
        <w:rPr>
          <w:rFonts w:ascii="Book Antiqua" w:hAnsi="Book Antiqua"/>
          <w:iCs/>
          <w:sz w:val="23"/>
          <w:szCs w:val="23"/>
          <w:lang w:val="en-GB"/>
        </w:rPr>
        <w:t xml:space="preserve"> migrants and NGOs assisting them. The one-sided nature of these sources give</w:t>
      </w:r>
      <w:r w:rsidR="000C580E" w:rsidRPr="003E3613">
        <w:rPr>
          <w:rFonts w:ascii="Book Antiqua" w:hAnsi="Book Antiqua"/>
          <w:iCs/>
          <w:sz w:val="23"/>
          <w:szCs w:val="23"/>
          <w:lang w:val="en-GB"/>
        </w:rPr>
        <w:t>s</w:t>
      </w:r>
      <w:r w:rsidR="00150CA3" w:rsidRPr="003E3613">
        <w:rPr>
          <w:rFonts w:ascii="Book Antiqua" w:hAnsi="Book Antiqua"/>
          <w:iCs/>
          <w:sz w:val="23"/>
          <w:szCs w:val="23"/>
          <w:lang w:val="en-GB"/>
        </w:rPr>
        <w:t xml:space="preserve"> rise to doubts concerning their factual credibility and reliability. In addition, no court cases have been reported so far where Hungarian border police officers have been indicted on charges of abusing asylum seekers affirming the position of the Hungarian Government that these accusations are completely un</w:t>
      </w:r>
      <w:r w:rsidR="002C3A6F" w:rsidRPr="003E3613">
        <w:rPr>
          <w:rFonts w:ascii="Book Antiqua" w:hAnsi="Book Antiqua"/>
          <w:iCs/>
          <w:sz w:val="23"/>
          <w:szCs w:val="23"/>
          <w:lang w:val="en-GB"/>
        </w:rPr>
        <w:t>f</w:t>
      </w:r>
      <w:r w:rsidR="00150CA3" w:rsidRPr="003E3613">
        <w:rPr>
          <w:rFonts w:ascii="Book Antiqua" w:hAnsi="Book Antiqua"/>
          <w:iCs/>
          <w:sz w:val="23"/>
          <w:szCs w:val="23"/>
          <w:lang w:val="en-GB"/>
        </w:rPr>
        <w:t>ounded.</w:t>
      </w:r>
      <w:r w:rsidR="004A0EFC" w:rsidRPr="003E3613">
        <w:rPr>
          <w:rFonts w:ascii="Book Antiqua" w:hAnsi="Book Antiqua"/>
          <w:iCs/>
          <w:sz w:val="23"/>
          <w:szCs w:val="23"/>
          <w:lang w:val="en-GB"/>
        </w:rPr>
        <w:t xml:space="preserve"> </w:t>
      </w:r>
      <w:r w:rsidR="004C2788" w:rsidRPr="003E3613">
        <w:rPr>
          <w:rFonts w:ascii="Book Antiqua" w:hAnsi="Book Antiqua"/>
          <w:iCs/>
          <w:sz w:val="23"/>
          <w:szCs w:val="23"/>
          <w:lang w:val="en-GB"/>
        </w:rPr>
        <w:t xml:space="preserve">Unfortunately, foreigners in </w:t>
      </w:r>
      <w:r w:rsidR="008C6324" w:rsidRPr="003E3613">
        <w:rPr>
          <w:rFonts w:ascii="Book Antiqua" w:hAnsi="Book Antiqua"/>
          <w:iCs/>
          <w:sz w:val="23"/>
          <w:szCs w:val="23"/>
          <w:lang w:val="en-GB"/>
        </w:rPr>
        <w:t>the transit zone</w:t>
      </w:r>
      <w:r w:rsidR="004C2788" w:rsidRPr="003E3613">
        <w:rPr>
          <w:rFonts w:ascii="Book Antiqua" w:hAnsi="Book Antiqua"/>
          <w:iCs/>
          <w:sz w:val="23"/>
          <w:szCs w:val="23"/>
          <w:lang w:val="en-GB"/>
        </w:rPr>
        <w:t xml:space="preserve"> typically regard the use of coercive measures as abuse.</w:t>
      </w:r>
      <w:r w:rsidR="006630B4" w:rsidRPr="003E3613">
        <w:rPr>
          <w:rFonts w:ascii="Book Antiqua" w:hAnsi="Book Antiqua"/>
          <w:iCs/>
          <w:sz w:val="23"/>
          <w:szCs w:val="23"/>
          <w:lang w:val="en-GB"/>
        </w:rPr>
        <w:t xml:space="preserve"> E</w:t>
      </w:r>
      <w:r w:rsidR="004C2788" w:rsidRPr="003E3613">
        <w:rPr>
          <w:rFonts w:ascii="Book Antiqua" w:hAnsi="Book Antiqua"/>
          <w:iCs/>
          <w:sz w:val="23"/>
          <w:szCs w:val="23"/>
          <w:lang w:val="en-GB"/>
        </w:rPr>
        <w:t xml:space="preserve">xisting camera recordings show that the use of police measures and coercive measures are lawful, professional and justified; nevertheless, they are perceived as being abuse by the police. </w:t>
      </w:r>
      <w:r w:rsidR="004A0EFC" w:rsidRPr="003E3613">
        <w:rPr>
          <w:rFonts w:ascii="Book Antiqua" w:hAnsi="Book Antiqua"/>
          <w:iCs/>
          <w:sz w:val="23"/>
          <w:szCs w:val="23"/>
          <w:lang w:val="en-GB"/>
        </w:rPr>
        <w:t xml:space="preserve">It should be pointed out that allegations of abuses committed by the police force serving at the Serbian-Hungarian state border are always transmitted to the competent prosecuting authorities to investigate them, ensuring that they are properly investigated independently of the Police. </w:t>
      </w:r>
      <w:r w:rsidR="000F458C" w:rsidRPr="003E3613">
        <w:rPr>
          <w:rFonts w:ascii="Book Antiqua" w:hAnsi="Book Antiqua"/>
          <w:iCs/>
          <w:sz w:val="23"/>
          <w:szCs w:val="23"/>
          <w:lang w:val="en-GB"/>
        </w:rPr>
        <w:t>T</w:t>
      </w:r>
      <w:r w:rsidR="004A0EFC" w:rsidRPr="003E3613">
        <w:rPr>
          <w:rFonts w:ascii="Book Antiqua" w:hAnsi="Book Antiqua"/>
          <w:iCs/>
          <w:sz w:val="23"/>
          <w:szCs w:val="23"/>
          <w:lang w:val="en-GB"/>
        </w:rPr>
        <w:t xml:space="preserve">hose claiming police offenses do not </w:t>
      </w:r>
      <w:r w:rsidR="000F458C" w:rsidRPr="003E3613">
        <w:rPr>
          <w:rFonts w:ascii="Book Antiqua" w:hAnsi="Book Antiqua"/>
          <w:iCs/>
          <w:sz w:val="23"/>
          <w:szCs w:val="23"/>
          <w:lang w:val="en-GB"/>
        </w:rPr>
        <w:t xml:space="preserve">necessarily </w:t>
      </w:r>
      <w:r w:rsidR="004A0EFC" w:rsidRPr="003E3613">
        <w:rPr>
          <w:rFonts w:ascii="Book Antiqua" w:hAnsi="Book Antiqua"/>
          <w:iCs/>
          <w:sz w:val="23"/>
          <w:szCs w:val="23"/>
          <w:lang w:val="en-GB"/>
        </w:rPr>
        <w:t>exercise their right to lodge an official complaint, do not state exactly where and when they were subjected to the measures and the possible use of the coercive measures.</w:t>
      </w:r>
      <w:r w:rsidR="004C2788" w:rsidRPr="003E3613">
        <w:rPr>
          <w:rFonts w:ascii="Book Antiqua" w:hAnsi="Book Antiqua"/>
          <w:iCs/>
          <w:sz w:val="23"/>
          <w:szCs w:val="23"/>
          <w:lang w:val="en-GB"/>
        </w:rPr>
        <w:t xml:space="preserve"> </w:t>
      </w:r>
    </w:p>
    <w:p w14:paraId="77D3C4A6" w14:textId="77777777" w:rsidR="00B36CEF" w:rsidRPr="003E3613" w:rsidRDefault="00B36CEF" w:rsidP="00204696">
      <w:pPr>
        <w:spacing w:after="0"/>
        <w:jc w:val="both"/>
        <w:rPr>
          <w:rFonts w:ascii="Book Antiqua" w:hAnsi="Book Antiqua"/>
          <w:iCs/>
          <w:sz w:val="23"/>
          <w:szCs w:val="23"/>
          <w:lang w:val="en-GB"/>
        </w:rPr>
      </w:pPr>
    </w:p>
    <w:p w14:paraId="122C0C58" w14:textId="06DDE076" w:rsidR="00B36CEF" w:rsidRPr="003E3613" w:rsidRDefault="00B36CEF"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Asylum seekers are provided </w:t>
      </w:r>
      <w:r w:rsidR="002E3FB4" w:rsidRPr="003E3613">
        <w:rPr>
          <w:rFonts w:ascii="Book Antiqua" w:hAnsi="Book Antiqua"/>
          <w:iCs/>
          <w:sz w:val="23"/>
          <w:szCs w:val="23"/>
          <w:lang w:val="en-GB"/>
        </w:rPr>
        <w:t xml:space="preserve">– upon their request – </w:t>
      </w:r>
      <w:r w:rsidRPr="003E3613">
        <w:rPr>
          <w:rFonts w:ascii="Book Antiqua" w:hAnsi="Book Antiqua"/>
          <w:iCs/>
          <w:sz w:val="23"/>
          <w:szCs w:val="23"/>
          <w:lang w:val="en-GB"/>
        </w:rPr>
        <w:t xml:space="preserve">with state-guaranteed legal </w:t>
      </w:r>
      <w:r w:rsidR="007842EE" w:rsidRPr="003E3613">
        <w:rPr>
          <w:rFonts w:ascii="Book Antiqua" w:hAnsi="Book Antiqua"/>
          <w:iCs/>
          <w:sz w:val="23"/>
          <w:szCs w:val="23"/>
          <w:lang w:val="en-GB"/>
        </w:rPr>
        <w:t xml:space="preserve">assistance and legal </w:t>
      </w:r>
      <w:r w:rsidRPr="003E3613">
        <w:rPr>
          <w:rFonts w:ascii="Book Antiqua" w:hAnsi="Book Antiqua"/>
          <w:iCs/>
          <w:sz w:val="23"/>
          <w:szCs w:val="23"/>
          <w:lang w:val="en-GB"/>
        </w:rPr>
        <w:t>representation</w:t>
      </w:r>
      <w:r w:rsidR="00F517B9" w:rsidRPr="003E3613">
        <w:rPr>
          <w:rFonts w:ascii="Book Antiqua" w:hAnsi="Book Antiqua"/>
          <w:iCs/>
          <w:sz w:val="23"/>
          <w:szCs w:val="23"/>
          <w:lang w:val="en-GB"/>
        </w:rPr>
        <w:t xml:space="preserve"> free of charge</w:t>
      </w:r>
      <w:r w:rsidRPr="003E3613">
        <w:rPr>
          <w:rFonts w:ascii="Book Antiqua" w:hAnsi="Book Antiqua"/>
          <w:iCs/>
          <w:sz w:val="23"/>
          <w:szCs w:val="23"/>
          <w:lang w:val="en-GB"/>
        </w:rPr>
        <w:t>. It is worth pointing out that according to the numbers of the</w:t>
      </w:r>
      <w:r w:rsidR="006D43A7" w:rsidRPr="003E3613">
        <w:rPr>
          <w:rFonts w:ascii="Book Antiqua" w:hAnsi="Book Antiqua"/>
          <w:iCs/>
          <w:sz w:val="23"/>
          <w:szCs w:val="23"/>
          <w:lang w:val="en-GB"/>
        </w:rPr>
        <w:t xml:space="preserve"> National Directorate-General for Aliens Policing</w:t>
      </w:r>
      <w:r w:rsidRPr="003E3613">
        <w:rPr>
          <w:rFonts w:ascii="Book Antiqua" w:hAnsi="Book Antiqua"/>
          <w:iCs/>
          <w:sz w:val="23"/>
          <w:szCs w:val="23"/>
          <w:lang w:val="en-GB"/>
        </w:rPr>
        <w:t xml:space="preserve">, nearly 95% of all applicants have asked the Hungarian Helsinki Committee for representation. Also, Red Cross, Charity Service of the Order of Malta, of the Reformed Church, of the Baptist Church, the International </w:t>
      </w:r>
      <w:r w:rsidR="00BD0A8B" w:rsidRPr="003E3613">
        <w:rPr>
          <w:rFonts w:ascii="Book Antiqua" w:hAnsi="Book Antiqua"/>
          <w:iCs/>
          <w:sz w:val="23"/>
          <w:szCs w:val="23"/>
          <w:lang w:val="en-GB"/>
        </w:rPr>
        <w:t>Organisation</w:t>
      </w:r>
      <w:r w:rsidRPr="003E3613">
        <w:rPr>
          <w:rFonts w:ascii="Book Antiqua" w:hAnsi="Book Antiqua"/>
          <w:iCs/>
          <w:sz w:val="23"/>
          <w:szCs w:val="23"/>
          <w:lang w:val="en-GB"/>
        </w:rPr>
        <w:t xml:space="preserve"> for Migration, Menedék Association (Aid for Migrants) and the UNHCR have carried out humanitarian activity in the transit zones.</w:t>
      </w:r>
    </w:p>
    <w:p w14:paraId="3EE23F25" w14:textId="77777777" w:rsidR="00416D29" w:rsidRPr="003E3613" w:rsidRDefault="00416D29" w:rsidP="00204696">
      <w:pPr>
        <w:spacing w:after="0"/>
        <w:jc w:val="both"/>
        <w:rPr>
          <w:rFonts w:ascii="Book Antiqua" w:hAnsi="Book Antiqua"/>
          <w:iCs/>
          <w:sz w:val="23"/>
          <w:szCs w:val="23"/>
          <w:lang w:val="en-GB"/>
        </w:rPr>
      </w:pPr>
    </w:p>
    <w:p w14:paraId="089D4A9B" w14:textId="77777777" w:rsidR="0036045A" w:rsidRPr="003E3613" w:rsidRDefault="0036045A" w:rsidP="00204696">
      <w:pPr>
        <w:spacing w:after="0"/>
        <w:jc w:val="both"/>
        <w:rPr>
          <w:rFonts w:ascii="Book Antiqua" w:hAnsi="Book Antiqua"/>
          <w:i/>
          <w:sz w:val="23"/>
          <w:szCs w:val="23"/>
          <w:lang w:val="en-GB"/>
        </w:rPr>
      </w:pPr>
      <w:r w:rsidRPr="003E3613">
        <w:rPr>
          <w:rFonts w:ascii="Book Antiqua" w:hAnsi="Book Antiqua"/>
          <w:i/>
          <w:sz w:val="23"/>
          <w:szCs w:val="23"/>
          <w:lang w:val="en-GB"/>
        </w:rPr>
        <w:t>(6</w:t>
      </w:r>
      <w:r w:rsidR="005B5087" w:rsidRPr="003E3613">
        <w:rPr>
          <w:rFonts w:ascii="Book Antiqua" w:hAnsi="Book Antiqua"/>
          <w:i/>
          <w:sz w:val="23"/>
          <w:szCs w:val="23"/>
          <w:lang w:val="en-GB"/>
        </w:rPr>
        <w:t>3</w:t>
      </w:r>
      <w:r w:rsidRPr="003E3613">
        <w:rPr>
          <w:rFonts w:ascii="Book Antiqua" w:hAnsi="Book Antiqua"/>
          <w:i/>
          <w:sz w:val="23"/>
          <w:szCs w:val="23"/>
          <w:lang w:val="en-GB"/>
        </w:rPr>
        <w:t xml:space="preserve">) The Fundamental Rights Officer of the European Border and Coast Guard Agency visited Hungary in October 2016 and March 2017, owing to the Officer’s concern that the Agency might be operating under conditions which do not commit to the respect, protection and fulfilment of the rights of persons crossing the Hungarian-Serbian border, that may put the Agency in situations that de facto violate the Charter of Fundamental Rights of the European Union. The Fundamental Rights Officer concluded in March 2017 that the risk of shared responsibility of the Agency in the violation of fundamental rights in accordance with Article 34 of the European Border and Coast Guard Regulation remains very high. </w:t>
      </w:r>
    </w:p>
    <w:p w14:paraId="1543DFD2" w14:textId="77777777" w:rsidR="008104F6" w:rsidRPr="003E3613" w:rsidRDefault="008104F6" w:rsidP="00204696">
      <w:pPr>
        <w:spacing w:after="0"/>
        <w:jc w:val="both"/>
        <w:rPr>
          <w:rFonts w:ascii="Book Antiqua" w:hAnsi="Book Antiqua"/>
          <w:iCs/>
          <w:sz w:val="23"/>
          <w:szCs w:val="23"/>
          <w:lang w:val="en-GB"/>
        </w:rPr>
      </w:pPr>
    </w:p>
    <w:p w14:paraId="67EE4803" w14:textId="77777777" w:rsidR="0036045A" w:rsidRPr="003E3613" w:rsidRDefault="0036045A" w:rsidP="00204696">
      <w:pPr>
        <w:spacing w:after="0"/>
        <w:jc w:val="both"/>
        <w:rPr>
          <w:rFonts w:ascii="Book Antiqua" w:hAnsi="Book Antiqua"/>
          <w:iCs/>
          <w:sz w:val="23"/>
          <w:szCs w:val="23"/>
          <w:lang w:val="en-GB"/>
        </w:rPr>
      </w:pPr>
      <w:r w:rsidRPr="003E3613">
        <w:rPr>
          <w:rFonts w:ascii="Book Antiqua" w:hAnsi="Book Antiqua"/>
          <w:iCs/>
          <w:sz w:val="23"/>
          <w:szCs w:val="23"/>
          <w:lang w:val="en-GB"/>
        </w:rPr>
        <w:lastRenderedPageBreak/>
        <w:t xml:space="preserve">The facts collected by the Report </w:t>
      </w:r>
      <w:r w:rsidR="009C699A" w:rsidRPr="003E3613">
        <w:rPr>
          <w:rFonts w:ascii="Book Antiqua" w:hAnsi="Book Antiqua"/>
          <w:iCs/>
          <w:sz w:val="23"/>
          <w:szCs w:val="23"/>
          <w:lang w:val="en-GB"/>
        </w:rPr>
        <w:t xml:space="preserve">of the Fundamental Rights Officer </w:t>
      </w:r>
      <w:r w:rsidRPr="003E3613">
        <w:rPr>
          <w:rFonts w:ascii="Book Antiqua" w:hAnsi="Book Antiqua"/>
          <w:iCs/>
          <w:sz w:val="23"/>
          <w:szCs w:val="23"/>
          <w:lang w:val="en-GB"/>
        </w:rPr>
        <w:t xml:space="preserve">showed that only three atrocities were reported in 2016 and none of them involved members of the European Border and Coast Guard Agency (Frontex). Regarding the Report, we note that its content was not approved by the Executive Director of Frontex, who did not agree with a significant part of the Report </w:t>
      </w:r>
      <w:r w:rsidR="009C699A" w:rsidRPr="003E3613">
        <w:rPr>
          <w:rFonts w:ascii="Book Antiqua" w:hAnsi="Book Antiqua"/>
          <w:iCs/>
          <w:sz w:val="23"/>
          <w:szCs w:val="23"/>
          <w:lang w:val="en-GB"/>
        </w:rPr>
        <w:t xml:space="preserve">of the Fundamental Rights Officer </w:t>
      </w:r>
      <w:r w:rsidRPr="003E3613">
        <w:rPr>
          <w:rFonts w:ascii="Book Antiqua" w:hAnsi="Book Antiqua"/>
          <w:iCs/>
          <w:sz w:val="23"/>
          <w:szCs w:val="23"/>
          <w:lang w:val="en-GB"/>
        </w:rPr>
        <w:t>and emphasized that its allegations are not proven and also cannot be connected to Frontex. Moreover, at the 62</w:t>
      </w:r>
      <w:r w:rsidRPr="003E3613">
        <w:rPr>
          <w:rFonts w:ascii="Book Antiqua" w:hAnsi="Book Antiqua"/>
          <w:iCs/>
          <w:sz w:val="23"/>
          <w:szCs w:val="23"/>
          <w:vertAlign w:val="superscript"/>
          <w:lang w:val="en-GB"/>
        </w:rPr>
        <w:t>nd</w:t>
      </w:r>
      <w:r w:rsidRPr="003E3613">
        <w:rPr>
          <w:rFonts w:ascii="Book Antiqua" w:hAnsi="Book Antiqua"/>
          <w:iCs/>
          <w:sz w:val="23"/>
          <w:szCs w:val="23"/>
          <w:lang w:val="en-GB"/>
        </w:rPr>
        <w:t xml:space="preserve"> Frontex Management Board Meeting the representatives of many countries </w:t>
      </w:r>
      <w:r w:rsidR="00CD09CE" w:rsidRPr="003E3613">
        <w:rPr>
          <w:rFonts w:ascii="Book Antiqua" w:hAnsi="Book Antiqua"/>
          <w:iCs/>
          <w:sz w:val="23"/>
          <w:szCs w:val="23"/>
          <w:lang w:val="en-GB"/>
        </w:rPr>
        <w:t xml:space="preserve">agreed </w:t>
      </w:r>
      <w:r w:rsidRPr="003E3613">
        <w:rPr>
          <w:rFonts w:ascii="Book Antiqua" w:hAnsi="Book Antiqua"/>
          <w:iCs/>
          <w:sz w:val="23"/>
          <w:szCs w:val="23"/>
          <w:lang w:val="en-GB"/>
        </w:rPr>
        <w:t xml:space="preserve">with Hungary. In the framework of the Frontex Joint Operations in Hungary, </w:t>
      </w:r>
      <w:r w:rsidR="00F563B5" w:rsidRPr="003E3613">
        <w:rPr>
          <w:rFonts w:ascii="Book Antiqua" w:hAnsi="Book Antiqua"/>
          <w:iCs/>
          <w:sz w:val="23"/>
          <w:szCs w:val="23"/>
          <w:lang w:val="en-GB"/>
        </w:rPr>
        <w:t xml:space="preserve">348 </w:t>
      </w:r>
      <w:r w:rsidRPr="003E3613">
        <w:rPr>
          <w:rFonts w:ascii="Book Antiqua" w:hAnsi="Book Antiqua"/>
          <w:iCs/>
          <w:sz w:val="23"/>
          <w:szCs w:val="23"/>
          <w:lang w:val="en-GB"/>
        </w:rPr>
        <w:t xml:space="preserve">guest officers in 2016, </w:t>
      </w:r>
      <w:r w:rsidR="00F563B5" w:rsidRPr="003E3613">
        <w:rPr>
          <w:rFonts w:ascii="Book Antiqua" w:hAnsi="Book Antiqua"/>
          <w:iCs/>
          <w:sz w:val="23"/>
          <w:szCs w:val="23"/>
          <w:lang w:val="en-GB"/>
        </w:rPr>
        <w:t xml:space="preserve">307 </w:t>
      </w:r>
      <w:r w:rsidRPr="003E3613">
        <w:rPr>
          <w:rFonts w:ascii="Book Antiqua" w:hAnsi="Book Antiqua"/>
          <w:iCs/>
          <w:sz w:val="23"/>
          <w:szCs w:val="23"/>
          <w:lang w:val="en-GB"/>
        </w:rPr>
        <w:t>in 2017 and</w:t>
      </w:r>
      <w:r w:rsidR="00CE31F9" w:rsidRPr="003E3613">
        <w:rPr>
          <w:rFonts w:ascii="Book Antiqua" w:hAnsi="Book Antiqua"/>
          <w:iCs/>
          <w:sz w:val="23"/>
          <w:szCs w:val="23"/>
          <w:lang w:val="en-GB"/>
        </w:rPr>
        <w:t xml:space="preserve"> </w:t>
      </w:r>
      <w:r w:rsidR="00F563B5" w:rsidRPr="003E3613">
        <w:rPr>
          <w:rFonts w:ascii="Book Antiqua" w:hAnsi="Book Antiqua"/>
          <w:iCs/>
          <w:sz w:val="23"/>
          <w:szCs w:val="23"/>
          <w:lang w:val="en-GB"/>
        </w:rPr>
        <w:t>181</w:t>
      </w:r>
      <w:r w:rsidR="00CE31F9" w:rsidRPr="003E3613">
        <w:rPr>
          <w:rFonts w:ascii="Book Antiqua" w:hAnsi="Book Antiqua"/>
          <w:iCs/>
          <w:sz w:val="23"/>
          <w:szCs w:val="23"/>
          <w:lang w:val="en-GB"/>
        </w:rPr>
        <w:t xml:space="preserve"> in 2018 (till </w:t>
      </w:r>
      <w:r w:rsidR="00F563B5" w:rsidRPr="003E3613">
        <w:rPr>
          <w:rFonts w:ascii="Book Antiqua" w:hAnsi="Book Antiqua"/>
          <w:iCs/>
          <w:sz w:val="23"/>
          <w:szCs w:val="23"/>
          <w:lang w:val="en-GB"/>
        </w:rPr>
        <w:t>26</w:t>
      </w:r>
      <w:r w:rsidR="00CE31F9" w:rsidRPr="003E3613">
        <w:rPr>
          <w:rFonts w:ascii="Book Antiqua" w:hAnsi="Book Antiqua"/>
          <w:iCs/>
          <w:sz w:val="23"/>
          <w:szCs w:val="23"/>
          <w:lang w:val="en-GB"/>
        </w:rPr>
        <w:t xml:space="preserve"> October) </w:t>
      </w:r>
      <w:r w:rsidRPr="003E3613">
        <w:rPr>
          <w:rFonts w:ascii="Book Antiqua" w:hAnsi="Book Antiqua"/>
          <w:iCs/>
          <w:sz w:val="23"/>
          <w:szCs w:val="23"/>
          <w:lang w:val="en-GB"/>
        </w:rPr>
        <w:t>were deployed at the Hungarian borders from the following Member States: Denmark, Spain, Lithuania, the Czech Republic, Austria, Slovenia, Italy, the Netherlands, Romania, Germany, Finland, Bulgaria, Latvia, France, Slovakia, Sweden, Estonia, Poland and Portugal. Moreover, professionals from Moldova, Ukraine, Serbia, Belarus, Georgia, Albania, Kosovo and Macedonia were also present as observers during these operations. None of these guest officers reported cases of allegations like the ones Hungary was accused of.</w:t>
      </w:r>
    </w:p>
    <w:p w14:paraId="3B4D9B4B" w14:textId="77777777" w:rsidR="00CA1AC3" w:rsidRPr="003E3613" w:rsidRDefault="00CA1AC3" w:rsidP="00204696">
      <w:pPr>
        <w:spacing w:after="0"/>
        <w:jc w:val="both"/>
        <w:rPr>
          <w:rFonts w:ascii="Book Antiqua" w:hAnsi="Book Antiqua"/>
          <w:sz w:val="23"/>
          <w:szCs w:val="23"/>
          <w:lang w:val="en-GB"/>
        </w:rPr>
      </w:pPr>
    </w:p>
    <w:p w14:paraId="2B4B5DEB" w14:textId="77777777" w:rsidR="005028B2" w:rsidRPr="003E3613" w:rsidRDefault="005028B2"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At the Frontex meeting in February 2017, Member States received a letter dated 24 January 2017 from the Director General, stating that no reports of unlawful use of force by the police had been reported in the operations and that neither allegations regarding the violation of the human rights of migrants had been substantiated. </w:t>
      </w:r>
    </w:p>
    <w:p w14:paraId="055ED9C4" w14:textId="77777777" w:rsidR="005028B2" w:rsidRPr="003E3613" w:rsidRDefault="005028B2" w:rsidP="00204696">
      <w:pPr>
        <w:spacing w:after="0"/>
        <w:jc w:val="both"/>
        <w:rPr>
          <w:rFonts w:ascii="Book Antiqua" w:hAnsi="Book Antiqua"/>
          <w:iCs/>
          <w:sz w:val="23"/>
          <w:szCs w:val="23"/>
          <w:lang w:val="en-GB"/>
        </w:rPr>
      </w:pPr>
    </w:p>
    <w:p w14:paraId="22D4DC11" w14:textId="77777777" w:rsidR="005028B2" w:rsidRPr="003E3613" w:rsidRDefault="005028B2"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It is also important to underline that reports of alleged abuses that do not include the date and place of the incident and which are submitted long after the events, are not subject to substantive investigation. The lack of evidence to support the occurrence of police offenses is also acknowledged by leaders and representatives of non-governmental </w:t>
      </w:r>
      <w:r w:rsidR="00BD0A8B" w:rsidRPr="003E3613">
        <w:rPr>
          <w:rFonts w:ascii="Book Antiqua" w:hAnsi="Book Antiqua"/>
          <w:iCs/>
          <w:sz w:val="23"/>
          <w:szCs w:val="23"/>
          <w:lang w:val="en-GB"/>
        </w:rPr>
        <w:t>organisation</w:t>
      </w:r>
      <w:r w:rsidRPr="003E3613">
        <w:rPr>
          <w:rFonts w:ascii="Book Antiqua" w:hAnsi="Book Antiqua"/>
          <w:iCs/>
          <w:sz w:val="23"/>
          <w:szCs w:val="23"/>
          <w:lang w:val="en-GB"/>
        </w:rPr>
        <w:t>s that publish reports of ill-treatment of migrants by police.</w:t>
      </w:r>
    </w:p>
    <w:p w14:paraId="5B0B43ED" w14:textId="77777777" w:rsidR="005028B2" w:rsidRPr="003E3613" w:rsidRDefault="005028B2" w:rsidP="00204696">
      <w:pPr>
        <w:spacing w:after="0"/>
        <w:jc w:val="both"/>
        <w:rPr>
          <w:rFonts w:ascii="Book Antiqua" w:hAnsi="Book Antiqua"/>
          <w:iCs/>
          <w:sz w:val="23"/>
          <w:szCs w:val="23"/>
          <w:lang w:val="en-GB"/>
        </w:rPr>
      </w:pPr>
    </w:p>
    <w:p w14:paraId="5A39CD70" w14:textId="77777777" w:rsidR="005028B2" w:rsidRPr="003E3613" w:rsidRDefault="005028B2" w:rsidP="00204696">
      <w:pPr>
        <w:spacing w:after="0"/>
        <w:jc w:val="both"/>
        <w:rPr>
          <w:rFonts w:ascii="Book Antiqua" w:hAnsi="Book Antiqua"/>
          <w:iCs/>
          <w:sz w:val="23"/>
          <w:szCs w:val="23"/>
          <w:lang w:val="en-GB"/>
        </w:rPr>
      </w:pPr>
      <w:r w:rsidRPr="003E3613">
        <w:rPr>
          <w:rFonts w:ascii="Book Antiqua" w:hAnsi="Book Antiqua"/>
          <w:iCs/>
          <w:sz w:val="23"/>
          <w:szCs w:val="23"/>
          <w:lang w:val="en-GB"/>
        </w:rPr>
        <w:t>The police responsible for the protection of the external border of Hungary and the European Union shall act in accordance with the relevant legal provisions. The acting police officers shall carry out their activities in compliance with the principles of legality, professionalism, necessity and proportionality and with full respect for human dignity.</w:t>
      </w:r>
    </w:p>
    <w:p w14:paraId="768B2291" w14:textId="77777777" w:rsidR="005028B2" w:rsidRPr="003E3613" w:rsidRDefault="005028B2" w:rsidP="00204696">
      <w:pPr>
        <w:spacing w:after="0"/>
        <w:jc w:val="both"/>
        <w:rPr>
          <w:rFonts w:ascii="Book Antiqua" w:hAnsi="Book Antiqua"/>
          <w:sz w:val="23"/>
          <w:szCs w:val="23"/>
          <w:lang w:val="en-GB"/>
        </w:rPr>
      </w:pPr>
    </w:p>
    <w:p w14:paraId="23451750" w14:textId="77777777" w:rsidR="004256C4" w:rsidRDefault="004256C4">
      <w:pPr>
        <w:rPr>
          <w:rFonts w:ascii="Book Antiqua" w:eastAsiaTheme="majorEastAsia" w:hAnsi="Book Antiqua" w:cstheme="majorBidi"/>
          <w:b/>
          <w:bCs/>
          <w:sz w:val="23"/>
          <w:szCs w:val="23"/>
          <w:lang w:val="en-GB"/>
        </w:rPr>
      </w:pPr>
      <w:r>
        <w:rPr>
          <w:rFonts w:ascii="Book Antiqua" w:hAnsi="Book Antiqua"/>
          <w:sz w:val="23"/>
          <w:szCs w:val="23"/>
          <w:lang w:val="en-GB"/>
        </w:rPr>
        <w:br w:type="page"/>
      </w:r>
    </w:p>
    <w:p w14:paraId="52BA0F8F" w14:textId="424D1C57" w:rsidR="004102CA" w:rsidRPr="003E3613" w:rsidRDefault="00CA1AC3" w:rsidP="00204696">
      <w:pPr>
        <w:pStyle w:val="Heading2"/>
        <w:keepNext w:val="0"/>
        <w:keepLines w:val="0"/>
        <w:spacing w:before="0"/>
        <w:rPr>
          <w:rFonts w:ascii="Book Antiqua" w:hAnsi="Book Antiqua"/>
          <w:color w:val="auto"/>
          <w:sz w:val="23"/>
          <w:szCs w:val="23"/>
          <w:lang w:val="en-GB"/>
        </w:rPr>
      </w:pPr>
      <w:bookmarkStart w:id="68" w:name="_Toc19120825"/>
      <w:r w:rsidRPr="003E3613">
        <w:rPr>
          <w:rFonts w:ascii="Book Antiqua" w:hAnsi="Book Antiqua"/>
          <w:color w:val="auto"/>
          <w:sz w:val="23"/>
          <w:szCs w:val="23"/>
          <w:lang w:val="en-GB"/>
        </w:rPr>
        <w:lastRenderedPageBreak/>
        <w:t>Detention</w:t>
      </w:r>
      <w:r w:rsidR="004102CA" w:rsidRPr="003E3613">
        <w:rPr>
          <w:rFonts w:ascii="Book Antiqua" w:hAnsi="Book Antiqua"/>
          <w:color w:val="auto"/>
          <w:sz w:val="23"/>
          <w:szCs w:val="23"/>
          <w:lang w:val="en-GB"/>
        </w:rPr>
        <w:t xml:space="preserve"> of asylum seekers and migrants</w:t>
      </w:r>
      <w:bookmarkEnd w:id="68"/>
      <w:r w:rsidR="00090557" w:rsidRPr="003E3613">
        <w:rPr>
          <w:rFonts w:ascii="Book Antiqua" w:hAnsi="Book Antiqua"/>
          <w:color w:val="auto"/>
          <w:sz w:val="23"/>
          <w:szCs w:val="23"/>
          <w:lang w:val="en-GB"/>
        </w:rPr>
        <w:t xml:space="preserve"> </w:t>
      </w:r>
    </w:p>
    <w:p w14:paraId="46F3B698" w14:textId="77777777" w:rsidR="004102CA" w:rsidRPr="003E3613" w:rsidRDefault="004102CA" w:rsidP="00204696">
      <w:pPr>
        <w:spacing w:after="0"/>
        <w:jc w:val="both"/>
        <w:rPr>
          <w:rFonts w:ascii="Book Antiqua" w:hAnsi="Book Antiqua"/>
          <w:i/>
          <w:sz w:val="23"/>
          <w:szCs w:val="23"/>
          <w:lang w:val="en-GB"/>
        </w:rPr>
      </w:pPr>
    </w:p>
    <w:p w14:paraId="0EB0B04D" w14:textId="77777777" w:rsidR="000C03EC" w:rsidRPr="003E3613" w:rsidRDefault="008104F6"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C863D3" w:rsidRPr="003E3613">
        <w:rPr>
          <w:rFonts w:ascii="Book Antiqua" w:hAnsi="Book Antiqua"/>
          <w:i/>
          <w:sz w:val="23"/>
          <w:szCs w:val="23"/>
          <w:lang w:val="en-GB"/>
        </w:rPr>
        <w:t>64</w:t>
      </w:r>
      <w:r w:rsidRPr="003E3613">
        <w:rPr>
          <w:rFonts w:ascii="Book Antiqua" w:hAnsi="Book Antiqua"/>
          <w:i/>
          <w:sz w:val="23"/>
          <w:szCs w:val="23"/>
          <w:lang w:val="en-GB"/>
        </w:rPr>
        <w:t xml:space="preserve">) </w:t>
      </w:r>
      <w:r w:rsidR="000C03EC" w:rsidRPr="003E3613">
        <w:rPr>
          <w:rFonts w:ascii="Book Antiqua" w:hAnsi="Book Antiqua"/>
          <w:i/>
          <w:sz w:val="23"/>
          <w:szCs w:val="23"/>
          <w:lang w:val="en-GB"/>
        </w:rPr>
        <w:t>On 3 July 2014, the UN Working Group on Arbitrary Detention indicated that the situation of asylum seekers and migrants in irregular situations needs robust improvements and attention to ensure against arbitrary deprivation of liberty. Similar concerns about detention, in particular of unaccompanied minors, have been shared by the Council of Europe’s Commissioner for Human Rights in the report following his visit to Hungary, which was published on 16 December 2014. On 21-27 October 2015 the European Committee for the Prevention of Torture and Inhuman or Degrading Treatment or Punishment (CPT) visited Hungary and indicated in its report a considerable number of foreign nationals’ (including unaccompanied minors) claims that they had been subjected to physical ill-treatment by police officers and armed guards working in immigration or asylum detention facilities. On 7 March 2017, the UN High Commissioner for Refugees expressed his concerns about a new law voted in the Hungarian Parliament envisaging the mandatory detention of all asylum seekers, including children, for the entire length of the asylum procedure. On 8 March 2017, the Council of Europe Commissioner for Human Rights issued a statement similarly expressing his concern about that law. On 31 March 2017, the UN Subcommittee on the Prevention of Torture urged Hungary to address immediately the excessive use of detention</w:t>
      </w:r>
      <w:r w:rsidRPr="003E3613">
        <w:rPr>
          <w:rFonts w:ascii="Book Antiqua" w:hAnsi="Book Antiqua"/>
          <w:i/>
          <w:sz w:val="23"/>
          <w:szCs w:val="23"/>
          <w:lang w:val="en-GB"/>
        </w:rPr>
        <w:t xml:space="preserve"> and explore alternatives</w:t>
      </w:r>
      <w:r w:rsidR="000C03EC" w:rsidRPr="003E3613">
        <w:rPr>
          <w:rFonts w:ascii="Book Antiqua" w:hAnsi="Book Antiqua"/>
          <w:i/>
          <w:sz w:val="23"/>
          <w:szCs w:val="23"/>
          <w:lang w:val="en-GB"/>
        </w:rPr>
        <w:t>.</w:t>
      </w:r>
    </w:p>
    <w:p w14:paraId="2B682D9A" w14:textId="77777777" w:rsidR="00EA796F" w:rsidRPr="003E3613" w:rsidRDefault="00EA796F" w:rsidP="00204696">
      <w:pPr>
        <w:spacing w:after="0"/>
        <w:jc w:val="both"/>
        <w:rPr>
          <w:rFonts w:ascii="Book Antiqua" w:hAnsi="Book Antiqua"/>
          <w:i/>
          <w:sz w:val="23"/>
          <w:szCs w:val="23"/>
          <w:lang w:val="en-GB"/>
        </w:rPr>
      </w:pPr>
    </w:p>
    <w:p w14:paraId="56AA2631" w14:textId="77777777" w:rsidR="00FE58EF" w:rsidRPr="003E3613" w:rsidRDefault="00FE58EF"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In its June 2018 Conclusions the European Council reconfirmed that a precondition for a functioning EU policy relies on a comprehensive approach to migration including a more effective control of the EU’s external borders. The European Council also emphasized its determination to continue and reinforce its policy to prevent a return to the uncontrolled flows of 2015 and to further stem illegal migration on all existing and emerging routes. It is therefore our common duty and responsibility to protect our external borders and effectively stem the flows of illegal migration. The direction of the new initiatives at EU level follow the practice of Hungary already introduced in 2015.</w:t>
      </w:r>
    </w:p>
    <w:p w14:paraId="5887F6F2" w14:textId="77777777" w:rsidR="00FE58EF" w:rsidRPr="003E3613" w:rsidRDefault="00FE58EF" w:rsidP="00204696">
      <w:pPr>
        <w:spacing w:after="0"/>
        <w:jc w:val="both"/>
        <w:rPr>
          <w:rFonts w:ascii="Book Antiqua" w:hAnsi="Book Antiqua" w:cs="Times New Roman"/>
          <w:sz w:val="23"/>
          <w:szCs w:val="23"/>
          <w:lang w:val="en-GB"/>
        </w:rPr>
      </w:pPr>
    </w:p>
    <w:p w14:paraId="73199740" w14:textId="77777777" w:rsidR="00CA1AC3" w:rsidRPr="003E3613" w:rsidRDefault="0098243C" w:rsidP="00204696">
      <w:pPr>
        <w:spacing w:after="0"/>
        <w:jc w:val="both"/>
        <w:rPr>
          <w:rFonts w:ascii="Book Antiqua" w:hAnsi="Book Antiqua"/>
          <w:iCs/>
          <w:sz w:val="23"/>
          <w:szCs w:val="23"/>
          <w:lang w:val="en-GB"/>
        </w:rPr>
      </w:pPr>
      <w:r w:rsidRPr="003E3613">
        <w:rPr>
          <w:rFonts w:ascii="Book Antiqua" w:hAnsi="Book Antiqua" w:cs="Times New Roman"/>
          <w:sz w:val="23"/>
          <w:szCs w:val="23"/>
          <w:lang w:val="en-GB"/>
        </w:rPr>
        <w:t>According to the Reception</w:t>
      </w:r>
      <w:r w:rsidR="00C863D3" w:rsidRPr="003E3613">
        <w:rPr>
          <w:rFonts w:ascii="Book Antiqua" w:hAnsi="Book Antiqua" w:cs="Times New Roman"/>
          <w:sz w:val="23"/>
          <w:szCs w:val="23"/>
          <w:lang w:val="en-GB"/>
        </w:rPr>
        <w:t xml:space="preserve"> Condition</w:t>
      </w:r>
      <w:r w:rsidRPr="003E3613">
        <w:rPr>
          <w:rFonts w:ascii="Book Antiqua" w:hAnsi="Book Antiqua" w:cs="Times New Roman"/>
          <w:sz w:val="23"/>
          <w:szCs w:val="23"/>
          <w:lang w:val="en-GB"/>
        </w:rPr>
        <w:t xml:space="preserve"> Directive, detention is restricting the applicant's stay to a specific place where the applicant is deprived of his or her freedom of movement. It is also a conceptual element of detention that the individual may only object to the measure by means of a legal remedy and may not withdraw from the decision of the competent authority until it is effective, that is, they cannot leave freely. </w:t>
      </w:r>
      <w:r w:rsidR="00CA1AC3" w:rsidRPr="003E3613">
        <w:rPr>
          <w:rFonts w:ascii="Book Antiqua" w:hAnsi="Book Antiqua"/>
          <w:iCs/>
          <w:sz w:val="23"/>
          <w:szCs w:val="23"/>
          <w:lang w:val="en-GB"/>
        </w:rPr>
        <w:t>Consequently, as the</w:t>
      </w:r>
      <w:r w:rsidR="00597470" w:rsidRPr="003E3613">
        <w:rPr>
          <w:rFonts w:ascii="Book Antiqua" w:hAnsi="Book Antiqua"/>
          <w:iCs/>
          <w:sz w:val="23"/>
          <w:szCs w:val="23"/>
          <w:lang w:val="en-GB"/>
        </w:rPr>
        <w:t xml:space="preserve"> transit zone</w:t>
      </w:r>
      <w:r w:rsidR="00CA1AC3" w:rsidRPr="003E3613">
        <w:rPr>
          <w:rFonts w:ascii="Book Antiqua" w:hAnsi="Book Antiqua"/>
          <w:iCs/>
          <w:sz w:val="23"/>
          <w:szCs w:val="23"/>
          <w:lang w:val="en-GB"/>
        </w:rPr>
        <w:t xml:space="preserve"> facility is not closed, detention in the Hungarian practice is conceptually impossible since applicants can leave the transit zone any time and, that being said, the applicant</w:t>
      </w:r>
      <w:r w:rsidR="00213FD8" w:rsidRPr="003E3613">
        <w:rPr>
          <w:rFonts w:ascii="Book Antiqua" w:hAnsi="Book Antiqua"/>
          <w:iCs/>
          <w:sz w:val="23"/>
          <w:szCs w:val="23"/>
          <w:lang w:val="en-GB"/>
        </w:rPr>
        <w:t>s are</w:t>
      </w:r>
      <w:r w:rsidR="00CA1AC3" w:rsidRPr="003E3613">
        <w:rPr>
          <w:rFonts w:ascii="Book Antiqua" w:hAnsi="Book Antiqua"/>
          <w:iCs/>
          <w:sz w:val="23"/>
          <w:szCs w:val="23"/>
          <w:lang w:val="en-GB"/>
        </w:rPr>
        <w:t xml:space="preserve"> not deprived of </w:t>
      </w:r>
      <w:r w:rsidR="00FD3CEC" w:rsidRPr="003E3613">
        <w:rPr>
          <w:rFonts w:ascii="Book Antiqua" w:hAnsi="Book Antiqua"/>
          <w:iCs/>
          <w:sz w:val="23"/>
          <w:szCs w:val="23"/>
          <w:lang w:val="en-GB"/>
        </w:rPr>
        <w:t>their</w:t>
      </w:r>
      <w:r w:rsidR="00CA1AC3" w:rsidRPr="003E3613">
        <w:rPr>
          <w:rFonts w:ascii="Book Antiqua" w:hAnsi="Book Antiqua"/>
          <w:iCs/>
          <w:sz w:val="23"/>
          <w:szCs w:val="23"/>
          <w:lang w:val="en-GB"/>
        </w:rPr>
        <w:t xml:space="preserve"> freedom of movement.</w:t>
      </w:r>
      <w:r w:rsidR="00F563B5" w:rsidRPr="003E3613">
        <w:rPr>
          <w:rFonts w:ascii="Book Antiqua" w:hAnsi="Book Antiqua"/>
          <w:iCs/>
          <w:sz w:val="23"/>
          <w:szCs w:val="23"/>
          <w:lang w:val="en-GB"/>
        </w:rPr>
        <w:t xml:space="preserve"> The Hungarian practice, however, applies the detention of asylum-seekers under certain circumstances.</w:t>
      </w:r>
    </w:p>
    <w:p w14:paraId="37CC5D53" w14:textId="77777777" w:rsidR="00CA1AC3" w:rsidRPr="003E3613" w:rsidRDefault="00CA1AC3" w:rsidP="00204696">
      <w:pPr>
        <w:spacing w:after="0"/>
        <w:jc w:val="both"/>
        <w:rPr>
          <w:rFonts w:ascii="Book Antiqua" w:hAnsi="Book Antiqua"/>
          <w:iCs/>
          <w:sz w:val="23"/>
          <w:szCs w:val="23"/>
          <w:lang w:val="en-GB"/>
        </w:rPr>
      </w:pPr>
    </w:p>
    <w:p w14:paraId="3625025C" w14:textId="77777777" w:rsidR="00F563B5" w:rsidRPr="003E3613" w:rsidRDefault="00CA1AC3" w:rsidP="00204696">
      <w:pPr>
        <w:spacing w:after="0"/>
        <w:jc w:val="both"/>
        <w:rPr>
          <w:rFonts w:ascii="Book Antiqua" w:hAnsi="Book Antiqua"/>
          <w:iCs/>
          <w:sz w:val="23"/>
          <w:szCs w:val="23"/>
          <w:lang w:val="en-GB"/>
        </w:rPr>
      </w:pPr>
      <w:r w:rsidRPr="003E3613">
        <w:rPr>
          <w:rFonts w:ascii="Book Antiqua" w:hAnsi="Book Antiqua"/>
          <w:iCs/>
          <w:sz w:val="23"/>
          <w:szCs w:val="23"/>
          <w:lang w:val="en-GB"/>
        </w:rPr>
        <w:t>According to the Reception</w:t>
      </w:r>
      <w:r w:rsidR="00D55575" w:rsidRPr="003E3613">
        <w:rPr>
          <w:rFonts w:ascii="Book Antiqua" w:hAnsi="Book Antiqua"/>
          <w:iCs/>
          <w:sz w:val="23"/>
          <w:szCs w:val="23"/>
          <w:lang w:val="en-GB"/>
        </w:rPr>
        <w:t xml:space="preserve"> Condition</w:t>
      </w:r>
      <w:r w:rsidRPr="003E3613">
        <w:rPr>
          <w:rFonts w:ascii="Book Antiqua" w:hAnsi="Book Antiqua"/>
          <w:iCs/>
          <w:sz w:val="23"/>
          <w:szCs w:val="23"/>
          <w:lang w:val="en-GB"/>
        </w:rPr>
        <w:t xml:space="preserve"> Directive, Member States may designate areas</w:t>
      </w:r>
      <w:r w:rsidR="00D55575" w:rsidRPr="003E3613">
        <w:rPr>
          <w:rFonts w:ascii="Book Antiqua" w:hAnsi="Book Antiqua"/>
          <w:iCs/>
          <w:sz w:val="23"/>
          <w:szCs w:val="23"/>
          <w:lang w:val="en-GB"/>
        </w:rPr>
        <w:t xml:space="preserve"> of stay for the asylum procedure</w:t>
      </w:r>
      <w:r w:rsidRPr="003E3613">
        <w:rPr>
          <w:rFonts w:ascii="Book Antiqua" w:hAnsi="Book Antiqua"/>
          <w:iCs/>
          <w:sz w:val="23"/>
          <w:szCs w:val="23"/>
          <w:lang w:val="en-GB"/>
        </w:rPr>
        <w:t xml:space="preserve"> not only based on considerations of public interest and public order, but also to ensure the availability of applicants during the procedure. Restricting these areas to the transit zones has been applied due to the crisis caused by mass immigration, and this measure is also permitted by Article 72 TFEU in addition to the Reception </w:t>
      </w:r>
      <w:r w:rsidR="00B22483" w:rsidRPr="003E3613">
        <w:rPr>
          <w:rFonts w:ascii="Book Antiqua" w:hAnsi="Book Antiqua"/>
          <w:iCs/>
          <w:sz w:val="23"/>
          <w:szCs w:val="23"/>
          <w:lang w:val="en-GB"/>
        </w:rPr>
        <w:t xml:space="preserve">Condition </w:t>
      </w:r>
      <w:r w:rsidRPr="003E3613">
        <w:rPr>
          <w:rFonts w:ascii="Book Antiqua" w:hAnsi="Book Antiqua"/>
          <w:iCs/>
          <w:sz w:val="23"/>
          <w:szCs w:val="23"/>
          <w:lang w:val="en-GB"/>
        </w:rPr>
        <w:t>Directive.</w:t>
      </w:r>
      <w:r w:rsidR="00F563B5" w:rsidRPr="003E3613">
        <w:rPr>
          <w:rFonts w:ascii="Book Antiqua" w:hAnsi="Book Antiqua"/>
          <w:iCs/>
          <w:sz w:val="23"/>
          <w:szCs w:val="23"/>
          <w:lang w:val="en-GB"/>
        </w:rPr>
        <w:t xml:space="preserve"> According to the Hungarian legislation, the asylum detention of unaccompanied minor </w:t>
      </w:r>
      <w:r w:rsidR="00F563B5" w:rsidRPr="003E3613">
        <w:rPr>
          <w:rFonts w:ascii="Book Antiqua" w:hAnsi="Book Antiqua"/>
          <w:iCs/>
          <w:sz w:val="23"/>
          <w:szCs w:val="23"/>
          <w:lang w:val="en-GB"/>
        </w:rPr>
        <w:lastRenderedPageBreak/>
        <w:t>asylum-seekers is not possible, thus, Hungary rejects the relevant part of statement of the Council of Europe Commissioner for Human Rights.</w:t>
      </w:r>
    </w:p>
    <w:p w14:paraId="44D848A8" w14:textId="77777777" w:rsidR="00F563B5" w:rsidRPr="003E3613" w:rsidRDefault="00F563B5" w:rsidP="00204696">
      <w:pPr>
        <w:spacing w:after="0"/>
        <w:jc w:val="both"/>
        <w:rPr>
          <w:rFonts w:ascii="Book Antiqua" w:hAnsi="Book Antiqua"/>
          <w:iCs/>
          <w:sz w:val="23"/>
          <w:szCs w:val="23"/>
          <w:lang w:val="en-GB"/>
        </w:rPr>
      </w:pPr>
    </w:p>
    <w:p w14:paraId="38682894" w14:textId="77777777" w:rsidR="00F563B5" w:rsidRPr="003E3613" w:rsidRDefault="00F563B5" w:rsidP="00204696">
      <w:pPr>
        <w:spacing w:after="0"/>
        <w:jc w:val="both"/>
        <w:rPr>
          <w:rFonts w:ascii="Book Antiqua" w:hAnsi="Book Antiqua"/>
          <w:iCs/>
          <w:sz w:val="23"/>
          <w:szCs w:val="23"/>
          <w:lang w:val="en-GB"/>
        </w:rPr>
      </w:pPr>
      <w:r w:rsidRPr="003E3613">
        <w:rPr>
          <w:rFonts w:ascii="Book Antiqua" w:hAnsi="Book Antiqua"/>
          <w:iCs/>
          <w:sz w:val="23"/>
          <w:szCs w:val="23"/>
          <w:lang w:val="en-GB"/>
        </w:rPr>
        <w:t>Based on the above mentioned, it</w:t>
      </w:r>
      <w:r w:rsidR="009B4B1D" w:rsidRPr="003E3613">
        <w:rPr>
          <w:rFonts w:ascii="Book Antiqua" w:hAnsi="Book Antiqua"/>
          <w:iCs/>
          <w:sz w:val="23"/>
          <w:szCs w:val="23"/>
          <w:lang w:val="en-GB"/>
        </w:rPr>
        <w:t xml:space="preserve"> i</w:t>
      </w:r>
      <w:r w:rsidRPr="003E3613">
        <w:rPr>
          <w:rFonts w:ascii="Book Antiqua" w:hAnsi="Book Antiqua"/>
          <w:iCs/>
          <w:sz w:val="23"/>
          <w:szCs w:val="23"/>
          <w:lang w:val="en-GB"/>
        </w:rPr>
        <w:t xml:space="preserve">s incorrect </w:t>
      </w:r>
      <w:r w:rsidR="00202C9A" w:rsidRPr="003E3613">
        <w:rPr>
          <w:rFonts w:ascii="Book Antiqua" w:hAnsi="Book Antiqua"/>
          <w:iCs/>
          <w:sz w:val="23"/>
          <w:szCs w:val="23"/>
          <w:lang w:val="en-GB"/>
        </w:rPr>
        <w:t xml:space="preserve">to mention </w:t>
      </w:r>
      <w:r w:rsidRPr="003E3613">
        <w:rPr>
          <w:rFonts w:ascii="Book Antiqua" w:hAnsi="Book Antiqua"/>
          <w:iCs/>
          <w:sz w:val="23"/>
          <w:szCs w:val="23"/>
          <w:lang w:val="en-GB"/>
        </w:rPr>
        <w:t>that the Hungarian legislation foresees the mandatory detention of asylum applicants, including children.</w:t>
      </w:r>
    </w:p>
    <w:p w14:paraId="0EE97D8D" w14:textId="77777777" w:rsidR="00B76DDA" w:rsidRPr="003E3613" w:rsidRDefault="00B76DDA" w:rsidP="00204696">
      <w:pPr>
        <w:spacing w:after="0"/>
        <w:jc w:val="both"/>
        <w:rPr>
          <w:rFonts w:ascii="Book Antiqua" w:hAnsi="Book Antiqua"/>
          <w:iCs/>
          <w:sz w:val="23"/>
          <w:szCs w:val="23"/>
          <w:lang w:val="en-GB"/>
        </w:rPr>
      </w:pPr>
    </w:p>
    <w:p w14:paraId="2E823E26" w14:textId="77777777" w:rsidR="00B76DDA" w:rsidRPr="003E3613" w:rsidRDefault="00B76DDA"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The issue of balance between human rights and the right of states to self-defense has been raised regarding the transit zones. Not only the closed centers to be set up on the basis of the European Council conclusions show similarities to transit zones, but beyond that they can also be a detention, thus endangering human rights in order to protect </w:t>
      </w:r>
      <w:r w:rsidR="005E6853" w:rsidRPr="003E3613">
        <w:rPr>
          <w:rFonts w:ascii="Book Antiqua" w:hAnsi="Book Antiqua"/>
          <w:iCs/>
          <w:sz w:val="23"/>
          <w:szCs w:val="23"/>
          <w:lang w:val="en-GB"/>
        </w:rPr>
        <w:t>the</w:t>
      </w:r>
      <w:r w:rsidRPr="003E3613">
        <w:rPr>
          <w:rFonts w:ascii="Book Antiqua" w:hAnsi="Book Antiqua"/>
          <w:iCs/>
          <w:sz w:val="23"/>
          <w:szCs w:val="23"/>
          <w:lang w:val="en-GB"/>
        </w:rPr>
        <w:t xml:space="preserve"> territory</w:t>
      </w:r>
      <w:r w:rsidR="005E6853" w:rsidRPr="003E3613">
        <w:rPr>
          <w:rFonts w:ascii="Book Antiqua" w:hAnsi="Book Antiqua"/>
          <w:iCs/>
          <w:sz w:val="23"/>
          <w:szCs w:val="23"/>
          <w:lang w:val="en-GB"/>
        </w:rPr>
        <w:t xml:space="preserve"> of the EU</w:t>
      </w:r>
      <w:r w:rsidRPr="003E3613">
        <w:rPr>
          <w:rFonts w:ascii="Book Antiqua" w:hAnsi="Book Antiqua"/>
          <w:iCs/>
          <w:sz w:val="23"/>
          <w:szCs w:val="23"/>
          <w:lang w:val="en-GB"/>
        </w:rPr>
        <w:t>. On the other hand, Hungary has taken into account in the establishment of transit zones that human rights are fundamental values that cannot be disregarded for reasons of state protection, so it has not integrated detention in the established system.</w:t>
      </w:r>
    </w:p>
    <w:p w14:paraId="55970CEC" w14:textId="77777777" w:rsidR="00B76DDA" w:rsidRPr="003E3613" w:rsidRDefault="00B76DDA" w:rsidP="00204696">
      <w:pPr>
        <w:spacing w:after="0"/>
        <w:jc w:val="both"/>
        <w:rPr>
          <w:rFonts w:ascii="Book Antiqua" w:hAnsi="Book Antiqua"/>
          <w:iCs/>
          <w:sz w:val="23"/>
          <w:szCs w:val="23"/>
          <w:lang w:val="en-GB"/>
        </w:rPr>
      </w:pPr>
    </w:p>
    <w:p w14:paraId="1ED7A0C3" w14:textId="77777777" w:rsidR="00B76DDA" w:rsidRPr="003E3613" w:rsidRDefault="00B76DDA" w:rsidP="00204696">
      <w:pPr>
        <w:spacing w:after="0"/>
        <w:jc w:val="both"/>
        <w:rPr>
          <w:rFonts w:ascii="Book Antiqua" w:hAnsi="Book Antiqua"/>
          <w:iCs/>
          <w:sz w:val="23"/>
          <w:szCs w:val="23"/>
          <w:lang w:val="en-GB"/>
        </w:rPr>
      </w:pPr>
      <w:r w:rsidRPr="003E3613">
        <w:rPr>
          <w:rFonts w:ascii="Book Antiqua" w:hAnsi="Book Antiqua"/>
          <w:iCs/>
          <w:sz w:val="23"/>
          <w:szCs w:val="23"/>
          <w:lang w:val="en-GB"/>
        </w:rPr>
        <w:t>While complying with its obligations under the Schengen Border Code, Hungary is required to protect its external borders but, in order to ensure that the fundamental human rights of migrants and asylum seekers are not disproportionately violated, it has established the transit zones so that third country nationals may leave them in the direction of Serbia.</w:t>
      </w:r>
    </w:p>
    <w:p w14:paraId="513F2950" w14:textId="77777777" w:rsidR="00D43C49" w:rsidRPr="003E3613" w:rsidRDefault="00D43C49" w:rsidP="00204696">
      <w:pPr>
        <w:spacing w:after="0"/>
        <w:jc w:val="both"/>
        <w:rPr>
          <w:rFonts w:ascii="Book Antiqua" w:hAnsi="Book Antiqua"/>
          <w:i/>
          <w:sz w:val="23"/>
          <w:szCs w:val="23"/>
          <w:lang w:val="en-GB"/>
        </w:rPr>
      </w:pPr>
    </w:p>
    <w:p w14:paraId="7F20BF0C" w14:textId="77777777" w:rsidR="00D43C49" w:rsidRPr="003E3613" w:rsidRDefault="006712C4" w:rsidP="00204696">
      <w:pPr>
        <w:spacing w:after="0"/>
        <w:jc w:val="both"/>
        <w:rPr>
          <w:rFonts w:ascii="Book Antiqua" w:hAnsi="Book Antiqua"/>
          <w:i/>
          <w:sz w:val="23"/>
          <w:szCs w:val="23"/>
          <w:lang w:val="en-GB"/>
        </w:rPr>
      </w:pPr>
      <w:r w:rsidRPr="003E3613">
        <w:rPr>
          <w:rFonts w:ascii="Book Antiqua" w:hAnsi="Book Antiqua"/>
          <w:i/>
          <w:sz w:val="23"/>
          <w:szCs w:val="23"/>
          <w:lang w:val="en-GB"/>
        </w:rPr>
        <w:t>(65)</w:t>
      </w:r>
      <w:r w:rsidR="00554D9C" w:rsidRPr="003E3613">
        <w:rPr>
          <w:rFonts w:ascii="Book Antiqua" w:hAnsi="Book Antiqua"/>
          <w:i/>
          <w:sz w:val="23"/>
          <w:szCs w:val="23"/>
          <w:lang w:val="en-GB"/>
        </w:rPr>
        <w:t xml:space="preserve"> </w:t>
      </w:r>
      <w:r w:rsidRPr="003E3613">
        <w:rPr>
          <w:rFonts w:ascii="Book Antiqua" w:hAnsi="Book Antiqua"/>
          <w:i/>
          <w:sz w:val="23"/>
          <w:szCs w:val="23"/>
          <w:lang w:val="en-GB"/>
        </w:rPr>
        <w:t>In its judgment of 5 July 2016, </w:t>
      </w:r>
      <w:r w:rsidRPr="003E3613">
        <w:rPr>
          <w:rFonts w:ascii="Book Antiqua" w:hAnsi="Book Antiqua"/>
          <w:sz w:val="23"/>
          <w:szCs w:val="23"/>
          <w:lang w:val="en-GB"/>
        </w:rPr>
        <w:t>O.M. v. Hungary</w:t>
      </w:r>
      <w:r w:rsidRPr="003E3613">
        <w:rPr>
          <w:rFonts w:ascii="Book Antiqua" w:hAnsi="Book Antiqua"/>
          <w:i/>
          <w:sz w:val="23"/>
          <w:szCs w:val="23"/>
          <w:lang w:val="en-GB"/>
        </w:rPr>
        <w:t>, the ECtHR held that there had been a violation of the right to liberty and security in the form of detention that verged on arbitrariness. In particular, the authorities failed to exercise care when they ordered the applicant’s detention without considering the extent to which vulnerable individuals – for instance, LGBT people like the applicant – were safe or unsafe in custody among other detained persons, many of whom had come from countries with widespread cultural or religious prejudice against such persons. The execution of that judgment is still pending.</w:t>
      </w:r>
    </w:p>
    <w:p w14:paraId="264E1929" w14:textId="77777777" w:rsidR="00970E68" w:rsidRPr="003E3613" w:rsidRDefault="00970E68" w:rsidP="00204696">
      <w:pPr>
        <w:spacing w:after="0"/>
        <w:jc w:val="both"/>
        <w:rPr>
          <w:rFonts w:ascii="Book Antiqua" w:hAnsi="Book Antiqua"/>
          <w:i/>
          <w:sz w:val="23"/>
          <w:szCs w:val="23"/>
          <w:lang w:val="en-GB"/>
        </w:rPr>
      </w:pPr>
    </w:p>
    <w:p w14:paraId="26A00E1E" w14:textId="77777777" w:rsidR="00660031" w:rsidRDefault="00FE58EF"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O.M. v. Hungary (no. 9912/15) case dates back to June 2014, when O.M had arrived in Hungary, where he was apprehended and subsequently applied for asylum. On 25 June 2014, the Office of Immigration and Nationality ordered for the applicant to be detained, referring to the fact that his identity and nationality had not yet been clarified and to the risk of absconding. The necessity of determining an illegally arriving migrant’s identity is of crucial interest, regardless of the vulnerability of the third-country national. The crucial importance of this requirement was reinforced by experiencing uncontrolled flows arriving in 2015, when people involved in terrorist activities also made use of this. Consequently, the simple fact of vulnerability should not exempt a migrant from cooperating with the authorities in order to clarify his/her </w:t>
      </w:r>
    </w:p>
    <w:p w14:paraId="7131353B" w14:textId="77777777" w:rsidR="00660031" w:rsidRDefault="00660031">
      <w:pPr>
        <w:rPr>
          <w:rFonts w:ascii="Book Antiqua" w:hAnsi="Book Antiqua"/>
          <w:sz w:val="23"/>
          <w:szCs w:val="23"/>
          <w:lang w:val="en-GB"/>
        </w:rPr>
      </w:pPr>
      <w:r>
        <w:rPr>
          <w:rFonts w:ascii="Book Antiqua" w:hAnsi="Book Antiqua"/>
          <w:sz w:val="23"/>
          <w:szCs w:val="23"/>
          <w:lang w:val="en-GB"/>
        </w:rPr>
        <w:br w:type="page"/>
      </w:r>
    </w:p>
    <w:p w14:paraId="1D27FFA8" w14:textId="654A5F27" w:rsidR="00FE58EF" w:rsidRPr="003E3613" w:rsidRDefault="00FE58EF" w:rsidP="00204696">
      <w:pPr>
        <w:spacing w:after="0"/>
        <w:jc w:val="both"/>
        <w:rPr>
          <w:rFonts w:ascii="Book Antiqua" w:hAnsi="Book Antiqua"/>
          <w:sz w:val="23"/>
          <w:szCs w:val="23"/>
          <w:lang w:val="en-GB"/>
        </w:rPr>
      </w:pPr>
      <w:r w:rsidRPr="003E3613">
        <w:rPr>
          <w:rFonts w:ascii="Book Antiqua" w:hAnsi="Book Antiqua"/>
          <w:sz w:val="23"/>
          <w:szCs w:val="23"/>
          <w:lang w:val="en-GB"/>
        </w:rPr>
        <w:lastRenderedPageBreak/>
        <w:t>identity, and therefore restriction of movement should be allowed, while the special needs of vulnerable persons should be respected.</w:t>
      </w:r>
    </w:p>
    <w:p w14:paraId="228787A1" w14:textId="77777777" w:rsidR="00FE58EF" w:rsidRPr="003E3613" w:rsidRDefault="00FE58EF" w:rsidP="00204696">
      <w:pPr>
        <w:spacing w:after="0"/>
        <w:jc w:val="both"/>
        <w:rPr>
          <w:rFonts w:ascii="Book Antiqua" w:hAnsi="Book Antiqua"/>
          <w:i/>
          <w:sz w:val="23"/>
          <w:szCs w:val="23"/>
          <w:lang w:val="en-GB"/>
        </w:rPr>
      </w:pPr>
    </w:p>
    <w:p w14:paraId="446AFCC9" w14:textId="77777777" w:rsidR="00267EC3" w:rsidRPr="003E3613" w:rsidRDefault="00881FD0"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It is important to highlight that the Hungarian authorities are in a constant dialogue with the </w:t>
      </w:r>
      <w:r w:rsidR="000765E6" w:rsidRPr="003E3613">
        <w:rPr>
          <w:rFonts w:ascii="Book Antiqua" w:hAnsi="Book Antiqua"/>
          <w:sz w:val="23"/>
          <w:szCs w:val="23"/>
          <w:lang w:val="en-GB"/>
        </w:rPr>
        <w:t xml:space="preserve">Council of Europe regarding this issue and in general the execution of ECtHR judgments. </w:t>
      </w:r>
      <w:r w:rsidR="00CD09CE" w:rsidRPr="003E3613">
        <w:rPr>
          <w:rFonts w:ascii="Book Antiqua" w:hAnsi="Book Antiqua"/>
          <w:sz w:val="23"/>
          <w:szCs w:val="23"/>
          <w:lang w:val="en-GB"/>
        </w:rPr>
        <w:t xml:space="preserve">However, it must be born in mind that the ECtHR referred to the need to have special regard to the special needs of LGBT people like the applicant only in </w:t>
      </w:r>
      <w:r w:rsidR="00CD09CE" w:rsidRPr="003E3613">
        <w:rPr>
          <w:rFonts w:ascii="Book Antiqua" w:hAnsi="Book Antiqua"/>
          <w:i/>
          <w:sz w:val="23"/>
          <w:szCs w:val="23"/>
          <w:lang w:val="en-GB"/>
        </w:rPr>
        <w:t>obiter dictum</w:t>
      </w:r>
      <w:r w:rsidR="00CD09CE" w:rsidRPr="003E3613">
        <w:rPr>
          <w:rFonts w:ascii="Book Antiqua" w:hAnsi="Book Antiqua"/>
          <w:sz w:val="23"/>
          <w:szCs w:val="23"/>
          <w:lang w:val="en-GB"/>
        </w:rPr>
        <w:t xml:space="preserve">, having no effect on the outcome of the judgment finding that </w:t>
      </w:r>
      <w:r w:rsidR="00CD09CE" w:rsidRPr="003E3613">
        <w:rPr>
          <w:rStyle w:val="sb8d990e2"/>
          <w:rFonts w:ascii="Book Antiqua" w:hAnsi="Book Antiqua" w:cs="Times New Roman"/>
          <w:sz w:val="23"/>
          <w:szCs w:val="23"/>
          <w:lang w:val="en-GB"/>
        </w:rPr>
        <w:t xml:space="preserve">in the absence of a specific and concrete legal obligation which the applicant failed to satisfy, Article 5 </w:t>
      </w:r>
      <w:r w:rsidR="00FD26FA" w:rsidRPr="003E3613">
        <w:rPr>
          <w:rStyle w:val="sb8d990e2"/>
          <w:rFonts w:ascii="Book Antiqua" w:hAnsi="Book Antiqua" w:cs="Times New Roman"/>
          <w:sz w:val="23"/>
          <w:szCs w:val="23"/>
          <w:lang w:val="en-GB"/>
        </w:rPr>
        <w:t>(</w:t>
      </w:r>
      <w:r w:rsidR="00CD09CE" w:rsidRPr="003E3613">
        <w:rPr>
          <w:rStyle w:val="sb8d990e2"/>
          <w:rFonts w:ascii="Book Antiqua" w:hAnsi="Book Antiqua" w:cs="Times New Roman"/>
          <w:sz w:val="23"/>
          <w:szCs w:val="23"/>
          <w:lang w:val="en-GB"/>
        </w:rPr>
        <w:t>1</w:t>
      </w:r>
      <w:r w:rsidR="00FD26FA" w:rsidRPr="003E3613">
        <w:rPr>
          <w:rStyle w:val="sb8d990e2"/>
          <w:rFonts w:ascii="Book Antiqua" w:hAnsi="Book Antiqua" w:cs="Times New Roman"/>
          <w:sz w:val="23"/>
          <w:szCs w:val="23"/>
          <w:lang w:val="en-GB"/>
        </w:rPr>
        <w:t>)</w:t>
      </w:r>
      <w:r w:rsidR="00CD09CE" w:rsidRPr="003E3613">
        <w:rPr>
          <w:rStyle w:val="sb8d990e2"/>
          <w:rFonts w:ascii="Book Antiqua" w:hAnsi="Book Antiqua" w:cs="Times New Roman"/>
          <w:sz w:val="23"/>
          <w:szCs w:val="23"/>
          <w:lang w:val="en-GB"/>
        </w:rPr>
        <w:t xml:space="preserve"> (b) of the Convention cannot convincingly serve as a legal basis for his asylum detention (irrespective of his being LGBT or not). Otherwise the Court should have taken into account that the applicant’s LGBT status does not pertain to the issue of grounds for his detention but to the issue of circumstances of his detention (under Article 3 of the ECHR) in respect of which the applicant had not complained either to the Hungarian authorities or to the Court.</w:t>
      </w:r>
      <w:r w:rsidR="00554D9C" w:rsidRPr="003E3613">
        <w:rPr>
          <w:rStyle w:val="sb8d990e2"/>
          <w:rFonts w:ascii="Book Antiqua" w:hAnsi="Book Antiqua" w:cs="Times New Roman"/>
          <w:sz w:val="23"/>
          <w:szCs w:val="23"/>
          <w:lang w:val="en-GB"/>
        </w:rPr>
        <w:t xml:space="preserve"> </w:t>
      </w:r>
    </w:p>
    <w:p w14:paraId="577087EE" w14:textId="77777777" w:rsidR="00970E68" w:rsidRPr="003E3613" w:rsidRDefault="00970E68" w:rsidP="00204696">
      <w:pPr>
        <w:spacing w:after="0"/>
        <w:jc w:val="both"/>
        <w:rPr>
          <w:rFonts w:ascii="Book Antiqua" w:hAnsi="Book Antiqua"/>
          <w:iCs/>
          <w:sz w:val="23"/>
          <w:szCs w:val="23"/>
          <w:lang w:val="en-GB"/>
        </w:rPr>
      </w:pPr>
    </w:p>
    <w:p w14:paraId="131B984B" w14:textId="77777777" w:rsidR="00F563B5" w:rsidRPr="003E3613" w:rsidRDefault="00F563B5" w:rsidP="00204696">
      <w:pPr>
        <w:spacing w:after="0"/>
        <w:jc w:val="both"/>
        <w:rPr>
          <w:rFonts w:ascii="Book Antiqua" w:hAnsi="Book Antiqua"/>
          <w:sz w:val="23"/>
          <w:szCs w:val="23"/>
          <w:lang w:val="en-GB"/>
        </w:rPr>
      </w:pPr>
      <w:r w:rsidRPr="003E3613">
        <w:rPr>
          <w:rFonts w:ascii="Book Antiqua" w:hAnsi="Book Antiqua"/>
          <w:sz w:val="23"/>
          <w:szCs w:val="23"/>
          <w:lang w:val="en-GB"/>
        </w:rPr>
        <w:t>The decision in this one particular case does not mean that systematic flaws exist in the practice of Hungary.</w:t>
      </w:r>
      <w:r w:rsidRPr="003E3613" w:rsidDel="00421EAC">
        <w:rPr>
          <w:rStyle w:val="CommentReference"/>
          <w:rFonts w:ascii="Book Antiqua" w:eastAsiaTheme="minorHAnsi" w:hAnsi="Book Antiqua"/>
          <w:sz w:val="23"/>
          <w:szCs w:val="23"/>
          <w:lang w:val="en-GB" w:eastAsia="en-US"/>
        </w:rPr>
        <w:t xml:space="preserve"> </w:t>
      </w:r>
    </w:p>
    <w:p w14:paraId="24AE3F21" w14:textId="77777777" w:rsidR="004A2C37" w:rsidRPr="003E3613" w:rsidRDefault="004A2C37" w:rsidP="00204696">
      <w:pPr>
        <w:spacing w:after="0"/>
        <w:jc w:val="both"/>
        <w:rPr>
          <w:rFonts w:ascii="Book Antiqua" w:hAnsi="Book Antiqua"/>
          <w:iCs/>
          <w:sz w:val="23"/>
          <w:szCs w:val="23"/>
          <w:lang w:val="en-GB"/>
        </w:rPr>
      </w:pPr>
    </w:p>
    <w:p w14:paraId="4BB88C36" w14:textId="77777777" w:rsidR="00090557" w:rsidRPr="003E3613" w:rsidRDefault="00090557" w:rsidP="00204696">
      <w:pPr>
        <w:pStyle w:val="Heading2"/>
        <w:keepNext w:val="0"/>
        <w:keepLines w:val="0"/>
        <w:spacing w:before="0"/>
        <w:rPr>
          <w:rFonts w:ascii="Book Antiqua" w:hAnsi="Book Antiqua"/>
          <w:color w:val="auto"/>
          <w:sz w:val="23"/>
          <w:szCs w:val="23"/>
          <w:lang w:val="en-GB"/>
        </w:rPr>
      </w:pPr>
      <w:bookmarkStart w:id="69" w:name="_Toc19120826"/>
      <w:r w:rsidRPr="003E3613">
        <w:rPr>
          <w:rFonts w:ascii="Book Antiqua" w:hAnsi="Book Antiqua"/>
          <w:color w:val="auto"/>
          <w:sz w:val="23"/>
          <w:szCs w:val="23"/>
          <w:lang w:val="en-GB"/>
        </w:rPr>
        <w:t>The situation of unaccompanied minors</w:t>
      </w:r>
      <w:bookmarkEnd w:id="69"/>
    </w:p>
    <w:p w14:paraId="01E7C871" w14:textId="77777777" w:rsidR="004102CA" w:rsidRPr="003E3613" w:rsidRDefault="004102CA" w:rsidP="00204696">
      <w:pPr>
        <w:spacing w:after="0"/>
        <w:jc w:val="both"/>
        <w:rPr>
          <w:rFonts w:ascii="Book Antiqua" w:hAnsi="Book Antiqua"/>
          <w:i/>
          <w:sz w:val="23"/>
          <w:szCs w:val="23"/>
          <w:lang w:val="en-GB"/>
        </w:rPr>
      </w:pPr>
    </w:p>
    <w:p w14:paraId="34013BD7" w14:textId="77777777" w:rsidR="000C03EC" w:rsidRPr="003E3613" w:rsidRDefault="008104F6"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970E68" w:rsidRPr="003E3613">
        <w:rPr>
          <w:rFonts w:ascii="Book Antiqua" w:hAnsi="Book Antiqua"/>
          <w:i/>
          <w:sz w:val="23"/>
          <w:szCs w:val="23"/>
          <w:lang w:val="en-GB"/>
        </w:rPr>
        <w:t>66</w:t>
      </w:r>
      <w:r w:rsidRPr="003E3613">
        <w:rPr>
          <w:rFonts w:ascii="Book Antiqua" w:hAnsi="Book Antiqua"/>
          <w:i/>
          <w:sz w:val="23"/>
          <w:szCs w:val="23"/>
          <w:lang w:val="en-GB"/>
        </w:rPr>
        <w:t>)</w:t>
      </w:r>
      <w:r w:rsidRPr="003E3613">
        <w:rPr>
          <w:rFonts w:ascii="Book Antiqua" w:eastAsia="Calibri" w:hAnsi="Book Antiqua"/>
          <w:sz w:val="23"/>
          <w:szCs w:val="23"/>
          <w:lang w:val="en-GB" w:eastAsia="en-US"/>
        </w:rPr>
        <w:t xml:space="preserve"> </w:t>
      </w:r>
      <w:r w:rsidR="000C03EC" w:rsidRPr="003E3613">
        <w:rPr>
          <w:rFonts w:ascii="Book Antiqua" w:hAnsi="Book Antiqua"/>
          <w:i/>
          <w:sz w:val="23"/>
          <w:szCs w:val="23"/>
          <w:lang w:val="en-GB"/>
        </w:rPr>
        <w:t xml:space="preserve">On 12-16 June 2017, the Special Representative of the Secretary General of the Council of Europe on migration and refugees visited Serbia and two transit zones in Hungary. In his report, the </w:t>
      </w:r>
      <w:r w:rsidRPr="003E3613">
        <w:rPr>
          <w:rFonts w:ascii="Book Antiqua" w:hAnsi="Book Antiqua"/>
          <w:i/>
          <w:sz w:val="23"/>
          <w:szCs w:val="23"/>
          <w:lang w:val="en-GB"/>
        </w:rPr>
        <w:t>Special Representative stated that violent pushbacks of migrants and refugees from Hungary to Serbia raise concerns under Articles 2 (the right to life) and 3 (prohibition of torture) of the European Convention on Human Rights (ECHR). The Special Representative also noted that the restrictive practices of admission of asylum seekers into the transit zones of Röszke and Tompa often make asylum-seekers look for illegal ways of crossing the border, having to resort to smugglers and traffickers with all the risks that this entails. He indicated that the asylum procedures, which are conducted in the transit zones, lack adequate safeguards to protect asylum seekers against refoulement to countries where they run the risk of being subjected to treatment contrary to Articles 2 and 3 of the ECHR. The Special Representative concluded that it is necessary that the Hungarian legislation and practices are brought in line with the requirements of the ECHR. The</w:t>
      </w:r>
      <w:r w:rsidRPr="003E3613">
        <w:rPr>
          <w:rFonts w:ascii="Book Antiqua" w:eastAsia="Calibri" w:hAnsi="Book Antiqua"/>
          <w:sz w:val="23"/>
          <w:szCs w:val="23"/>
          <w:lang w:val="en-GB"/>
        </w:rPr>
        <w:t xml:space="preserve"> </w:t>
      </w:r>
      <w:r w:rsidR="000C03EC" w:rsidRPr="003E3613">
        <w:rPr>
          <w:rFonts w:ascii="Book Antiqua" w:hAnsi="Book Antiqua"/>
          <w:i/>
          <w:sz w:val="23"/>
          <w:szCs w:val="23"/>
          <w:lang w:val="en-GB"/>
        </w:rPr>
        <w:t>Special Representative made several recommendations, including a call on the Hungarian authorities to take the necessary measures, including by</w:t>
      </w:r>
      <w:r w:rsidR="000C03EC" w:rsidRPr="003E3613">
        <w:rPr>
          <w:rFonts w:ascii="Book Antiqua" w:hAnsi="Book Antiqua"/>
          <w:sz w:val="23"/>
          <w:szCs w:val="23"/>
          <w:lang w:val="en-GB"/>
        </w:rPr>
        <w:t xml:space="preserve"> </w:t>
      </w:r>
      <w:r w:rsidR="000C03EC" w:rsidRPr="003E3613">
        <w:rPr>
          <w:rFonts w:ascii="Book Antiqua" w:hAnsi="Book Antiqua"/>
          <w:i/>
          <w:sz w:val="23"/>
          <w:szCs w:val="23"/>
          <w:lang w:val="en-GB"/>
        </w:rPr>
        <w:t xml:space="preserve">reviewing the relevant legislative framework and changing relevant practices, to ensure that all foreign nationals arriving at the border or who are on Hungarian territory are not deterred from making an application for international protection. On 5-7 July </w:t>
      </w:r>
      <w:r w:rsidRPr="003E3613">
        <w:rPr>
          <w:rFonts w:ascii="Book Antiqua" w:hAnsi="Book Antiqua"/>
          <w:i/>
          <w:sz w:val="23"/>
          <w:szCs w:val="23"/>
          <w:lang w:val="en-GB"/>
        </w:rPr>
        <w:t xml:space="preserve">2017 </w:t>
      </w:r>
      <w:r w:rsidR="000C03EC" w:rsidRPr="003E3613">
        <w:rPr>
          <w:rFonts w:ascii="Book Antiqua" w:hAnsi="Book Antiqua"/>
          <w:i/>
          <w:sz w:val="23"/>
          <w:szCs w:val="23"/>
          <w:lang w:val="en-GB"/>
        </w:rPr>
        <w:t>a delegation of the Council of Europe Lanzarote Committee (Committee of the Parties to the Council of Europe Convention on the protection of children against sexual exploitation and sexual abuse) also visited two transit zones and made a number of recommendations, including a call to treat all persons under the age of 18 years of age as children without discrimination on the ground of their age, to ensure that all children under Hungarian jurisdiction are protected against sexual exploitation and abuse, and to systematically place them in mainstream child protection institutions in order to prevent possible sexual exploitation or sexual abuse against them by adults and adolescents in the transit zones.</w:t>
      </w:r>
      <w:r w:rsidRPr="003E3613">
        <w:rPr>
          <w:rFonts w:ascii="Book Antiqua" w:hAnsi="Book Antiqua"/>
          <w:i/>
          <w:sz w:val="23"/>
          <w:szCs w:val="23"/>
          <w:lang w:val="en-GB"/>
        </w:rPr>
        <w:t xml:space="preserve"> On 18-20 December 2017, a delegation of </w:t>
      </w:r>
      <w:r w:rsidRPr="003E3613">
        <w:rPr>
          <w:rFonts w:ascii="Book Antiqua" w:hAnsi="Book Antiqua"/>
          <w:i/>
          <w:sz w:val="23"/>
          <w:szCs w:val="23"/>
          <w:lang w:val="en-GB"/>
        </w:rPr>
        <w:lastRenderedPageBreak/>
        <w:t>the Council of Europe Group of Experts on Action against Trafficking in Human Beings (GRETA) visited Hungary, including two transit zones, and concluded that a transit zone, which is effectively a place of deprivation of liberty, cannot be considered as appropriate and safe accommodation for victims of trafficking. It called on the Hungarian authorities to adopt a legal framework for the identification of victims of human trafficking among third-country nationals who were not legally resident and to step up its procedures for identifying victims of such trafficking among asylum seekers and irregular migrants. As of 1 January 2018, additional regulations were introduced favouring minors in general and unaccompanied minors in specific; among others a specific curriculum was developed for minor asylum seekers. ECRI mentioned in its conclusions on the implementation of the recommendations in respect of Hungary, published on 15 May 2018, that while acknowledging that Hungary has faced enormous challenges following the massive arrivals of migrants and refugees, it is appalled at the measures taken in response and the serious deterioration in the situation since its fifth report. The authorities should, as a matter of urgency, end detention in transit zones, particularly for families with children and all unaccompanied minors.</w:t>
      </w:r>
    </w:p>
    <w:p w14:paraId="2E618811" w14:textId="77777777" w:rsidR="005E0326" w:rsidRPr="003E3613" w:rsidRDefault="005E0326" w:rsidP="00204696">
      <w:pPr>
        <w:spacing w:after="0"/>
        <w:jc w:val="both"/>
        <w:rPr>
          <w:rFonts w:ascii="Book Antiqua" w:hAnsi="Book Antiqua"/>
          <w:i/>
          <w:sz w:val="23"/>
          <w:szCs w:val="23"/>
          <w:lang w:val="en-GB"/>
        </w:rPr>
      </w:pPr>
    </w:p>
    <w:p w14:paraId="6EADC04D" w14:textId="77777777" w:rsidR="00102A0B" w:rsidRPr="003E3613" w:rsidRDefault="00102A0B"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 xml:space="preserve">First, it should be stated that this </w:t>
      </w:r>
      <w:r w:rsidR="00202C9A" w:rsidRPr="003E3613">
        <w:rPr>
          <w:rFonts w:ascii="Book Antiqua" w:hAnsi="Book Antiqua"/>
          <w:bCs/>
          <w:iCs/>
          <w:sz w:val="23"/>
          <w:szCs w:val="23"/>
          <w:lang w:val="en-GB"/>
        </w:rPr>
        <w:t>recital</w:t>
      </w:r>
      <w:r w:rsidRPr="003E3613">
        <w:rPr>
          <w:rFonts w:ascii="Book Antiqua" w:hAnsi="Book Antiqua"/>
          <w:bCs/>
          <w:iCs/>
          <w:sz w:val="23"/>
          <w:szCs w:val="23"/>
          <w:lang w:val="en-GB"/>
        </w:rPr>
        <w:t xml:space="preserve"> of the </w:t>
      </w:r>
      <w:r w:rsidR="00202C9A" w:rsidRPr="003E3613">
        <w:rPr>
          <w:rFonts w:ascii="Book Antiqua" w:hAnsi="Book Antiqua"/>
          <w:bCs/>
          <w:iCs/>
          <w:sz w:val="23"/>
          <w:szCs w:val="23"/>
          <w:lang w:val="en-GB"/>
        </w:rPr>
        <w:t xml:space="preserve">reasoned proposal </w:t>
      </w:r>
      <w:r w:rsidRPr="003E3613">
        <w:rPr>
          <w:rFonts w:ascii="Book Antiqua" w:hAnsi="Book Antiqua"/>
          <w:bCs/>
          <w:iCs/>
          <w:sz w:val="23"/>
          <w:szCs w:val="23"/>
          <w:lang w:val="en-GB"/>
        </w:rPr>
        <w:t xml:space="preserve">raises many and very complex issues. It should be also noted that the time these concerns refer to was when Hungary faced enormous challenges following massive arrivals of migrants and refugees. In 2015, Hungary was the second European Union country, behind Greece, to apprehend irregular migrants at its external borders with 411,515 recorded crossings. For example, during the months of June, July, and August 2015, the average number of registered arrivals in Hungary increased </w:t>
      </w:r>
      <w:r w:rsidR="00202C9A" w:rsidRPr="003E3613">
        <w:rPr>
          <w:rFonts w:ascii="Book Antiqua" w:hAnsi="Book Antiqua"/>
          <w:bCs/>
          <w:iCs/>
          <w:sz w:val="23"/>
          <w:szCs w:val="23"/>
          <w:lang w:val="en-GB"/>
        </w:rPr>
        <w:t xml:space="preserve">by </w:t>
      </w:r>
      <w:r w:rsidRPr="003E3613">
        <w:rPr>
          <w:rFonts w:ascii="Book Antiqua" w:hAnsi="Book Antiqua"/>
          <w:bCs/>
          <w:iCs/>
          <w:sz w:val="23"/>
          <w:szCs w:val="23"/>
          <w:lang w:val="en-GB"/>
        </w:rPr>
        <w:t>447% to 1,500 person/day.</w:t>
      </w:r>
      <w:r w:rsidR="00554D9C" w:rsidRPr="003E3613">
        <w:rPr>
          <w:rFonts w:ascii="Book Antiqua" w:hAnsi="Book Antiqua"/>
          <w:bCs/>
          <w:iCs/>
          <w:sz w:val="23"/>
          <w:szCs w:val="23"/>
          <w:lang w:val="en-GB"/>
        </w:rPr>
        <w:t xml:space="preserve"> </w:t>
      </w:r>
      <w:r w:rsidRPr="003E3613">
        <w:rPr>
          <w:rFonts w:ascii="Book Antiqua" w:hAnsi="Book Antiqua"/>
          <w:bCs/>
          <w:iCs/>
          <w:sz w:val="23"/>
          <w:szCs w:val="23"/>
          <w:lang w:val="en-GB"/>
        </w:rPr>
        <w:t xml:space="preserve">The comments on the concerns raised in this </w:t>
      </w:r>
      <w:r w:rsidR="00202C9A" w:rsidRPr="003E3613">
        <w:rPr>
          <w:rFonts w:ascii="Book Antiqua" w:hAnsi="Book Antiqua"/>
          <w:bCs/>
          <w:iCs/>
          <w:sz w:val="23"/>
          <w:szCs w:val="23"/>
          <w:lang w:val="en-GB"/>
        </w:rPr>
        <w:t xml:space="preserve">recital </w:t>
      </w:r>
      <w:r w:rsidRPr="003E3613">
        <w:rPr>
          <w:rFonts w:ascii="Book Antiqua" w:hAnsi="Book Antiqua"/>
          <w:bCs/>
          <w:iCs/>
          <w:sz w:val="23"/>
          <w:szCs w:val="23"/>
          <w:lang w:val="en-GB"/>
        </w:rPr>
        <w:t>will be long as they require factual explanation of the situations.</w:t>
      </w:r>
    </w:p>
    <w:p w14:paraId="1AB738CB" w14:textId="77777777" w:rsidR="00102A0B" w:rsidRPr="003E3613" w:rsidRDefault="00102A0B" w:rsidP="00204696">
      <w:pPr>
        <w:spacing w:after="0"/>
        <w:jc w:val="both"/>
        <w:rPr>
          <w:rFonts w:ascii="Book Antiqua" w:hAnsi="Book Antiqua"/>
          <w:bCs/>
          <w:iCs/>
          <w:sz w:val="23"/>
          <w:szCs w:val="23"/>
          <w:lang w:val="en-GB"/>
        </w:rPr>
      </w:pPr>
    </w:p>
    <w:p w14:paraId="1AD258C0" w14:textId="77777777" w:rsidR="00660031" w:rsidRDefault="00CA1AC3"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In the course of establishing the transit zones, Hungary paid special attention to the needs of different age and social groups. Besides separated placement, the safety of children is also secured by the 24/7 presence of a social worker in the separate accommodation facilities for both families and unaccompanied minors. In addition, continuous security service and CCTV video surveillance system operate in the transit zones to ensure the prevention of any kind of violence, sexual exploitation or abuse.</w:t>
      </w:r>
      <w:r w:rsidR="00934762" w:rsidRPr="003E3613">
        <w:rPr>
          <w:rFonts w:ascii="Book Antiqua" w:hAnsi="Book Antiqua"/>
          <w:bCs/>
          <w:iCs/>
          <w:sz w:val="23"/>
          <w:szCs w:val="23"/>
          <w:lang w:val="en-GB"/>
        </w:rPr>
        <w:t xml:space="preserve"> The CCTV video surveillance system monitors</w:t>
      </w:r>
      <w:r w:rsidR="00202C9A" w:rsidRPr="003E3613">
        <w:rPr>
          <w:rFonts w:ascii="Book Antiqua" w:hAnsi="Book Antiqua"/>
          <w:bCs/>
          <w:iCs/>
          <w:sz w:val="23"/>
          <w:szCs w:val="23"/>
          <w:lang w:val="en-GB"/>
        </w:rPr>
        <w:t>, however,</w:t>
      </w:r>
      <w:r w:rsidR="00934762" w:rsidRPr="003E3613">
        <w:rPr>
          <w:rFonts w:ascii="Book Antiqua" w:hAnsi="Book Antiqua"/>
          <w:bCs/>
          <w:iCs/>
          <w:sz w:val="23"/>
          <w:szCs w:val="23"/>
          <w:lang w:val="en-GB"/>
        </w:rPr>
        <w:t xml:space="preserve"> only the community areas. Regarding the visit of the Lanzarote Committee, it is important to stress that</w:t>
      </w:r>
      <w:r w:rsidR="00B10E87" w:rsidRPr="003E3613">
        <w:rPr>
          <w:rFonts w:ascii="Book Antiqua" w:hAnsi="Book Antiqua"/>
          <w:bCs/>
          <w:iCs/>
          <w:sz w:val="23"/>
          <w:szCs w:val="23"/>
          <w:lang w:val="en-GB"/>
        </w:rPr>
        <w:t xml:space="preserve"> according to their report published in 2018</w:t>
      </w:r>
      <w:r w:rsidR="00F1478A" w:rsidRPr="003E3613">
        <w:rPr>
          <w:rFonts w:ascii="Book Antiqua" w:hAnsi="Book Antiqua"/>
          <w:bCs/>
          <w:iCs/>
          <w:sz w:val="23"/>
          <w:szCs w:val="23"/>
          <w:lang w:val="en-GB"/>
        </w:rPr>
        <w:t>,</w:t>
      </w:r>
      <w:r w:rsidR="00666DAC" w:rsidRPr="003E3613">
        <w:rPr>
          <w:rStyle w:val="FootnoteReference"/>
          <w:rFonts w:ascii="Book Antiqua" w:hAnsi="Book Antiqua"/>
          <w:bCs/>
          <w:iCs/>
          <w:sz w:val="23"/>
          <w:szCs w:val="23"/>
          <w:lang w:val="en-GB"/>
        </w:rPr>
        <w:footnoteReference w:id="42"/>
      </w:r>
      <w:r w:rsidR="00934762" w:rsidRPr="003E3613">
        <w:rPr>
          <w:rFonts w:ascii="Book Antiqua" w:hAnsi="Book Antiqua"/>
          <w:bCs/>
          <w:iCs/>
          <w:sz w:val="23"/>
          <w:szCs w:val="23"/>
          <w:lang w:val="en-GB"/>
        </w:rPr>
        <w:t xml:space="preserve"> the delegation did not identify any sign proving that migrant children placed in the transit zones were victims of sexual exploitation or abuse.</w:t>
      </w:r>
      <w:r w:rsidR="00B10E87" w:rsidRPr="003E3613">
        <w:rPr>
          <w:lang w:val="en-GB"/>
        </w:rPr>
        <w:t xml:space="preserve"> </w:t>
      </w:r>
      <w:r w:rsidRPr="003E3613">
        <w:rPr>
          <w:rFonts w:ascii="Book Antiqua" w:hAnsi="Book Antiqua"/>
          <w:bCs/>
          <w:iCs/>
          <w:sz w:val="23"/>
          <w:szCs w:val="23"/>
          <w:lang w:val="en-GB"/>
        </w:rPr>
        <w:t xml:space="preserve">Experts of the authorities immediately start identifying potential victims of sexual exploitation and abuse. If the medical staff carrying out the examination experiences </w:t>
      </w:r>
    </w:p>
    <w:p w14:paraId="2366ADCE" w14:textId="77777777" w:rsidR="00660031" w:rsidRDefault="00660031">
      <w:pPr>
        <w:rPr>
          <w:rFonts w:ascii="Book Antiqua" w:hAnsi="Book Antiqua"/>
          <w:bCs/>
          <w:iCs/>
          <w:sz w:val="23"/>
          <w:szCs w:val="23"/>
          <w:lang w:val="en-GB"/>
        </w:rPr>
      </w:pPr>
      <w:r>
        <w:rPr>
          <w:rFonts w:ascii="Book Antiqua" w:hAnsi="Book Antiqua"/>
          <w:bCs/>
          <w:iCs/>
          <w:sz w:val="23"/>
          <w:szCs w:val="23"/>
          <w:lang w:val="en-GB"/>
        </w:rPr>
        <w:br w:type="page"/>
      </w:r>
    </w:p>
    <w:p w14:paraId="020A901A" w14:textId="12A3725A" w:rsidR="000E2951" w:rsidRPr="003E3613" w:rsidRDefault="00CA1AC3"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lastRenderedPageBreak/>
        <w:t>signs of previous sexual exploitation or the applicant makes such a report, both the medical staff and the asylum authority can take the necessary action.</w:t>
      </w:r>
      <w:r w:rsidR="00B10E87" w:rsidRPr="003E3613">
        <w:rPr>
          <w:rFonts w:ascii="Book Antiqua" w:hAnsi="Book Antiqua"/>
          <w:bCs/>
          <w:iCs/>
          <w:sz w:val="23"/>
          <w:szCs w:val="23"/>
          <w:lang w:val="en-GB"/>
        </w:rPr>
        <w:t xml:space="preserve"> The police are responsible for the guarding of transit zones, and no complaints have been received because of sexual exploitation either by the authorities </w:t>
      </w:r>
      <w:r w:rsidR="000F458C" w:rsidRPr="003E3613">
        <w:rPr>
          <w:rFonts w:ascii="Book Antiqua" w:hAnsi="Book Antiqua"/>
          <w:bCs/>
          <w:iCs/>
          <w:sz w:val="23"/>
          <w:szCs w:val="23"/>
          <w:lang w:val="en-GB"/>
        </w:rPr>
        <w:t xml:space="preserve">or by the court </w:t>
      </w:r>
      <w:r w:rsidR="00B10E87" w:rsidRPr="003E3613">
        <w:rPr>
          <w:rFonts w:ascii="Book Antiqua" w:hAnsi="Book Antiqua"/>
          <w:bCs/>
          <w:iCs/>
          <w:sz w:val="23"/>
          <w:szCs w:val="23"/>
          <w:lang w:val="en-GB"/>
        </w:rPr>
        <w:t>from civil organi</w:t>
      </w:r>
      <w:r w:rsidR="000F458C" w:rsidRPr="003E3613">
        <w:rPr>
          <w:rFonts w:ascii="Book Antiqua" w:hAnsi="Book Antiqua"/>
          <w:bCs/>
          <w:iCs/>
          <w:sz w:val="23"/>
          <w:szCs w:val="23"/>
          <w:lang w:val="en-GB"/>
        </w:rPr>
        <w:t>s</w:t>
      </w:r>
      <w:r w:rsidR="00B10E87" w:rsidRPr="003E3613">
        <w:rPr>
          <w:rFonts w:ascii="Book Antiqua" w:hAnsi="Book Antiqua"/>
          <w:bCs/>
          <w:iCs/>
          <w:sz w:val="23"/>
          <w:szCs w:val="23"/>
          <w:lang w:val="en-GB"/>
        </w:rPr>
        <w:t>ations present in the transit zone. The Hungarian authorities, with human dignity in mind, are developing the most optimal placement for asylum seekers in transit zones. Nevertheless, the Hungarian Authorities have an ongoing dialogue regarding the issue with the Lanzarote Committee concerning the implementation of its recommendations.</w:t>
      </w:r>
    </w:p>
    <w:p w14:paraId="6A46EC71" w14:textId="77777777" w:rsidR="00CA1AC3" w:rsidRPr="003E3613" w:rsidRDefault="00CA1AC3" w:rsidP="00204696">
      <w:pPr>
        <w:spacing w:after="0"/>
        <w:jc w:val="both"/>
        <w:rPr>
          <w:rFonts w:ascii="Book Antiqua" w:hAnsi="Book Antiqua"/>
          <w:bCs/>
          <w:iCs/>
          <w:sz w:val="23"/>
          <w:szCs w:val="23"/>
          <w:lang w:val="en-GB"/>
        </w:rPr>
      </w:pPr>
    </w:p>
    <w:p w14:paraId="3DE99155" w14:textId="49EB5FA6" w:rsidR="00CA1AC3" w:rsidRPr="003E3613" w:rsidRDefault="00492C79"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The Ministry of Justice has a strong role in the education and training of the personnel of Hungarian ministries in this regard. On 27 July 2017, the Ministry of Justice orgainsed an extensive training on the use of the online-based Identification, Assistance and Support Service for Victims of Trafficking in Human Beings for 40 civil servants of the Budapest and County Governmental Offices. In April 2018, the Ministry of Justice organised training courses for victim support officers, probation officers and legal aid officers, with the focus on the identification of human trafficking and its practical aspects.</w:t>
      </w:r>
      <w:r w:rsidR="001F6F2B" w:rsidRPr="003E3613">
        <w:rPr>
          <w:rFonts w:ascii="Book Antiqua" w:hAnsi="Book Antiqua"/>
          <w:bCs/>
          <w:iCs/>
          <w:sz w:val="23"/>
          <w:szCs w:val="23"/>
          <w:lang w:val="en-GB"/>
        </w:rPr>
        <w:t xml:space="preserve"> </w:t>
      </w:r>
      <w:r w:rsidRPr="003E3613">
        <w:rPr>
          <w:rFonts w:ascii="Book Antiqua" w:hAnsi="Book Antiqua"/>
          <w:bCs/>
          <w:iCs/>
          <w:sz w:val="23"/>
          <w:szCs w:val="23"/>
          <w:lang w:val="en-GB"/>
        </w:rPr>
        <w:t xml:space="preserve">232 victim support officers, 188 probation officers and 48 legal aid officers attended this training course. On 20 July 2018, a training course for new Hungarian consuls on the use of the EKAT system (in English: Online-based Identification, Assistance and Support Service for Victims of Trafficking in Human Beings) as well as on the support services available for victims of trafficking in human beings was organised by the Ministry of Interior. In October 2018, the Ministry of Justice organised training courses on the use of the online-based Identification, Assistance and Support Service for Victims of Trafficking in Human Beings for 75 police officers in total. In the Autumn of 2018, the Ministry of Justice published a detailed information note on the identification of human trafficking for civilian guards. The aim of these training courses was to prepare the staff for </w:t>
      </w:r>
      <w:r w:rsidR="00CA1AC3" w:rsidRPr="003E3613">
        <w:rPr>
          <w:rFonts w:ascii="Book Antiqua" w:hAnsi="Book Antiqua"/>
          <w:bCs/>
          <w:iCs/>
          <w:sz w:val="23"/>
          <w:szCs w:val="23"/>
          <w:lang w:val="en-GB"/>
        </w:rPr>
        <w:t xml:space="preserve">the successful identification of victims of human trafficking (partially sexual exploitation) and to increase the awareness of those who are more likely to be in contact with such persons during their day-to-day work. Moreover, </w:t>
      </w:r>
      <w:r w:rsidR="004F2DF3" w:rsidRPr="003E3613">
        <w:rPr>
          <w:rFonts w:ascii="Book Antiqua" w:hAnsi="Book Antiqua"/>
          <w:iCs/>
          <w:sz w:val="23"/>
          <w:szCs w:val="23"/>
          <w:lang w:val="en-GB"/>
        </w:rPr>
        <w:t>National Directorate-General for Aliens Policing</w:t>
      </w:r>
      <w:r w:rsidR="004F2DF3" w:rsidRPr="003E3613">
        <w:rPr>
          <w:rFonts w:ascii="Cambria" w:hAnsi="Cambria"/>
          <w:color w:val="000000"/>
          <w:lang w:val="en-GB"/>
        </w:rPr>
        <w:t xml:space="preserve"> </w:t>
      </w:r>
      <w:r w:rsidR="00F1478A" w:rsidRPr="003E3613">
        <w:rPr>
          <w:rFonts w:ascii="Book Antiqua" w:hAnsi="Book Antiqua"/>
          <w:bCs/>
          <w:iCs/>
          <w:sz w:val="23"/>
          <w:szCs w:val="23"/>
          <w:lang w:val="en-GB"/>
        </w:rPr>
        <w:t xml:space="preserve">(formerly Immigration and Asylum Office) </w:t>
      </w:r>
      <w:r w:rsidR="003F1912" w:rsidRPr="003E3613">
        <w:rPr>
          <w:rFonts w:ascii="Book Antiqua" w:hAnsi="Book Antiqua"/>
          <w:bCs/>
          <w:iCs/>
          <w:sz w:val="23"/>
          <w:szCs w:val="23"/>
          <w:lang w:val="en-GB"/>
        </w:rPr>
        <w:t xml:space="preserve">staff </w:t>
      </w:r>
      <w:r w:rsidR="00ED21A1" w:rsidRPr="003E3613">
        <w:rPr>
          <w:rFonts w:ascii="Book Antiqua" w:hAnsi="Book Antiqua"/>
          <w:bCs/>
          <w:iCs/>
          <w:sz w:val="23"/>
          <w:szCs w:val="23"/>
          <w:lang w:val="en-GB"/>
        </w:rPr>
        <w:t>must</w:t>
      </w:r>
      <w:r w:rsidR="00CA1AC3" w:rsidRPr="003E3613">
        <w:rPr>
          <w:rFonts w:ascii="Book Antiqua" w:hAnsi="Book Antiqua"/>
          <w:bCs/>
          <w:iCs/>
          <w:sz w:val="23"/>
          <w:szCs w:val="23"/>
          <w:lang w:val="en-GB"/>
        </w:rPr>
        <w:t xml:space="preserve"> participate in this training as well</w:t>
      </w:r>
      <w:r w:rsidR="000E2951" w:rsidRPr="003E3613">
        <w:rPr>
          <w:rFonts w:ascii="Book Antiqua" w:hAnsi="Book Antiqua"/>
          <w:bCs/>
          <w:iCs/>
          <w:sz w:val="23"/>
          <w:szCs w:val="23"/>
          <w:lang w:val="en-GB"/>
        </w:rPr>
        <w:t>, in order to carry out more effectively their duties set out by Government Decree No. 354/2012. (XII.13) on the identification order of victims of trafficking in human beings</w:t>
      </w:r>
      <w:r w:rsidR="00CA1AC3" w:rsidRPr="003E3613">
        <w:rPr>
          <w:rFonts w:ascii="Book Antiqua" w:hAnsi="Book Antiqua"/>
          <w:bCs/>
          <w:iCs/>
          <w:sz w:val="23"/>
          <w:szCs w:val="23"/>
          <w:lang w:val="en-GB"/>
        </w:rPr>
        <w:t xml:space="preserve">. In addition, a summary of relevant knowledge has been prepared and handed out for the staff. The </w:t>
      </w:r>
      <w:r w:rsidR="007F1665" w:rsidRPr="003E3613">
        <w:rPr>
          <w:rFonts w:ascii="Book Antiqua" w:hAnsi="Book Antiqua"/>
          <w:iCs/>
          <w:sz w:val="23"/>
          <w:szCs w:val="23"/>
          <w:lang w:val="en-GB"/>
        </w:rPr>
        <w:t>National Directorate-General for Aliens Policing</w:t>
      </w:r>
      <w:r w:rsidR="007F1665" w:rsidRPr="003E3613">
        <w:rPr>
          <w:rFonts w:ascii="Cambria" w:hAnsi="Cambria"/>
          <w:color w:val="000000"/>
          <w:lang w:val="en-GB"/>
        </w:rPr>
        <w:t xml:space="preserve"> </w:t>
      </w:r>
      <w:r w:rsidR="00CA1AC3" w:rsidRPr="003E3613">
        <w:rPr>
          <w:rFonts w:ascii="Book Antiqua" w:hAnsi="Book Antiqua"/>
          <w:bCs/>
          <w:iCs/>
          <w:sz w:val="23"/>
          <w:szCs w:val="23"/>
          <w:lang w:val="en-GB"/>
        </w:rPr>
        <w:t xml:space="preserve">started cooperation with the </w:t>
      </w:r>
      <w:r w:rsidR="009B4B1D" w:rsidRPr="003E3613">
        <w:rPr>
          <w:rFonts w:ascii="Book Antiqua" w:hAnsi="Book Antiqua"/>
          <w:bCs/>
          <w:iCs/>
          <w:sz w:val="23"/>
          <w:szCs w:val="23"/>
          <w:lang w:val="en-GB"/>
        </w:rPr>
        <w:t xml:space="preserve">International </w:t>
      </w:r>
      <w:r w:rsidR="00BD0A8B" w:rsidRPr="003E3613">
        <w:rPr>
          <w:rFonts w:ascii="Book Antiqua" w:hAnsi="Book Antiqua"/>
          <w:bCs/>
          <w:iCs/>
          <w:sz w:val="23"/>
          <w:szCs w:val="23"/>
          <w:lang w:val="en-GB"/>
        </w:rPr>
        <w:t>Organisation</w:t>
      </w:r>
      <w:r w:rsidR="009B4B1D" w:rsidRPr="003E3613">
        <w:rPr>
          <w:rFonts w:ascii="Book Antiqua" w:hAnsi="Book Antiqua"/>
          <w:bCs/>
          <w:iCs/>
          <w:sz w:val="23"/>
          <w:szCs w:val="23"/>
          <w:lang w:val="en-GB"/>
        </w:rPr>
        <w:t xml:space="preserve"> for Migration (</w:t>
      </w:r>
      <w:r w:rsidR="00CA1AC3" w:rsidRPr="003E3613">
        <w:rPr>
          <w:rFonts w:ascii="Book Antiqua" w:hAnsi="Book Antiqua"/>
          <w:bCs/>
          <w:iCs/>
          <w:sz w:val="23"/>
          <w:szCs w:val="23"/>
          <w:lang w:val="en-GB"/>
        </w:rPr>
        <w:t>IOM</w:t>
      </w:r>
      <w:r w:rsidR="009B4B1D" w:rsidRPr="003E3613">
        <w:rPr>
          <w:rFonts w:ascii="Book Antiqua" w:hAnsi="Book Antiqua"/>
          <w:bCs/>
          <w:iCs/>
          <w:sz w:val="23"/>
          <w:szCs w:val="23"/>
          <w:lang w:val="en-GB"/>
        </w:rPr>
        <w:t>)</w:t>
      </w:r>
      <w:r w:rsidR="00CA1AC3" w:rsidRPr="003E3613">
        <w:rPr>
          <w:rFonts w:ascii="Book Antiqua" w:hAnsi="Book Antiqua"/>
          <w:bCs/>
          <w:iCs/>
          <w:sz w:val="23"/>
          <w:szCs w:val="23"/>
          <w:lang w:val="en-GB"/>
        </w:rPr>
        <w:t xml:space="preserve"> in order to provide special training for the personnel of the transit zones on the rights of the child, particularly who are affected by the migration crisis, and also trafficking in human beings.</w:t>
      </w:r>
    </w:p>
    <w:p w14:paraId="44793209" w14:textId="77777777" w:rsidR="00CA1AC3" w:rsidRPr="003E3613" w:rsidRDefault="00CA1AC3" w:rsidP="00204696">
      <w:pPr>
        <w:spacing w:after="0"/>
        <w:jc w:val="both"/>
        <w:rPr>
          <w:rFonts w:ascii="Book Antiqua" w:hAnsi="Book Antiqua"/>
          <w:bCs/>
          <w:iCs/>
          <w:sz w:val="23"/>
          <w:szCs w:val="23"/>
          <w:lang w:val="en-GB"/>
        </w:rPr>
      </w:pPr>
    </w:p>
    <w:p w14:paraId="36398737" w14:textId="77777777" w:rsidR="00660031" w:rsidRDefault="00934762"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Police</w:t>
      </w:r>
      <w:r w:rsidR="00CA1AC3" w:rsidRPr="003E3613">
        <w:rPr>
          <w:rFonts w:ascii="Book Antiqua" w:hAnsi="Book Antiqua"/>
          <w:bCs/>
          <w:iCs/>
          <w:sz w:val="23"/>
          <w:szCs w:val="23"/>
          <w:lang w:val="en-GB"/>
        </w:rPr>
        <w:t xml:space="preserve"> personnel serving in the transit zone have participated in psychological, tactical and intercultural training that greatly contributes to the recognition and proper handling of vulnerable persons and their situations. The </w:t>
      </w:r>
      <w:r w:rsidR="000E2951" w:rsidRPr="003E3613">
        <w:rPr>
          <w:rFonts w:ascii="Book Antiqua" w:hAnsi="Book Antiqua"/>
          <w:bCs/>
          <w:iCs/>
          <w:sz w:val="23"/>
          <w:szCs w:val="23"/>
          <w:lang w:val="en-GB"/>
        </w:rPr>
        <w:t xml:space="preserve">constantly provided adequate </w:t>
      </w:r>
      <w:r w:rsidR="00CA1AC3" w:rsidRPr="003E3613">
        <w:rPr>
          <w:rFonts w:ascii="Book Antiqua" w:hAnsi="Book Antiqua"/>
          <w:bCs/>
          <w:iCs/>
          <w:sz w:val="23"/>
          <w:szCs w:val="23"/>
          <w:lang w:val="en-GB"/>
        </w:rPr>
        <w:t xml:space="preserve">briefing of </w:t>
      </w:r>
    </w:p>
    <w:p w14:paraId="57A868E0" w14:textId="77777777" w:rsidR="00660031" w:rsidRDefault="00660031">
      <w:pPr>
        <w:rPr>
          <w:rFonts w:ascii="Book Antiqua" w:hAnsi="Book Antiqua"/>
          <w:bCs/>
          <w:iCs/>
          <w:sz w:val="23"/>
          <w:szCs w:val="23"/>
          <w:lang w:val="en-GB"/>
        </w:rPr>
      </w:pPr>
      <w:r>
        <w:rPr>
          <w:rFonts w:ascii="Book Antiqua" w:hAnsi="Book Antiqua"/>
          <w:bCs/>
          <w:iCs/>
          <w:sz w:val="23"/>
          <w:szCs w:val="23"/>
          <w:lang w:val="en-GB"/>
        </w:rPr>
        <w:br w:type="page"/>
      </w:r>
    </w:p>
    <w:p w14:paraId="78815A09" w14:textId="58051FF9" w:rsidR="00CA1AC3" w:rsidRPr="003E3613" w:rsidRDefault="00CA1AC3"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lastRenderedPageBreak/>
        <w:t xml:space="preserve">the </w:t>
      </w:r>
      <w:r w:rsidR="000E2951" w:rsidRPr="003E3613">
        <w:rPr>
          <w:rFonts w:ascii="Book Antiqua" w:hAnsi="Book Antiqua"/>
          <w:bCs/>
          <w:iCs/>
          <w:sz w:val="23"/>
          <w:szCs w:val="23"/>
          <w:lang w:val="en-GB"/>
        </w:rPr>
        <w:t xml:space="preserve">officials carrying out their duties in the transit zone </w:t>
      </w:r>
      <w:r w:rsidRPr="003E3613">
        <w:rPr>
          <w:rFonts w:ascii="Book Antiqua" w:hAnsi="Book Antiqua"/>
          <w:bCs/>
          <w:iCs/>
          <w:sz w:val="23"/>
          <w:szCs w:val="23"/>
          <w:lang w:val="en-GB"/>
        </w:rPr>
        <w:t>contains the requirements of performing tasks in a multicultural environment and the instructions for appropriate behaviour in such an environment.</w:t>
      </w:r>
      <w:r w:rsidR="00100ACA" w:rsidRPr="003E3613">
        <w:rPr>
          <w:rFonts w:ascii="Book Antiqua" w:hAnsi="Book Antiqua"/>
          <w:bCs/>
          <w:iCs/>
          <w:sz w:val="23"/>
          <w:szCs w:val="23"/>
          <w:lang w:val="en-GB"/>
        </w:rPr>
        <w:t xml:space="preserve"> </w:t>
      </w:r>
      <w:r w:rsidRPr="003E3613">
        <w:rPr>
          <w:rFonts w:ascii="Book Antiqua" w:hAnsi="Book Antiqua"/>
          <w:bCs/>
          <w:iCs/>
          <w:sz w:val="23"/>
          <w:szCs w:val="23"/>
          <w:lang w:val="en-GB"/>
        </w:rPr>
        <w:t>Unaccompanied</w:t>
      </w:r>
      <w:r w:rsidR="00930A8A" w:rsidRPr="003E3613">
        <w:rPr>
          <w:rFonts w:ascii="Book Antiqua" w:hAnsi="Book Antiqua"/>
          <w:bCs/>
          <w:iCs/>
          <w:sz w:val="23"/>
          <w:szCs w:val="23"/>
          <w:lang w:val="en-GB"/>
        </w:rPr>
        <w:t xml:space="preserve"> minors</w:t>
      </w:r>
      <w:r w:rsidRPr="003E3613">
        <w:rPr>
          <w:rFonts w:ascii="Book Antiqua" w:hAnsi="Book Antiqua"/>
          <w:bCs/>
          <w:iCs/>
          <w:sz w:val="23"/>
          <w:szCs w:val="23"/>
          <w:lang w:val="en-GB"/>
        </w:rPr>
        <w:t xml:space="preserve"> between the age of 14 and 18 are also placed in</w:t>
      </w:r>
      <w:r w:rsidR="00930A8A" w:rsidRPr="003E3613">
        <w:rPr>
          <w:rFonts w:ascii="Book Antiqua" w:hAnsi="Book Antiqua"/>
          <w:bCs/>
          <w:iCs/>
          <w:sz w:val="23"/>
          <w:szCs w:val="23"/>
          <w:lang w:val="en-GB"/>
        </w:rPr>
        <w:t xml:space="preserve"> the</w:t>
      </w:r>
      <w:r w:rsidRPr="003E3613">
        <w:rPr>
          <w:rFonts w:ascii="Book Antiqua" w:hAnsi="Book Antiqua"/>
          <w:bCs/>
          <w:iCs/>
          <w:sz w:val="23"/>
          <w:szCs w:val="23"/>
          <w:lang w:val="en-GB"/>
        </w:rPr>
        <w:t xml:space="preserve"> transit zones during a mass immigration crisis</w:t>
      </w:r>
      <w:r w:rsidR="00930A8A" w:rsidRPr="003E3613">
        <w:rPr>
          <w:rFonts w:ascii="Book Antiqua" w:hAnsi="Book Antiqua"/>
          <w:bCs/>
          <w:iCs/>
          <w:sz w:val="23"/>
          <w:szCs w:val="23"/>
          <w:lang w:val="en-GB"/>
        </w:rPr>
        <w:t xml:space="preserve"> for the time of the asylum </w:t>
      </w:r>
      <w:r w:rsidRPr="003E3613">
        <w:rPr>
          <w:rFonts w:ascii="Book Antiqua" w:hAnsi="Book Antiqua"/>
          <w:bCs/>
          <w:iCs/>
          <w:sz w:val="23"/>
          <w:szCs w:val="23"/>
          <w:lang w:val="en-GB"/>
        </w:rPr>
        <w:t>proce</w:t>
      </w:r>
      <w:r w:rsidR="00930A8A" w:rsidRPr="003E3613">
        <w:rPr>
          <w:rFonts w:ascii="Book Antiqua" w:hAnsi="Book Antiqua"/>
          <w:bCs/>
          <w:iCs/>
          <w:sz w:val="23"/>
          <w:szCs w:val="23"/>
          <w:lang w:val="en-GB"/>
        </w:rPr>
        <w:t>dure</w:t>
      </w:r>
      <w:r w:rsidRPr="003E3613">
        <w:rPr>
          <w:rFonts w:ascii="Book Antiqua" w:hAnsi="Book Antiqua"/>
          <w:bCs/>
          <w:iCs/>
          <w:sz w:val="23"/>
          <w:szCs w:val="23"/>
          <w:lang w:val="en-GB"/>
        </w:rPr>
        <w:t xml:space="preserve">. </w:t>
      </w:r>
      <w:r w:rsidR="000E2951" w:rsidRPr="003E3613">
        <w:rPr>
          <w:rFonts w:ascii="Book Antiqua" w:hAnsi="Book Antiqua"/>
          <w:bCs/>
          <w:iCs/>
          <w:sz w:val="23"/>
          <w:szCs w:val="23"/>
          <w:lang w:val="en-GB"/>
        </w:rPr>
        <w:t xml:space="preserve">Five </w:t>
      </w:r>
      <w:r w:rsidRPr="003E3613">
        <w:rPr>
          <w:rFonts w:ascii="Book Antiqua" w:hAnsi="Book Antiqua"/>
          <w:bCs/>
          <w:iCs/>
          <w:sz w:val="23"/>
          <w:szCs w:val="23"/>
          <w:lang w:val="en-GB"/>
        </w:rPr>
        <w:t xml:space="preserve">meals a day for those between the age of 14 and 18, as well as their clothing, health care, education, and religious practice are also provided in </w:t>
      </w:r>
      <w:r w:rsidR="00010DEA" w:rsidRPr="003E3613">
        <w:rPr>
          <w:rFonts w:ascii="Book Antiqua" w:hAnsi="Book Antiqua"/>
          <w:bCs/>
          <w:iCs/>
          <w:sz w:val="23"/>
          <w:szCs w:val="23"/>
          <w:lang w:val="en-GB"/>
        </w:rPr>
        <w:t xml:space="preserve">the </w:t>
      </w:r>
      <w:r w:rsidRPr="003E3613">
        <w:rPr>
          <w:rFonts w:ascii="Book Antiqua" w:hAnsi="Book Antiqua"/>
          <w:bCs/>
          <w:iCs/>
          <w:sz w:val="23"/>
          <w:szCs w:val="23"/>
          <w:lang w:val="en-GB"/>
        </w:rPr>
        <w:t>transit zones. Children receive half a litre of milk or equivalent dairy products and fruits</w:t>
      </w:r>
      <w:r w:rsidR="00010DEA" w:rsidRPr="003E3613">
        <w:rPr>
          <w:rFonts w:ascii="Book Antiqua" w:hAnsi="Book Antiqua"/>
          <w:bCs/>
          <w:iCs/>
          <w:sz w:val="23"/>
          <w:szCs w:val="23"/>
          <w:lang w:val="en-GB"/>
        </w:rPr>
        <w:t xml:space="preserve"> per day</w:t>
      </w:r>
      <w:r w:rsidRPr="003E3613">
        <w:rPr>
          <w:rFonts w:ascii="Book Antiqua" w:hAnsi="Book Antiqua"/>
          <w:bCs/>
          <w:iCs/>
          <w:sz w:val="23"/>
          <w:szCs w:val="23"/>
          <w:lang w:val="en-GB"/>
        </w:rPr>
        <w:t>. Their supervision is provided by social workers who are present 24 hours a day.</w:t>
      </w:r>
      <w:r w:rsidR="000E2951" w:rsidRPr="003E3613">
        <w:rPr>
          <w:rFonts w:ascii="Book Antiqua" w:hAnsi="Book Antiqua"/>
          <w:bCs/>
          <w:iCs/>
          <w:sz w:val="23"/>
          <w:szCs w:val="23"/>
          <w:lang w:val="en-GB"/>
        </w:rPr>
        <w:t xml:space="preserve"> </w:t>
      </w:r>
      <w:r w:rsidR="004A0EFC" w:rsidRPr="003E3613">
        <w:rPr>
          <w:rFonts w:ascii="Book Antiqua" w:hAnsi="Book Antiqua"/>
          <w:bCs/>
          <w:iCs/>
          <w:sz w:val="23"/>
          <w:szCs w:val="23"/>
          <w:lang w:val="en-GB"/>
        </w:rPr>
        <w:t xml:space="preserve">In the case of unaccompanied minors under the age of 14, the asylum authority proceeds in accordance with the general rules and at the same time seeks the child protection authority for the appointment of a guardian. </w:t>
      </w:r>
      <w:r w:rsidR="00010DEA" w:rsidRPr="003E3613">
        <w:rPr>
          <w:rFonts w:ascii="Book Antiqua" w:hAnsi="Book Antiqua"/>
          <w:bCs/>
          <w:iCs/>
          <w:sz w:val="23"/>
          <w:szCs w:val="23"/>
          <w:lang w:val="en-GB"/>
        </w:rPr>
        <w:t xml:space="preserve">Unaccompanied minors </w:t>
      </w:r>
      <w:r w:rsidR="000E2951" w:rsidRPr="003E3613">
        <w:rPr>
          <w:rFonts w:ascii="Book Antiqua" w:hAnsi="Book Antiqua"/>
          <w:bCs/>
          <w:iCs/>
          <w:sz w:val="23"/>
          <w:szCs w:val="23"/>
          <w:lang w:val="en-GB"/>
        </w:rPr>
        <w:t>under the age of 14 are placed in special care institutions inside the country where they get five meals a day.</w:t>
      </w:r>
    </w:p>
    <w:p w14:paraId="1567F226" w14:textId="77777777" w:rsidR="00934762" w:rsidRPr="003E3613" w:rsidRDefault="00934762" w:rsidP="00204696">
      <w:pPr>
        <w:spacing w:after="0"/>
        <w:jc w:val="both"/>
        <w:rPr>
          <w:rFonts w:ascii="Book Antiqua" w:hAnsi="Book Antiqua"/>
          <w:bCs/>
          <w:iCs/>
          <w:sz w:val="23"/>
          <w:szCs w:val="23"/>
          <w:lang w:val="en-GB"/>
        </w:rPr>
      </w:pPr>
    </w:p>
    <w:p w14:paraId="4FC15E6A" w14:textId="77777777" w:rsidR="00934762" w:rsidRPr="003E3613" w:rsidRDefault="00934762"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In September 2018, a social worker from each of the transit zones of Röszke and Tompa and an employee of the Litigation Unit of the Immigration and Asylum Office</w:t>
      </w:r>
      <w:r w:rsidR="000E0408" w:rsidRPr="003E3613">
        <w:rPr>
          <w:rFonts w:ascii="Book Antiqua" w:hAnsi="Book Antiqua"/>
          <w:bCs/>
          <w:iCs/>
          <w:sz w:val="23"/>
          <w:szCs w:val="23"/>
          <w:lang w:val="en-GB"/>
        </w:rPr>
        <w:t xml:space="preserve"> (now: National Directorate-General for Aliens Policing)</w:t>
      </w:r>
      <w:r w:rsidRPr="003E3613">
        <w:rPr>
          <w:rFonts w:ascii="Book Antiqua" w:hAnsi="Book Antiqua"/>
          <w:bCs/>
          <w:iCs/>
          <w:sz w:val="23"/>
          <w:szCs w:val="23"/>
          <w:lang w:val="en-GB"/>
        </w:rPr>
        <w:t xml:space="preserve"> took part in the training of the IOM on health related issues concerning refugees. This was the first part of the IOM’s project, within the framework of which the training of the social workers of the </w:t>
      </w:r>
      <w:r w:rsidR="00AF7614" w:rsidRPr="003E3613">
        <w:rPr>
          <w:rFonts w:ascii="Book Antiqua" w:hAnsi="Book Antiqua"/>
          <w:bCs/>
          <w:iCs/>
          <w:sz w:val="23"/>
          <w:szCs w:val="23"/>
          <w:lang w:val="en-GB"/>
        </w:rPr>
        <w:t xml:space="preserve">National Directorate-General for Aliens Policing </w:t>
      </w:r>
      <w:r w:rsidRPr="003E3613">
        <w:rPr>
          <w:rFonts w:ascii="Book Antiqua" w:hAnsi="Book Antiqua"/>
          <w:bCs/>
          <w:iCs/>
          <w:sz w:val="23"/>
          <w:szCs w:val="23"/>
          <w:lang w:val="en-GB"/>
        </w:rPr>
        <w:t>can take place in 2019.</w:t>
      </w:r>
    </w:p>
    <w:p w14:paraId="484FF4B4" w14:textId="77777777" w:rsidR="000E2951" w:rsidRPr="003E3613" w:rsidRDefault="000E2951" w:rsidP="00204696">
      <w:pPr>
        <w:spacing w:after="0"/>
        <w:jc w:val="both"/>
        <w:rPr>
          <w:rFonts w:ascii="Book Antiqua" w:hAnsi="Book Antiqua"/>
          <w:bCs/>
          <w:iCs/>
          <w:sz w:val="23"/>
          <w:szCs w:val="23"/>
          <w:lang w:val="en-GB"/>
        </w:rPr>
      </w:pPr>
    </w:p>
    <w:p w14:paraId="3E6B8252" w14:textId="77777777" w:rsidR="0098243C" w:rsidRPr="003E3613" w:rsidRDefault="0098243C"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 xml:space="preserve">In the case of minors between the ages of 14 and 18, the best interest of the child is to provide them the possibility to be able to fully exercise their rights during the asylum procedure. Given that minors between 14 and 18 years of age have legal and procedural capacity in the asylum procedure, they may exercise their rights and shall </w:t>
      </w:r>
      <w:r w:rsidR="00522CE5" w:rsidRPr="003E3613">
        <w:rPr>
          <w:rFonts w:ascii="Book Antiqua" w:hAnsi="Book Antiqua"/>
          <w:bCs/>
          <w:iCs/>
          <w:sz w:val="23"/>
          <w:szCs w:val="23"/>
          <w:lang w:val="en-GB"/>
        </w:rPr>
        <w:t>fulfil</w:t>
      </w:r>
      <w:r w:rsidRPr="003E3613">
        <w:rPr>
          <w:rFonts w:ascii="Book Antiqua" w:hAnsi="Book Antiqua"/>
          <w:bCs/>
          <w:iCs/>
          <w:sz w:val="23"/>
          <w:szCs w:val="23"/>
          <w:lang w:val="en-GB"/>
        </w:rPr>
        <w:t xml:space="preserve"> their obligations on their own. Due to their age, however, involvement of a legal representative or, in the case of an unaccompanied minor, appointment of a guardian provides further procedural guarantees in accordance with national law.</w:t>
      </w:r>
    </w:p>
    <w:p w14:paraId="3D7350F7" w14:textId="77777777" w:rsidR="00010AA7" w:rsidRPr="003E3613" w:rsidRDefault="00010AA7" w:rsidP="00204696">
      <w:pPr>
        <w:spacing w:after="0"/>
        <w:jc w:val="both"/>
        <w:rPr>
          <w:rFonts w:ascii="Book Antiqua" w:hAnsi="Book Antiqua"/>
          <w:bCs/>
          <w:iCs/>
          <w:sz w:val="23"/>
          <w:szCs w:val="23"/>
          <w:lang w:val="en-GB"/>
        </w:rPr>
      </w:pPr>
    </w:p>
    <w:p w14:paraId="0BF5F105" w14:textId="77777777" w:rsidR="0098243C" w:rsidRPr="003E3613" w:rsidRDefault="0098243C"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In our view, the separation of unaccompanied minors under the age of 14 from those between the ages of 14 and 18 and the placement of the latter group in the transit zone protects them against sexual exploitation and abuse</w:t>
      </w:r>
      <w:r w:rsidR="00102A0B" w:rsidRPr="003E3613">
        <w:rPr>
          <w:rFonts w:ascii="Book Antiqua" w:hAnsi="Book Antiqua"/>
          <w:bCs/>
          <w:iCs/>
          <w:sz w:val="23"/>
          <w:szCs w:val="23"/>
          <w:lang w:val="en-GB"/>
        </w:rPr>
        <w:t>.</w:t>
      </w:r>
      <w:r w:rsidRPr="003E3613">
        <w:rPr>
          <w:rFonts w:ascii="Book Antiqua" w:hAnsi="Book Antiqua"/>
          <w:bCs/>
          <w:iCs/>
          <w:sz w:val="23"/>
          <w:szCs w:val="23"/>
          <w:lang w:val="en-GB"/>
        </w:rPr>
        <w:t xml:space="preserve"> </w:t>
      </w:r>
      <w:r w:rsidR="00102A0B" w:rsidRPr="003E3613">
        <w:rPr>
          <w:rFonts w:ascii="Book Antiqua" w:hAnsi="Book Antiqua"/>
          <w:bCs/>
          <w:iCs/>
          <w:sz w:val="23"/>
          <w:szCs w:val="23"/>
          <w:lang w:val="en-GB"/>
        </w:rPr>
        <w:t>The</w:t>
      </w:r>
      <w:r w:rsidRPr="003E3613">
        <w:rPr>
          <w:rFonts w:ascii="Book Antiqua" w:hAnsi="Book Antiqua"/>
          <w:bCs/>
          <w:iCs/>
          <w:sz w:val="23"/>
          <w:szCs w:val="23"/>
          <w:lang w:val="en-GB"/>
        </w:rPr>
        <w:t xml:space="preserve"> children </w:t>
      </w:r>
      <w:r w:rsidR="00102A0B" w:rsidRPr="003E3613">
        <w:rPr>
          <w:rFonts w:ascii="Book Antiqua" w:hAnsi="Book Antiqua"/>
          <w:bCs/>
          <w:iCs/>
          <w:sz w:val="23"/>
          <w:szCs w:val="23"/>
          <w:lang w:val="en-GB"/>
        </w:rPr>
        <w:t xml:space="preserve">who are the most exposed to exploitation are the children </w:t>
      </w:r>
      <w:r w:rsidRPr="003E3613">
        <w:rPr>
          <w:rFonts w:ascii="Book Antiqua" w:hAnsi="Book Antiqua"/>
          <w:bCs/>
          <w:iCs/>
          <w:sz w:val="23"/>
          <w:szCs w:val="23"/>
          <w:lang w:val="en-GB"/>
        </w:rPr>
        <w:t xml:space="preserve">on route and </w:t>
      </w:r>
      <w:r w:rsidR="00102A0B" w:rsidRPr="003E3613">
        <w:rPr>
          <w:rFonts w:ascii="Book Antiqua" w:hAnsi="Book Antiqua"/>
          <w:bCs/>
          <w:iCs/>
          <w:sz w:val="23"/>
          <w:szCs w:val="23"/>
          <w:lang w:val="en-GB"/>
        </w:rPr>
        <w:t xml:space="preserve">those </w:t>
      </w:r>
      <w:r w:rsidRPr="003E3613">
        <w:rPr>
          <w:rFonts w:ascii="Book Antiqua" w:hAnsi="Book Antiqua"/>
          <w:bCs/>
          <w:iCs/>
          <w:sz w:val="23"/>
          <w:szCs w:val="23"/>
          <w:lang w:val="en-GB"/>
        </w:rPr>
        <w:t xml:space="preserve">who can leave the open child protection </w:t>
      </w:r>
      <w:r w:rsidR="00102A0B" w:rsidRPr="003E3613">
        <w:rPr>
          <w:rFonts w:ascii="Book Antiqua" w:hAnsi="Book Antiqua"/>
          <w:bCs/>
          <w:iCs/>
          <w:sz w:val="23"/>
          <w:szCs w:val="23"/>
          <w:lang w:val="en-GB"/>
        </w:rPr>
        <w:t xml:space="preserve">facilities </w:t>
      </w:r>
      <w:r w:rsidRPr="003E3613">
        <w:rPr>
          <w:rFonts w:ascii="Book Antiqua" w:hAnsi="Book Antiqua"/>
          <w:bCs/>
          <w:iCs/>
          <w:sz w:val="23"/>
          <w:szCs w:val="23"/>
          <w:lang w:val="en-GB"/>
        </w:rPr>
        <w:t>on their own (between 14 to 18 years of age)</w:t>
      </w:r>
      <w:r w:rsidR="00102A0B" w:rsidRPr="003E3613">
        <w:rPr>
          <w:rFonts w:ascii="Book Antiqua" w:hAnsi="Book Antiqua"/>
          <w:bCs/>
          <w:iCs/>
          <w:sz w:val="23"/>
          <w:szCs w:val="23"/>
          <w:lang w:val="en-GB"/>
        </w:rPr>
        <w:t>.</w:t>
      </w:r>
    </w:p>
    <w:p w14:paraId="752C05C2" w14:textId="77777777" w:rsidR="00CA1AC3" w:rsidRPr="003E3613" w:rsidRDefault="00CA1AC3" w:rsidP="00204696">
      <w:pPr>
        <w:spacing w:after="0"/>
        <w:jc w:val="both"/>
        <w:rPr>
          <w:rFonts w:ascii="Book Antiqua" w:hAnsi="Book Antiqua"/>
          <w:bCs/>
          <w:iCs/>
          <w:sz w:val="23"/>
          <w:szCs w:val="23"/>
          <w:lang w:val="en-GB"/>
        </w:rPr>
      </w:pPr>
    </w:p>
    <w:p w14:paraId="34E5E57A" w14:textId="77777777" w:rsidR="00167196" w:rsidRPr="003E3613" w:rsidRDefault="00167196"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In the framework of the child protection professional service, and under the Child Protection Act, unaccompanied minors are also provided with full home care in accordance with the UN Convention on the Rights of the Child. This provision includes, among other things, the provision of access to basic health care, special care, education, development, psychological support, access to useful and cultural leisure time, in addition to providing accommodation, meals, pocket money and clothing at the same level as for children of Hungarian nationality, but taking cultural and religious differences into account, for example concerning meals.</w:t>
      </w:r>
    </w:p>
    <w:p w14:paraId="72A158DA" w14:textId="77777777" w:rsidR="00010AA7" w:rsidRPr="003E3613" w:rsidRDefault="00010AA7" w:rsidP="00204696">
      <w:pPr>
        <w:spacing w:after="0"/>
        <w:jc w:val="both"/>
        <w:rPr>
          <w:rFonts w:ascii="Book Antiqua" w:hAnsi="Book Antiqua"/>
          <w:bCs/>
          <w:iCs/>
          <w:sz w:val="23"/>
          <w:szCs w:val="23"/>
          <w:lang w:val="en-GB"/>
        </w:rPr>
      </w:pPr>
    </w:p>
    <w:p w14:paraId="32DA93BD" w14:textId="05CE6661" w:rsidR="00167196" w:rsidRPr="003E3613" w:rsidRDefault="00167196"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lastRenderedPageBreak/>
        <w:t>According to the statutory provision</w:t>
      </w:r>
      <w:r w:rsidR="008F04DF" w:rsidRPr="003E3613">
        <w:rPr>
          <w:rFonts w:ascii="Book Antiqua" w:hAnsi="Book Antiqua"/>
          <w:bCs/>
          <w:iCs/>
          <w:sz w:val="23"/>
          <w:szCs w:val="23"/>
          <w:lang w:val="en-GB"/>
        </w:rPr>
        <w:t>s</w:t>
      </w:r>
      <w:r w:rsidRPr="003E3613">
        <w:rPr>
          <w:rFonts w:ascii="Book Antiqua" w:hAnsi="Book Antiqua"/>
          <w:bCs/>
          <w:iCs/>
          <w:sz w:val="23"/>
          <w:szCs w:val="23"/>
          <w:lang w:val="en-GB"/>
        </w:rPr>
        <w:t>, the Károlyi István Children's Centre (hereinafter referred to as Children's Centre), which provides home-care services for children, provide</w:t>
      </w:r>
      <w:r w:rsidR="00100ACA" w:rsidRPr="003E3613">
        <w:rPr>
          <w:rFonts w:ascii="Book Antiqua" w:hAnsi="Book Antiqua"/>
          <w:bCs/>
          <w:iCs/>
          <w:sz w:val="23"/>
          <w:szCs w:val="23"/>
          <w:lang w:val="en-GB"/>
        </w:rPr>
        <w:t>d</w:t>
      </w:r>
      <w:r w:rsidRPr="003E3613">
        <w:rPr>
          <w:rFonts w:ascii="Book Antiqua" w:hAnsi="Book Antiqua"/>
          <w:bCs/>
          <w:iCs/>
          <w:sz w:val="23"/>
          <w:szCs w:val="23"/>
          <w:lang w:val="en-GB"/>
        </w:rPr>
        <w:t xml:space="preserve"> psychosocial and psychotherapeutic assistance on </w:t>
      </w:r>
      <w:r w:rsidR="00412739" w:rsidRPr="003E3613">
        <w:rPr>
          <w:rFonts w:ascii="Book Antiqua" w:hAnsi="Book Antiqua"/>
          <w:bCs/>
          <w:iCs/>
          <w:sz w:val="23"/>
          <w:szCs w:val="23"/>
          <w:lang w:val="en-GB"/>
        </w:rPr>
        <w:t xml:space="preserve">several </w:t>
      </w:r>
      <w:r w:rsidRPr="003E3613">
        <w:rPr>
          <w:rFonts w:ascii="Book Antiqua" w:hAnsi="Book Antiqua"/>
          <w:bCs/>
          <w:iCs/>
          <w:sz w:val="23"/>
          <w:szCs w:val="23"/>
          <w:lang w:val="en-GB"/>
        </w:rPr>
        <w:t xml:space="preserve">occasions </w:t>
      </w:r>
      <w:r w:rsidR="00412739" w:rsidRPr="003E3613">
        <w:rPr>
          <w:rFonts w:ascii="Book Antiqua" w:hAnsi="Book Antiqua"/>
          <w:bCs/>
          <w:iCs/>
          <w:sz w:val="23"/>
          <w:szCs w:val="23"/>
          <w:lang w:val="en-GB"/>
        </w:rPr>
        <w:t xml:space="preserve">per </w:t>
      </w:r>
      <w:r w:rsidRPr="003E3613">
        <w:rPr>
          <w:rFonts w:ascii="Book Antiqua" w:hAnsi="Book Antiqua"/>
          <w:bCs/>
          <w:iCs/>
          <w:sz w:val="23"/>
          <w:szCs w:val="23"/>
          <w:lang w:val="en-GB"/>
        </w:rPr>
        <w:t xml:space="preserve">week, </w:t>
      </w:r>
      <w:r w:rsidR="00412739" w:rsidRPr="003E3613">
        <w:rPr>
          <w:rFonts w:ascii="Book Antiqua" w:hAnsi="Book Antiqua"/>
          <w:bCs/>
          <w:iCs/>
          <w:sz w:val="23"/>
          <w:szCs w:val="23"/>
          <w:lang w:val="en-GB"/>
        </w:rPr>
        <w:t xml:space="preserve">carried out </w:t>
      </w:r>
      <w:r w:rsidRPr="003E3613">
        <w:rPr>
          <w:rFonts w:ascii="Book Antiqua" w:hAnsi="Book Antiqua"/>
          <w:bCs/>
          <w:iCs/>
          <w:sz w:val="23"/>
          <w:szCs w:val="23"/>
          <w:lang w:val="en-GB"/>
        </w:rPr>
        <w:t xml:space="preserve">by the institution's clinical psychologists and by psychiatrists and psychologists </w:t>
      </w:r>
      <w:r w:rsidR="00412739" w:rsidRPr="003E3613">
        <w:rPr>
          <w:rFonts w:ascii="Book Antiqua" w:hAnsi="Book Antiqua"/>
          <w:bCs/>
          <w:iCs/>
          <w:sz w:val="23"/>
          <w:szCs w:val="23"/>
          <w:lang w:val="en-GB"/>
        </w:rPr>
        <w:t xml:space="preserve">coming from </w:t>
      </w:r>
      <w:r w:rsidR="00102A0B" w:rsidRPr="003E3613">
        <w:rPr>
          <w:rFonts w:ascii="Book Antiqua" w:hAnsi="Book Antiqua"/>
          <w:bCs/>
          <w:iCs/>
          <w:sz w:val="23"/>
          <w:szCs w:val="23"/>
          <w:lang w:val="en-GB"/>
        </w:rPr>
        <w:t xml:space="preserve">charitable </w:t>
      </w:r>
      <w:r w:rsidR="00522CE5" w:rsidRPr="003E3613">
        <w:rPr>
          <w:rFonts w:ascii="Book Antiqua" w:hAnsi="Book Antiqua"/>
          <w:bCs/>
          <w:iCs/>
          <w:sz w:val="23"/>
          <w:szCs w:val="23"/>
          <w:lang w:val="en-GB"/>
        </w:rPr>
        <w:t>organisations</w:t>
      </w:r>
      <w:r w:rsidR="00102A0B" w:rsidRPr="003E3613">
        <w:rPr>
          <w:rFonts w:ascii="Book Antiqua" w:hAnsi="Book Antiqua"/>
          <w:bCs/>
          <w:iCs/>
          <w:sz w:val="23"/>
          <w:szCs w:val="23"/>
          <w:lang w:val="en-GB"/>
        </w:rPr>
        <w:t>.</w:t>
      </w:r>
    </w:p>
    <w:p w14:paraId="06628CE9" w14:textId="77777777" w:rsidR="00010AA7" w:rsidRPr="003E3613" w:rsidRDefault="00010AA7" w:rsidP="00204696">
      <w:pPr>
        <w:spacing w:after="0"/>
        <w:jc w:val="both"/>
        <w:rPr>
          <w:rFonts w:ascii="Book Antiqua" w:hAnsi="Book Antiqua"/>
          <w:bCs/>
          <w:iCs/>
          <w:sz w:val="23"/>
          <w:szCs w:val="23"/>
          <w:lang w:val="en-GB"/>
        </w:rPr>
      </w:pPr>
    </w:p>
    <w:p w14:paraId="0DC4728E" w14:textId="77777777" w:rsidR="0016567F" w:rsidRPr="003E3613" w:rsidRDefault="00167196"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During children's reception at the Children's Centre the status of the child is assessed in order to identify whether they need assistance and also the children themselves can indicate if they need any special care</w:t>
      </w:r>
      <w:r w:rsidR="0016567F" w:rsidRPr="003E3613">
        <w:rPr>
          <w:rFonts w:ascii="Book Antiqua" w:hAnsi="Book Antiqua"/>
          <w:bCs/>
          <w:iCs/>
          <w:sz w:val="23"/>
          <w:szCs w:val="23"/>
          <w:lang w:val="en-GB"/>
        </w:rPr>
        <w:t>.</w:t>
      </w:r>
    </w:p>
    <w:p w14:paraId="446B75FF" w14:textId="77777777" w:rsidR="00CA1AC3" w:rsidRPr="003E3613" w:rsidRDefault="00CA1AC3" w:rsidP="00204696">
      <w:pPr>
        <w:spacing w:after="0"/>
        <w:jc w:val="both"/>
        <w:rPr>
          <w:rFonts w:ascii="Book Antiqua" w:hAnsi="Book Antiqua"/>
          <w:bCs/>
          <w:iCs/>
          <w:sz w:val="23"/>
          <w:szCs w:val="23"/>
          <w:lang w:val="en-GB"/>
        </w:rPr>
      </w:pPr>
    </w:p>
    <w:p w14:paraId="40841572" w14:textId="77777777" w:rsidR="00492C79" w:rsidRPr="003E3613" w:rsidRDefault="00492C79"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The Government is aiming to replace all outdated, large-capacity children's home institutions with small, family-oriented, child-centered residential homes. If the replacement of the Károlyi István Children's Center takes place within this framework, the care for unaccompanied minors and aftercare of young adults with migrant background is expected to take place in a smaller home-based institution, but with the same standard and professional content.</w:t>
      </w:r>
    </w:p>
    <w:p w14:paraId="26377DD3" w14:textId="77777777" w:rsidR="00492C79" w:rsidRPr="003E3613" w:rsidRDefault="00492C79" w:rsidP="00204696">
      <w:pPr>
        <w:spacing w:after="0"/>
        <w:jc w:val="both"/>
        <w:rPr>
          <w:rFonts w:ascii="Book Antiqua" w:hAnsi="Book Antiqua"/>
          <w:bCs/>
          <w:iCs/>
          <w:sz w:val="23"/>
          <w:szCs w:val="23"/>
          <w:lang w:val="en-GB"/>
        </w:rPr>
      </w:pPr>
    </w:p>
    <w:p w14:paraId="699A8B41" w14:textId="77777777" w:rsidR="00873350" w:rsidRPr="003E3613" w:rsidRDefault="00CA1AC3"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 xml:space="preserve">The requirements of the Asylum Procedures Directive are fully implemented in the Hungarian system since special guarantees apply </w:t>
      </w:r>
      <w:r w:rsidR="00EA4157" w:rsidRPr="003E3613">
        <w:rPr>
          <w:rFonts w:ascii="Book Antiqua" w:hAnsi="Book Antiqua"/>
          <w:bCs/>
          <w:iCs/>
          <w:sz w:val="23"/>
          <w:szCs w:val="23"/>
          <w:lang w:val="en-GB"/>
        </w:rPr>
        <w:t xml:space="preserve">to </w:t>
      </w:r>
      <w:r w:rsidRPr="003E3613">
        <w:rPr>
          <w:rFonts w:ascii="Book Antiqua" w:hAnsi="Book Antiqua"/>
          <w:bCs/>
          <w:iCs/>
          <w:sz w:val="23"/>
          <w:szCs w:val="23"/>
          <w:lang w:val="en-GB"/>
        </w:rPr>
        <w:t xml:space="preserve">unaccompanied minors requiring special </w:t>
      </w:r>
      <w:r w:rsidR="000E2951" w:rsidRPr="003E3613">
        <w:rPr>
          <w:rFonts w:ascii="Book Antiqua" w:hAnsi="Book Antiqua"/>
          <w:bCs/>
          <w:iCs/>
          <w:sz w:val="23"/>
          <w:szCs w:val="23"/>
          <w:lang w:val="en-GB"/>
        </w:rPr>
        <w:t>treatment</w:t>
      </w:r>
      <w:r w:rsidRPr="003E3613">
        <w:rPr>
          <w:rFonts w:ascii="Book Antiqua" w:hAnsi="Book Antiqua"/>
          <w:bCs/>
          <w:iCs/>
          <w:sz w:val="23"/>
          <w:szCs w:val="23"/>
          <w:lang w:val="en-GB"/>
        </w:rPr>
        <w:t>: minors of 14 to 18 years of age are placed in a special block for minors, and their legal repr</w:t>
      </w:r>
      <w:r w:rsidR="00383FE0" w:rsidRPr="003E3613">
        <w:rPr>
          <w:rFonts w:ascii="Book Antiqua" w:hAnsi="Book Antiqua"/>
          <w:bCs/>
          <w:iCs/>
          <w:sz w:val="23"/>
          <w:szCs w:val="23"/>
          <w:lang w:val="en-GB"/>
        </w:rPr>
        <w:t>esentation and the secondment of</w:t>
      </w:r>
      <w:r w:rsidRPr="003E3613">
        <w:rPr>
          <w:rFonts w:ascii="Book Antiqua" w:hAnsi="Book Antiqua"/>
          <w:bCs/>
          <w:iCs/>
          <w:sz w:val="23"/>
          <w:szCs w:val="23"/>
          <w:lang w:val="en-GB"/>
        </w:rPr>
        <w:t xml:space="preserve"> ad hoc guardians is further ensured.</w:t>
      </w:r>
    </w:p>
    <w:p w14:paraId="68DD31B9" w14:textId="77777777" w:rsidR="000E2951" w:rsidRPr="003E3613" w:rsidRDefault="000E2951" w:rsidP="00204696">
      <w:pPr>
        <w:spacing w:after="0"/>
        <w:jc w:val="both"/>
        <w:rPr>
          <w:rFonts w:ascii="Book Antiqua" w:hAnsi="Book Antiqua" w:cs="Times New Roman"/>
          <w:sz w:val="23"/>
          <w:szCs w:val="23"/>
          <w:lang w:val="en-GB"/>
        </w:rPr>
      </w:pPr>
    </w:p>
    <w:p w14:paraId="08C982BE" w14:textId="77777777" w:rsidR="00873350" w:rsidRPr="003E3613" w:rsidRDefault="000E2951"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In addition, unaccompanied minors in transit zones can continuously rely on the presence of social workers and psychological and psychiatric professional services and </w:t>
      </w:r>
      <w:r w:rsidR="00522CE5" w:rsidRPr="003E3613">
        <w:rPr>
          <w:rFonts w:ascii="Book Antiqua" w:hAnsi="Book Antiqua" w:cs="Times New Roman"/>
          <w:sz w:val="23"/>
          <w:szCs w:val="23"/>
          <w:lang w:val="en-GB"/>
        </w:rPr>
        <w:t>counselling</w:t>
      </w:r>
      <w:r w:rsidRPr="003E3613">
        <w:rPr>
          <w:rFonts w:ascii="Book Antiqua" w:hAnsi="Book Antiqua" w:cs="Times New Roman"/>
          <w:sz w:val="23"/>
          <w:szCs w:val="23"/>
          <w:lang w:val="en-GB"/>
        </w:rPr>
        <w:t xml:space="preserve">. With the support of the Asylum, Migration and Integration Fund, the Hungarian State provides special services to unaccompanied minors, in the framework of a project (e.g. games related to children's leisure time, tools to keep them occupied, interpretation services in multiple languages, especially for everyday communication). </w:t>
      </w:r>
    </w:p>
    <w:p w14:paraId="35A96227" w14:textId="77777777" w:rsidR="00CA1AC3" w:rsidRPr="003E3613" w:rsidRDefault="00CA1AC3" w:rsidP="00204696">
      <w:pPr>
        <w:spacing w:after="0"/>
        <w:jc w:val="both"/>
        <w:rPr>
          <w:rFonts w:ascii="Book Antiqua" w:hAnsi="Book Antiqua" w:cs="Times New Roman"/>
          <w:sz w:val="23"/>
          <w:szCs w:val="23"/>
          <w:lang w:val="en-GB"/>
        </w:rPr>
      </w:pPr>
    </w:p>
    <w:p w14:paraId="332B845A" w14:textId="77777777" w:rsidR="00660031" w:rsidRDefault="00CA1AC3"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Hungarian law fully provides that a minor applicant may use his or her mother tongue or the language he or she understands in an oral and written manner during the asylum procedure. In addition, the asylum authority must inform the applicant in writing of the procedural rights, obligations and legal consequences of the breach of the obligation, at the same time as the application is filed. The guarantee of the information is that the information and its acknowledgment must be recorded, but also that the representative of the UNHCR may participate in the asylum procedure.</w:t>
      </w:r>
      <w:r w:rsidR="00010AA7" w:rsidRPr="003E3613">
        <w:rPr>
          <w:rFonts w:ascii="Book Antiqua" w:hAnsi="Book Antiqua"/>
          <w:bCs/>
          <w:iCs/>
          <w:sz w:val="23"/>
          <w:szCs w:val="23"/>
          <w:lang w:val="en-GB"/>
        </w:rPr>
        <w:t xml:space="preserve"> </w:t>
      </w:r>
      <w:r w:rsidRPr="003E3613">
        <w:rPr>
          <w:rFonts w:ascii="Book Antiqua" w:hAnsi="Book Antiqua"/>
          <w:bCs/>
          <w:iCs/>
          <w:sz w:val="23"/>
          <w:szCs w:val="23"/>
          <w:lang w:val="en-GB"/>
        </w:rPr>
        <w:t>As from 1 January 2018, additional regulations were introduced by Hungary favouring minors in general and unaccompanied minors in specific. Among others, the asylum interviewer of minors must have the necessary knowledge and training for interviewing minors, meaning that the interviewer must have the quality of inspiring confidence and provide a child-</w:t>
      </w:r>
    </w:p>
    <w:p w14:paraId="2391586A" w14:textId="77777777" w:rsidR="00660031" w:rsidRDefault="00660031">
      <w:pPr>
        <w:rPr>
          <w:rFonts w:ascii="Book Antiqua" w:hAnsi="Book Antiqua"/>
          <w:bCs/>
          <w:iCs/>
          <w:sz w:val="23"/>
          <w:szCs w:val="23"/>
          <w:lang w:val="en-GB"/>
        </w:rPr>
      </w:pPr>
      <w:r>
        <w:rPr>
          <w:rFonts w:ascii="Book Antiqua" w:hAnsi="Book Antiqua"/>
          <w:bCs/>
          <w:iCs/>
          <w:sz w:val="23"/>
          <w:szCs w:val="23"/>
          <w:lang w:val="en-GB"/>
        </w:rPr>
        <w:br w:type="page"/>
      </w:r>
    </w:p>
    <w:p w14:paraId="3E2755AC" w14:textId="278139C1" w:rsidR="00CA1AC3" w:rsidRPr="003E3613" w:rsidRDefault="00CA1AC3"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lastRenderedPageBreak/>
        <w:t>friendly atmosphere, finding the perfect, professional interpreter who has relevant practice in communicating with children.</w:t>
      </w:r>
      <w:r w:rsidR="00356945" w:rsidRPr="003E3613">
        <w:rPr>
          <w:lang w:val="en-GB"/>
        </w:rPr>
        <w:t xml:space="preserve"> </w:t>
      </w:r>
      <w:r w:rsidR="00356945" w:rsidRPr="003E3613">
        <w:rPr>
          <w:rFonts w:ascii="Book Antiqua" w:hAnsi="Book Antiqua"/>
          <w:bCs/>
          <w:iCs/>
          <w:sz w:val="23"/>
          <w:szCs w:val="23"/>
          <w:lang w:val="en-GB"/>
        </w:rPr>
        <w:t>Although social legislation does not include a taxable list of tasks to be carried out by social workers, the relevant internal measure includes the provision of social care by the social workers. Many leisure activities are organi</w:t>
      </w:r>
      <w:r w:rsidR="00874824" w:rsidRPr="003E3613">
        <w:rPr>
          <w:rFonts w:ascii="Book Antiqua" w:hAnsi="Book Antiqua"/>
          <w:bCs/>
          <w:iCs/>
          <w:sz w:val="23"/>
          <w:szCs w:val="23"/>
          <w:lang w:val="en-GB"/>
        </w:rPr>
        <w:t>s</w:t>
      </w:r>
      <w:r w:rsidR="00356945" w:rsidRPr="003E3613">
        <w:rPr>
          <w:rFonts w:ascii="Book Antiqua" w:hAnsi="Book Antiqua"/>
          <w:bCs/>
          <w:iCs/>
          <w:sz w:val="23"/>
          <w:szCs w:val="23"/>
          <w:lang w:val="en-GB"/>
        </w:rPr>
        <w:t>ed for both adults and children. Sports equipment</w:t>
      </w:r>
      <w:r w:rsidR="00874824" w:rsidRPr="003E3613">
        <w:rPr>
          <w:rFonts w:ascii="Book Antiqua" w:hAnsi="Book Antiqua"/>
          <w:bCs/>
          <w:iCs/>
          <w:sz w:val="23"/>
          <w:szCs w:val="23"/>
          <w:lang w:val="en-GB"/>
        </w:rPr>
        <w:t>,</w:t>
      </w:r>
      <w:r w:rsidR="00356945" w:rsidRPr="003E3613">
        <w:rPr>
          <w:rFonts w:ascii="Book Antiqua" w:hAnsi="Book Antiqua"/>
          <w:bCs/>
          <w:iCs/>
          <w:sz w:val="23"/>
          <w:szCs w:val="23"/>
          <w:lang w:val="en-GB"/>
        </w:rPr>
        <w:t xml:space="preserve"> as well as</w:t>
      </w:r>
      <w:r w:rsidR="00874824" w:rsidRPr="003E3613">
        <w:rPr>
          <w:rFonts w:ascii="Book Antiqua" w:hAnsi="Book Antiqua"/>
          <w:bCs/>
          <w:iCs/>
          <w:sz w:val="23"/>
          <w:szCs w:val="23"/>
          <w:lang w:val="en-GB"/>
        </w:rPr>
        <w:t>,</w:t>
      </w:r>
      <w:r w:rsidR="00356945" w:rsidRPr="003E3613">
        <w:rPr>
          <w:rFonts w:ascii="Book Antiqua" w:hAnsi="Book Antiqua"/>
          <w:bCs/>
          <w:iCs/>
          <w:sz w:val="23"/>
          <w:szCs w:val="23"/>
          <w:lang w:val="en-GB"/>
        </w:rPr>
        <w:t xml:space="preserve"> outdoor games is also available for applicants. There is also a curriculum-related education for children in kindergarten and school system, where they are introduced to European and Hungarian culture. There is also a large-screen television, DVD player, and satellite broadcasting equipment that can be used primarily for receiving channels of origin of asylum seekers. Wi-Fi service is provided in the zones, and their phones can be held by the occupants themselves, so contact is also provided. Wi-Fi service can be used by the applicants with their own devices without restriction.</w:t>
      </w:r>
      <w:r w:rsidR="00356945" w:rsidRPr="003E3613">
        <w:rPr>
          <w:rFonts w:ascii="Book Antiqua" w:hAnsi="Book Antiqua"/>
          <w:bCs/>
          <w:iCs/>
          <w:sz w:val="23"/>
          <w:szCs w:val="23"/>
          <w:lang w:val="en-GB"/>
        </w:rPr>
        <w:cr/>
      </w:r>
    </w:p>
    <w:p w14:paraId="060E89B8" w14:textId="2A15D3ED" w:rsidR="000C03EC" w:rsidRPr="003E3613" w:rsidRDefault="00CA1AC3"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The access to education is also provided for minor asylum-seekers</w:t>
      </w:r>
      <w:r w:rsidR="00934762" w:rsidRPr="003E3613">
        <w:rPr>
          <w:rFonts w:ascii="Book Antiqua" w:hAnsi="Book Antiqua"/>
          <w:bCs/>
          <w:iCs/>
          <w:sz w:val="23"/>
          <w:szCs w:val="23"/>
          <w:lang w:val="en-GB"/>
        </w:rPr>
        <w:t xml:space="preserve"> of mandatory school age according to Act </w:t>
      </w:r>
      <w:r w:rsidR="00100ACA" w:rsidRPr="003E3613">
        <w:rPr>
          <w:rFonts w:ascii="Book Antiqua" w:hAnsi="Book Antiqua"/>
          <w:bCs/>
          <w:iCs/>
          <w:sz w:val="23"/>
          <w:szCs w:val="23"/>
          <w:lang w:val="en-GB"/>
        </w:rPr>
        <w:t xml:space="preserve">CXC </w:t>
      </w:r>
      <w:r w:rsidR="00934762" w:rsidRPr="003E3613">
        <w:rPr>
          <w:rFonts w:ascii="Book Antiqua" w:hAnsi="Book Antiqua"/>
          <w:bCs/>
          <w:iCs/>
          <w:sz w:val="23"/>
          <w:szCs w:val="23"/>
          <w:lang w:val="en-GB"/>
        </w:rPr>
        <w:t xml:space="preserve">of 2011 on </w:t>
      </w:r>
      <w:r w:rsidR="009B248A" w:rsidRPr="003E3613">
        <w:rPr>
          <w:rFonts w:ascii="Book Antiqua" w:hAnsi="Book Antiqua"/>
          <w:bCs/>
          <w:iCs/>
          <w:sz w:val="23"/>
          <w:szCs w:val="23"/>
          <w:lang w:val="en-GB"/>
        </w:rPr>
        <w:t>N</w:t>
      </w:r>
      <w:r w:rsidR="00934762" w:rsidRPr="003E3613">
        <w:rPr>
          <w:rFonts w:ascii="Book Antiqua" w:hAnsi="Book Antiqua"/>
          <w:bCs/>
          <w:iCs/>
          <w:sz w:val="23"/>
          <w:szCs w:val="23"/>
          <w:lang w:val="en-GB"/>
        </w:rPr>
        <w:t xml:space="preserve">ational </w:t>
      </w:r>
      <w:r w:rsidR="009B248A" w:rsidRPr="003E3613">
        <w:rPr>
          <w:rFonts w:ascii="Book Antiqua" w:hAnsi="Book Antiqua"/>
          <w:bCs/>
          <w:iCs/>
          <w:sz w:val="23"/>
          <w:szCs w:val="23"/>
          <w:lang w:val="en-GB"/>
        </w:rPr>
        <w:t>P</w:t>
      </w:r>
      <w:r w:rsidR="00934762" w:rsidRPr="003E3613">
        <w:rPr>
          <w:rFonts w:ascii="Book Antiqua" w:hAnsi="Book Antiqua"/>
          <w:bCs/>
          <w:iCs/>
          <w:sz w:val="23"/>
          <w:szCs w:val="23"/>
          <w:lang w:val="en-GB"/>
        </w:rPr>
        <w:t xml:space="preserve">ublic </w:t>
      </w:r>
      <w:r w:rsidR="009B248A" w:rsidRPr="003E3613">
        <w:rPr>
          <w:rFonts w:ascii="Book Antiqua" w:hAnsi="Book Antiqua"/>
          <w:bCs/>
          <w:iCs/>
          <w:sz w:val="23"/>
          <w:szCs w:val="23"/>
          <w:lang w:val="en-GB"/>
        </w:rPr>
        <w:t>E</w:t>
      </w:r>
      <w:r w:rsidR="00934762" w:rsidRPr="003E3613">
        <w:rPr>
          <w:rFonts w:ascii="Book Antiqua" w:hAnsi="Book Antiqua"/>
          <w:bCs/>
          <w:iCs/>
          <w:sz w:val="23"/>
          <w:szCs w:val="23"/>
          <w:lang w:val="en-GB"/>
        </w:rPr>
        <w:t>ducation</w:t>
      </w:r>
      <w:r w:rsidRPr="003E3613">
        <w:rPr>
          <w:rFonts w:ascii="Book Antiqua" w:hAnsi="Book Antiqua"/>
          <w:bCs/>
          <w:iCs/>
          <w:sz w:val="23"/>
          <w:szCs w:val="23"/>
          <w:lang w:val="en-GB"/>
        </w:rPr>
        <w:t>, carried out by Hungarian educational authorities under the guidance of the Ministry of Human Capacities. A specific curriculum was developed for the minor asylum seekers staying in the transit zones, and as of the beginning of September 2017, education is provided according to this curriculum for minors aged between 6 and 16 years, and if the child wishes, even up to their 18 years of age, by competent and specially trained teachers.</w:t>
      </w:r>
      <w:r w:rsidR="00356945" w:rsidRPr="003E3613">
        <w:rPr>
          <w:rFonts w:ascii="Book Antiqua" w:hAnsi="Book Antiqua"/>
          <w:bCs/>
          <w:iCs/>
          <w:sz w:val="23"/>
          <w:szCs w:val="23"/>
          <w:lang w:val="en-GB"/>
        </w:rPr>
        <w:t xml:space="preserve"> In the case of Tompa Transit zone the teachers are provided by the Kiskőrös Education District, in the Röszke Transit zone, by the Szeged Education District, while the educational materials were compiled by the experts of the Ministry of Human Capacities. </w:t>
      </w:r>
      <w:r w:rsidR="00035D7D" w:rsidRPr="003E3613">
        <w:rPr>
          <w:rFonts w:ascii="Book Antiqua" w:hAnsi="Book Antiqua"/>
          <w:bCs/>
          <w:iCs/>
          <w:sz w:val="23"/>
          <w:szCs w:val="23"/>
          <w:lang w:val="en-GB"/>
        </w:rPr>
        <w:t xml:space="preserve">The educational programme and teaching materials created by the experts of the Eszterházy Károly University Institute for Educational Research and Development are mostly targeted at the development of skills, with a special focus on the areas of language, communicative, cooperative and cognitive competences, as the number and age-composition of the target groups frequently changes. </w:t>
      </w:r>
      <w:r w:rsidR="00356945" w:rsidRPr="003E3613">
        <w:rPr>
          <w:rFonts w:ascii="Book Antiqua" w:hAnsi="Book Antiqua"/>
          <w:bCs/>
          <w:iCs/>
          <w:sz w:val="23"/>
          <w:szCs w:val="23"/>
          <w:lang w:val="en-GB"/>
        </w:rPr>
        <w:t xml:space="preserve">Participation is compulsory for children aged between 6 and 16 years. At the same time, children aged 16 and over are also allowed to attend education. </w:t>
      </w:r>
      <w:r w:rsidR="009B19B6" w:rsidRPr="003E3613">
        <w:rPr>
          <w:rFonts w:ascii="Book Antiqua" w:hAnsi="Book Antiqua"/>
          <w:bCs/>
          <w:iCs/>
          <w:sz w:val="23"/>
          <w:szCs w:val="23"/>
          <w:lang w:val="en-GB"/>
        </w:rPr>
        <w:t xml:space="preserve">Depending on the number of pupils, the Educational District Centres regularly review the required number of teachers. </w:t>
      </w:r>
      <w:r w:rsidR="00356945" w:rsidRPr="003E3613">
        <w:rPr>
          <w:rFonts w:ascii="Book Antiqua" w:hAnsi="Book Antiqua"/>
          <w:bCs/>
          <w:iCs/>
          <w:sz w:val="23"/>
          <w:szCs w:val="23"/>
          <w:lang w:val="en-GB"/>
        </w:rPr>
        <w:t xml:space="preserve">In order to facilitate participation in education, the asylum authority ensures the material conditions of education during the asylum procedure for those seeking the recognition under the Act on National Public Education. In the transit zones, education is provided by community spaces in the sectors. Equipment for children is available for education, as provided by the Asylum Authority, as well as stationery and magnetic drawing boards, among the tools requested by the trainers. In addition, 8 laptops and 8 projectors, 8 radio cd players, in the </w:t>
      </w:r>
      <w:r w:rsidR="0009613F" w:rsidRPr="003E3613">
        <w:rPr>
          <w:rFonts w:ascii="Book Antiqua" w:hAnsi="Book Antiqua"/>
          <w:bCs/>
          <w:iCs/>
          <w:sz w:val="23"/>
          <w:szCs w:val="23"/>
          <w:lang w:val="en-GB"/>
        </w:rPr>
        <w:t>t</w:t>
      </w:r>
      <w:r w:rsidR="00356945" w:rsidRPr="003E3613">
        <w:rPr>
          <w:rFonts w:ascii="Book Antiqua" w:hAnsi="Book Antiqua"/>
          <w:bCs/>
          <w:iCs/>
          <w:sz w:val="23"/>
          <w:szCs w:val="23"/>
          <w:lang w:val="en-GB"/>
        </w:rPr>
        <w:t xml:space="preserve">ransit </w:t>
      </w:r>
      <w:r w:rsidR="0009613F" w:rsidRPr="003E3613">
        <w:rPr>
          <w:rFonts w:ascii="Book Antiqua" w:hAnsi="Book Antiqua"/>
          <w:bCs/>
          <w:iCs/>
          <w:sz w:val="23"/>
          <w:szCs w:val="23"/>
          <w:lang w:val="en-GB"/>
        </w:rPr>
        <w:t>z</w:t>
      </w:r>
      <w:r w:rsidR="00356945" w:rsidRPr="003E3613">
        <w:rPr>
          <w:rFonts w:ascii="Book Antiqua" w:hAnsi="Book Antiqua"/>
          <w:bCs/>
          <w:iCs/>
          <w:sz w:val="23"/>
          <w:szCs w:val="23"/>
          <w:lang w:val="en-GB"/>
        </w:rPr>
        <w:t>one serve education.</w:t>
      </w:r>
    </w:p>
    <w:p w14:paraId="76C61056" w14:textId="77777777" w:rsidR="0036045A" w:rsidRPr="003E3613" w:rsidRDefault="0036045A" w:rsidP="00204696">
      <w:pPr>
        <w:spacing w:after="0"/>
        <w:jc w:val="both"/>
        <w:rPr>
          <w:rFonts w:ascii="Book Antiqua" w:hAnsi="Book Antiqua"/>
          <w:bCs/>
          <w:iCs/>
          <w:sz w:val="23"/>
          <w:szCs w:val="23"/>
          <w:lang w:val="en-GB"/>
        </w:rPr>
      </w:pPr>
    </w:p>
    <w:p w14:paraId="4EA42856" w14:textId="77777777" w:rsidR="00660031" w:rsidRDefault="006D2E24"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 xml:space="preserve">The procedure in the transit zone is in accordance with the Qualification Directive. As regards procedural provisions, the Asylum Procedures Directive allows the possibility for Member States to carry out the procedures in facilities set up along the borders or in </w:t>
      </w:r>
    </w:p>
    <w:p w14:paraId="0BE63F32" w14:textId="77777777" w:rsidR="00660031" w:rsidRDefault="00660031">
      <w:pPr>
        <w:rPr>
          <w:rFonts w:ascii="Book Antiqua" w:hAnsi="Book Antiqua"/>
          <w:bCs/>
          <w:iCs/>
          <w:sz w:val="23"/>
          <w:szCs w:val="23"/>
          <w:lang w:val="en-GB"/>
        </w:rPr>
      </w:pPr>
      <w:r>
        <w:rPr>
          <w:rFonts w:ascii="Book Antiqua" w:hAnsi="Book Antiqua"/>
          <w:bCs/>
          <w:iCs/>
          <w:sz w:val="23"/>
          <w:szCs w:val="23"/>
          <w:lang w:val="en-GB"/>
        </w:rPr>
        <w:br w:type="page"/>
      </w:r>
    </w:p>
    <w:p w14:paraId="276DB1CC" w14:textId="0AAC37D3" w:rsidR="0036045A" w:rsidRPr="003E3613" w:rsidRDefault="006D2E24"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lastRenderedPageBreak/>
        <w:t xml:space="preserve">facilities of their choice. The need for effectively stemming illegal migration requires that those eligible for asylum and those </w:t>
      </w:r>
      <w:r w:rsidR="00100ACA" w:rsidRPr="003E3613">
        <w:rPr>
          <w:rFonts w:ascii="Book Antiqua" w:hAnsi="Book Antiqua"/>
          <w:bCs/>
          <w:iCs/>
          <w:sz w:val="23"/>
          <w:szCs w:val="23"/>
          <w:lang w:val="en-GB"/>
        </w:rPr>
        <w:t xml:space="preserve">who are </w:t>
      </w:r>
      <w:r w:rsidRPr="003E3613">
        <w:rPr>
          <w:rFonts w:ascii="Book Antiqua" w:hAnsi="Book Antiqua"/>
          <w:bCs/>
          <w:iCs/>
          <w:sz w:val="23"/>
          <w:szCs w:val="23"/>
          <w:lang w:val="en-GB"/>
        </w:rPr>
        <w:t>not should be divided before entering the territory of the EU, therefore the Hungarian practice proves to be the only efficient procedural approach to tackling the problem</w:t>
      </w:r>
      <w:r w:rsidR="0036045A" w:rsidRPr="003E3613">
        <w:rPr>
          <w:rFonts w:ascii="Book Antiqua" w:hAnsi="Book Antiqua"/>
          <w:bCs/>
          <w:iCs/>
          <w:sz w:val="23"/>
          <w:szCs w:val="23"/>
          <w:lang w:val="en-GB"/>
        </w:rPr>
        <w:t>. With regard to the non-refoulement principle, it should be pointed out that in case of a possible chain refoulement, the applicants would be returned by Serbia to another safe EU candidate country, so that the non-refoulement principle is applied and respected in all cases when such procedures are carried out.</w:t>
      </w:r>
    </w:p>
    <w:p w14:paraId="364AB102" w14:textId="77777777" w:rsidR="0036045A" w:rsidRPr="003E3613" w:rsidRDefault="0036045A" w:rsidP="00204696">
      <w:pPr>
        <w:spacing w:after="0"/>
        <w:jc w:val="both"/>
        <w:rPr>
          <w:rFonts w:ascii="Book Antiqua" w:hAnsi="Book Antiqua"/>
          <w:bCs/>
          <w:iCs/>
          <w:sz w:val="23"/>
          <w:szCs w:val="23"/>
          <w:lang w:val="en-GB"/>
        </w:rPr>
      </w:pPr>
    </w:p>
    <w:p w14:paraId="6A7561A8" w14:textId="77777777" w:rsidR="0036045A" w:rsidRPr="003E3613" w:rsidRDefault="0036045A"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During the placement in the transit zones, the belonging to ethnic, national, religious and other groups is maximally taken into consideration. We note that the transit zones criticized by court judgements in 2015 and 2016 differ from the ones which function currently. Following several changes made in relation to the transit zones in 2017, especially concerning the reception conditions, at present such violation of rights could not be determined.</w:t>
      </w:r>
    </w:p>
    <w:p w14:paraId="34305242" w14:textId="77777777" w:rsidR="0036045A" w:rsidRPr="003E3613" w:rsidRDefault="0036045A" w:rsidP="00204696">
      <w:pPr>
        <w:spacing w:after="0"/>
        <w:jc w:val="both"/>
        <w:rPr>
          <w:rFonts w:ascii="Book Antiqua" w:hAnsi="Book Antiqua"/>
          <w:bCs/>
          <w:iCs/>
          <w:sz w:val="23"/>
          <w:szCs w:val="23"/>
          <w:lang w:val="en-GB"/>
        </w:rPr>
      </w:pPr>
    </w:p>
    <w:p w14:paraId="3CD07ADA" w14:textId="77777777" w:rsidR="0036045A" w:rsidRPr="003E3613" w:rsidRDefault="0036045A"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If an applicant suffers any kind of atrocity in the transit zones due to cultural differences or their belonging to a certain social group, then the responsible authority acts without delay in order to protect the rights of the applicant from violation. A separate sector is established for families and minors, while the placement of single men is carried out with regard to their religious, cultural and national diversity. Special conditions apply for persons with special needs during the period of the asylum detention. This includes members of all kinds of minority groups, including LGBT people.</w:t>
      </w:r>
    </w:p>
    <w:p w14:paraId="2505E4F9" w14:textId="77777777" w:rsidR="0036045A" w:rsidRPr="003E3613" w:rsidRDefault="0036045A" w:rsidP="00204696">
      <w:pPr>
        <w:spacing w:after="0"/>
        <w:jc w:val="both"/>
        <w:rPr>
          <w:rFonts w:ascii="Book Antiqua" w:hAnsi="Book Antiqua"/>
          <w:bCs/>
          <w:iCs/>
          <w:sz w:val="23"/>
          <w:szCs w:val="23"/>
          <w:lang w:val="en-GB"/>
        </w:rPr>
      </w:pPr>
    </w:p>
    <w:p w14:paraId="6E2DEDE2" w14:textId="77777777" w:rsidR="0036045A" w:rsidRPr="003E3613" w:rsidRDefault="0036045A"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 xml:space="preserve">We refuse the use of expressions such as „closed facility” and place of „detention” regarding transit zones. Any asylum seeker is free to leave the transit zone in the direction of Serbia at any time, even without withdrawing their applications. For this reason, we do not agree with the conclusion that the transit zone „is effectively a place of deprivation of liberty”. Concerning GRETA's recommendation on the assistance of third-country national victims of trafficking, Hungary's next national counter-trafficking strategy is currently under development, and we will make sure to consider the recommendations proposed by GRETA, as well as the US State Department's TIP Office. It should also be mentioned that since 1 January 2013 special rules apply in Hungary </w:t>
      </w:r>
      <w:r w:rsidR="00EA4157" w:rsidRPr="003E3613">
        <w:rPr>
          <w:rFonts w:ascii="Book Antiqua" w:hAnsi="Book Antiqua"/>
          <w:bCs/>
          <w:iCs/>
          <w:sz w:val="23"/>
          <w:szCs w:val="23"/>
          <w:lang w:val="en-GB"/>
        </w:rPr>
        <w:t xml:space="preserve">to </w:t>
      </w:r>
      <w:r w:rsidRPr="003E3613">
        <w:rPr>
          <w:rFonts w:ascii="Book Antiqua" w:hAnsi="Book Antiqua"/>
          <w:bCs/>
          <w:iCs/>
          <w:sz w:val="23"/>
          <w:szCs w:val="23"/>
          <w:lang w:val="en-GB"/>
        </w:rPr>
        <w:t xml:space="preserve">the identification of victims of human trafficking laid down by </w:t>
      </w:r>
      <w:r w:rsidR="003C6D0A" w:rsidRPr="003E3613">
        <w:rPr>
          <w:rFonts w:ascii="Book Antiqua" w:hAnsi="Book Antiqua"/>
          <w:bCs/>
          <w:iCs/>
          <w:sz w:val="23"/>
          <w:szCs w:val="23"/>
          <w:lang w:val="en-GB"/>
        </w:rPr>
        <w:t>G</w:t>
      </w:r>
      <w:r w:rsidRPr="003E3613">
        <w:rPr>
          <w:rFonts w:ascii="Book Antiqua" w:hAnsi="Book Antiqua"/>
          <w:bCs/>
          <w:iCs/>
          <w:sz w:val="23"/>
          <w:szCs w:val="23"/>
          <w:lang w:val="en-GB"/>
        </w:rPr>
        <w:t xml:space="preserve">overnment </w:t>
      </w:r>
      <w:r w:rsidR="003C6D0A" w:rsidRPr="003E3613">
        <w:rPr>
          <w:rFonts w:ascii="Book Antiqua" w:hAnsi="Book Antiqua"/>
          <w:bCs/>
          <w:iCs/>
          <w:sz w:val="23"/>
          <w:szCs w:val="23"/>
          <w:lang w:val="en-GB"/>
        </w:rPr>
        <w:t>R</w:t>
      </w:r>
      <w:r w:rsidRPr="003E3613">
        <w:rPr>
          <w:rFonts w:ascii="Book Antiqua" w:hAnsi="Book Antiqua"/>
          <w:bCs/>
          <w:iCs/>
          <w:sz w:val="23"/>
          <w:szCs w:val="23"/>
          <w:lang w:val="en-GB"/>
        </w:rPr>
        <w:t xml:space="preserve">egulation </w:t>
      </w:r>
      <w:r w:rsidR="001037D7" w:rsidRPr="003E3613">
        <w:rPr>
          <w:rFonts w:ascii="Book Antiqua" w:hAnsi="Book Antiqua"/>
          <w:bCs/>
          <w:iCs/>
          <w:sz w:val="23"/>
          <w:szCs w:val="23"/>
          <w:lang w:val="en-GB"/>
        </w:rPr>
        <w:t xml:space="preserve">No. </w:t>
      </w:r>
      <w:r w:rsidRPr="003E3613">
        <w:rPr>
          <w:rFonts w:ascii="Book Antiqua" w:hAnsi="Book Antiqua"/>
          <w:bCs/>
          <w:iCs/>
          <w:sz w:val="23"/>
          <w:szCs w:val="23"/>
          <w:lang w:val="en-GB"/>
        </w:rPr>
        <w:t>354/2012. (XII.13). According to this regulation the police, the labour authority, the aliens police and the asylum authority inter alia shall perform tasks associated with the identification of victims of trafficking in human beings.</w:t>
      </w:r>
    </w:p>
    <w:p w14:paraId="730BF79A" w14:textId="77777777" w:rsidR="0036045A" w:rsidRPr="003E3613" w:rsidRDefault="0036045A" w:rsidP="00204696">
      <w:pPr>
        <w:spacing w:after="0"/>
        <w:jc w:val="both"/>
        <w:rPr>
          <w:rFonts w:ascii="Book Antiqua" w:hAnsi="Book Antiqua"/>
          <w:bCs/>
          <w:iCs/>
          <w:sz w:val="23"/>
          <w:szCs w:val="23"/>
          <w:lang w:val="en-GB"/>
        </w:rPr>
      </w:pPr>
    </w:p>
    <w:p w14:paraId="5E30640A" w14:textId="77777777" w:rsidR="00660031" w:rsidRDefault="0036045A"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 xml:space="preserve">Hungary has been fulfilling its legal obligations under the Treaty, protecting the external Schengen borders of the European Union. As a Member State with an external border, we must also comply with our obligations to register data pursuant to primary EU legislation. Therefore, we are positive that the measures taken were necessary and </w:t>
      </w:r>
    </w:p>
    <w:p w14:paraId="5C38174A" w14:textId="77777777" w:rsidR="00660031" w:rsidRDefault="00660031">
      <w:pPr>
        <w:rPr>
          <w:rFonts w:ascii="Book Antiqua" w:hAnsi="Book Antiqua"/>
          <w:bCs/>
          <w:iCs/>
          <w:sz w:val="23"/>
          <w:szCs w:val="23"/>
          <w:lang w:val="en-GB"/>
        </w:rPr>
      </w:pPr>
      <w:r>
        <w:rPr>
          <w:rFonts w:ascii="Book Antiqua" w:hAnsi="Book Antiqua"/>
          <w:bCs/>
          <w:iCs/>
          <w:sz w:val="23"/>
          <w:szCs w:val="23"/>
          <w:lang w:val="en-GB"/>
        </w:rPr>
        <w:br w:type="page"/>
      </w:r>
    </w:p>
    <w:p w14:paraId="2D26BC91" w14:textId="017AB9D7" w:rsidR="004A2C37" w:rsidRPr="003E3613" w:rsidRDefault="0036045A"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lastRenderedPageBreak/>
        <w:t>proportionate given that since 2015 mass immigration has seriously affected the country's internal security. It should also be emphasized that Article 72 TFEU provides that, in such cases, actions may be taken by way of derogation from EU law, in respect of which Hungary has taken appropriate measures to safeguard its own and the EU’s internal security.</w:t>
      </w:r>
    </w:p>
    <w:p w14:paraId="421CD6A0" w14:textId="77777777" w:rsidR="004A2C37" w:rsidRPr="003E3613" w:rsidRDefault="004A2C37" w:rsidP="00204696">
      <w:pPr>
        <w:spacing w:after="0"/>
        <w:jc w:val="both"/>
        <w:rPr>
          <w:rFonts w:ascii="Book Antiqua" w:hAnsi="Book Antiqua"/>
          <w:i/>
          <w:sz w:val="23"/>
          <w:szCs w:val="23"/>
          <w:lang w:val="en-GB"/>
        </w:rPr>
      </w:pPr>
    </w:p>
    <w:p w14:paraId="67628AB2" w14:textId="77777777" w:rsidR="00275B2B" w:rsidRPr="003E3613" w:rsidRDefault="00275B2B" w:rsidP="00204696">
      <w:pPr>
        <w:spacing w:after="0"/>
        <w:jc w:val="both"/>
        <w:rPr>
          <w:rFonts w:ascii="Book Antiqua" w:hAnsi="Book Antiqua"/>
          <w:i/>
          <w:sz w:val="23"/>
          <w:szCs w:val="23"/>
          <w:lang w:val="en-GB"/>
        </w:rPr>
      </w:pPr>
      <w:r w:rsidRPr="003E3613">
        <w:rPr>
          <w:rFonts w:ascii="Book Antiqua" w:hAnsi="Book Antiqua"/>
          <w:i/>
          <w:sz w:val="23"/>
          <w:szCs w:val="23"/>
          <w:lang w:val="en-GB"/>
        </w:rPr>
        <w:t>(67)</w:t>
      </w:r>
      <w:r w:rsidR="00554D9C" w:rsidRPr="003E3613">
        <w:rPr>
          <w:rFonts w:ascii="Book Antiqua" w:hAnsi="Book Antiqua"/>
          <w:i/>
          <w:sz w:val="23"/>
          <w:szCs w:val="23"/>
          <w:lang w:val="en-GB"/>
        </w:rPr>
        <w:t xml:space="preserve"> </w:t>
      </w:r>
      <w:r w:rsidRPr="003E3613">
        <w:rPr>
          <w:rFonts w:ascii="Book Antiqua" w:hAnsi="Book Antiqua"/>
          <w:i/>
          <w:sz w:val="23"/>
          <w:szCs w:val="23"/>
          <w:lang w:val="en-GB"/>
        </w:rPr>
        <w:t>In mid-August 2018, the immigration authorities stopped giving food to adult asylum seekers who were challenging inadmissibility decisions in court. Several asylum seekers had to seek interim measures from the ECtHR to start receiving meals. The ECtHR granted interim measures in two cases on 10 August 2018 and in a third case on 16 August 2018 and ordered the provision of food to the applicants. The Hungarian authorities have complied with the rulings.</w:t>
      </w:r>
    </w:p>
    <w:p w14:paraId="4A6FAEF2" w14:textId="77777777" w:rsidR="00275B2B" w:rsidRPr="003E3613" w:rsidRDefault="00275B2B" w:rsidP="00204696">
      <w:pPr>
        <w:spacing w:after="0"/>
        <w:jc w:val="both"/>
        <w:rPr>
          <w:rFonts w:ascii="Book Antiqua" w:hAnsi="Book Antiqua"/>
          <w:bCs/>
          <w:iCs/>
          <w:sz w:val="23"/>
          <w:szCs w:val="23"/>
          <w:lang w:val="en-GB"/>
        </w:rPr>
      </w:pPr>
    </w:p>
    <w:p w14:paraId="3997636A" w14:textId="77777777" w:rsidR="00275B2B" w:rsidRPr="003E3613" w:rsidRDefault="00610ADD"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 xml:space="preserve">Further to </w:t>
      </w:r>
      <w:r w:rsidR="005C3A61" w:rsidRPr="003E3613">
        <w:rPr>
          <w:rFonts w:ascii="Book Antiqua" w:hAnsi="Book Antiqua"/>
          <w:bCs/>
          <w:iCs/>
          <w:sz w:val="23"/>
          <w:szCs w:val="23"/>
          <w:lang w:val="en-GB"/>
        </w:rPr>
        <w:t>the European Commission’s request for information regarding th</w:t>
      </w:r>
      <w:r w:rsidR="00100ACA" w:rsidRPr="003E3613">
        <w:rPr>
          <w:rFonts w:ascii="Book Antiqua" w:hAnsi="Book Antiqua"/>
          <w:bCs/>
          <w:iCs/>
          <w:sz w:val="23"/>
          <w:szCs w:val="23"/>
          <w:lang w:val="en-GB"/>
        </w:rPr>
        <w:t>i</w:t>
      </w:r>
      <w:r w:rsidR="005C3A61" w:rsidRPr="003E3613">
        <w:rPr>
          <w:rFonts w:ascii="Book Antiqua" w:hAnsi="Book Antiqua"/>
          <w:bCs/>
          <w:iCs/>
          <w:sz w:val="23"/>
          <w:szCs w:val="23"/>
          <w:lang w:val="en-GB"/>
        </w:rPr>
        <w:t xml:space="preserve">s issue, </w:t>
      </w:r>
      <w:r w:rsidR="00017A1D" w:rsidRPr="003E3613">
        <w:rPr>
          <w:rFonts w:ascii="Book Antiqua" w:hAnsi="Book Antiqua"/>
          <w:bCs/>
          <w:iCs/>
          <w:sz w:val="23"/>
          <w:szCs w:val="23"/>
          <w:lang w:val="en-GB"/>
        </w:rPr>
        <w:t xml:space="preserve">Hungary </w:t>
      </w:r>
      <w:r w:rsidR="005C3A61" w:rsidRPr="003E3613">
        <w:rPr>
          <w:rFonts w:ascii="Book Antiqua" w:hAnsi="Book Antiqua"/>
          <w:bCs/>
          <w:iCs/>
          <w:sz w:val="23"/>
          <w:szCs w:val="23"/>
          <w:lang w:val="en-GB"/>
        </w:rPr>
        <w:t>confirmed</w:t>
      </w:r>
      <w:r w:rsidR="00017A1D" w:rsidRPr="003E3613">
        <w:rPr>
          <w:rFonts w:ascii="Book Antiqua" w:hAnsi="Book Antiqua"/>
          <w:bCs/>
          <w:iCs/>
          <w:sz w:val="23"/>
          <w:szCs w:val="23"/>
          <w:lang w:val="en-GB"/>
        </w:rPr>
        <w:t xml:space="preserve"> in its reply letter of 28 September 2018</w:t>
      </w:r>
      <w:r w:rsidR="005C3A61" w:rsidRPr="003E3613">
        <w:rPr>
          <w:rFonts w:ascii="Book Antiqua" w:hAnsi="Book Antiqua"/>
          <w:bCs/>
          <w:iCs/>
          <w:sz w:val="23"/>
          <w:szCs w:val="23"/>
          <w:lang w:val="en-GB"/>
        </w:rPr>
        <w:t xml:space="preserve"> that</w:t>
      </w:r>
      <w:r w:rsidR="00017A1D" w:rsidRPr="003E3613">
        <w:rPr>
          <w:rFonts w:ascii="Book Antiqua" w:hAnsi="Book Antiqua"/>
          <w:bCs/>
          <w:iCs/>
          <w:sz w:val="23"/>
          <w:szCs w:val="23"/>
          <w:lang w:val="en-GB"/>
        </w:rPr>
        <w:t xml:space="preserve"> food is automatically provided to all people residing in the transit zones until the final examination of their asylum application and they </w:t>
      </w:r>
      <w:r w:rsidR="00EA4157" w:rsidRPr="003E3613">
        <w:rPr>
          <w:rFonts w:ascii="Book Antiqua" w:hAnsi="Book Antiqua"/>
          <w:bCs/>
          <w:iCs/>
          <w:sz w:val="23"/>
          <w:szCs w:val="23"/>
          <w:lang w:val="en-GB"/>
        </w:rPr>
        <w:t xml:space="preserve">also </w:t>
      </w:r>
      <w:r w:rsidR="00017A1D" w:rsidRPr="003E3613">
        <w:rPr>
          <w:rFonts w:ascii="Book Antiqua" w:hAnsi="Book Antiqua"/>
          <w:bCs/>
          <w:iCs/>
          <w:sz w:val="23"/>
          <w:szCs w:val="23"/>
          <w:lang w:val="en-GB"/>
        </w:rPr>
        <w:t xml:space="preserve">have access to food </w:t>
      </w:r>
      <w:r w:rsidR="00B20A7E" w:rsidRPr="003E3613">
        <w:rPr>
          <w:rFonts w:ascii="Book Antiqua" w:hAnsi="Book Antiqua"/>
          <w:bCs/>
          <w:iCs/>
          <w:sz w:val="23"/>
          <w:szCs w:val="23"/>
          <w:lang w:val="en-GB"/>
        </w:rPr>
        <w:t xml:space="preserve">at their expense even </w:t>
      </w:r>
      <w:r w:rsidR="00017A1D" w:rsidRPr="003E3613">
        <w:rPr>
          <w:rFonts w:ascii="Book Antiqua" w:hAnsi="Book Antiqua"/>
          <w:bCs/>
          <w:iCs/>
          <w:sz w:val="23"/>
          <w:szCs w:val="23"/>
          <w:lang w:val="en-GB"/>
        </w:rPr>
        <w:t>after the final negative decisions are made with regard to their asylum requests.</w:t>
      </w:r>
      <w:r w:rsidR="00B20A7E" w:rsidRPr="003E3613">
        <w:rPr>
          <w:rFonts w:ascii="Book Antiqua" w:hAnsi="Book Antiqua"/>
          <w:bCs/>
          <w:iCs/>
          <w:sz w:val="23"/>
          <w:szCs w:val="23"/>
          <w:lang w:val="en-GB"/>
        </w:rPr>
        <w:t xml:space="preserve"> On 25 July the Commission launched an infringement case sending a formal notice </w:t>
      </w:r>
      <w:r w:rsidR="00E16A54" w:rsidRPr="003E3613">
        <w:rPr>
          <w:rFonts w:ascii="Book Antiqua" w:hAnsi="Book Antiqua"/>
          <w:bCs/>
          <w:iCs/>
          <w:sz w:val="23"/>
          <w:szCs w:val="23"/>
          <w:lang w:val="en-GB"/>
        </w:rPr>
        <w:t xml:space="preserve">to Hungary and </w:t>
      </w:r>
      <w:r w:rsidR="00B20A7E" w:rsidRPr="003E3613">
        <w:rPr>
          <w:rFonts w:ascii="Book Antiqua" w:hAnsi="Book Antiqua"/>
          <w:bCs/>
          <w:iCs/>
          <w:sz w:val="23"/>
          <w:szCs w:val="23"/>
          <w:lang w:val="en-GB"/>
        </w:rPr>
        <w:t>giving one month to answer</w:t>
      </w:r>
      <w:r w:rsidR="00E16A54" w:rsidRPr="003E3613">
        <w:rPr>
          <w:rFonts w:ascii="Book Antiqua" w:hAnsi="Book Antiqua"/>
          <w:bCs/>
          <w:iCs/>
          <w:sz w:val="23"/>
          <w:szCs w:val="23"/>
          <w:lang w:val="en-GB"/>
        </w:rPr>
        <w:t>. T</w:t>
      </w:r>
      <w:r w:rsidR="00B20A7E" w:rsidRPr="003E3613">
        <w:rPr>
          <w:rFonts w:ascii="Book Antiqua" w:hAnsi="Book Antiqua"/>
          <w:bCs/>
          <w:iCs/>
          <w:sz w:val="23"/>
          <w:szCs w:val="23"/>
          <w:lang w:val="en-GB"/>
        </w:rPr>
        <w:t xml:space="preserve">he reply </w:t>
      </w:r>
      <w:r w:rsidR="00E16A54" w:rsidRPr="003E3613">
        <w:rPr>
          <w:rFonts w:ascii="Book Antiqua" w:hAnsi="Book Antiqua"/>
          <w:bCs/>
          <w:iCs/>
          <w:sz w:val="23"/>
          <w:szCs w:val="23"/>
          <w:lang w:val="en-GB"/>
        </w:rPr>
        <w:t>wa</w:t>
      </w:r>
      <w:r w:rsidR="00B20A7E" w:rsidRPr="003E3613">
        <w:rPr>
          <w:rFonts w:ascii="Book Antiqua" w:hAnsi="Book Antiqua"/>
          <w:bCs/>
          <w:iCs/>
          <w:sz w:val="23"/>
          <w:szCs w:val="23"/>
          <w:lang w:val="en-GB"/>
        </w:rPr>
        <w:t xml:space="preserve">s sent </w:t>
      </w:r>
      <w:r w:rsidR="00E16A54" w:rsidRPr="003E3613">
        <w:rPr>
          <w:rFonts w:ascii="Book Antiqua" w:hAnsi="Book Antiqua"/>
          <w:bCs/>
          <w:iCs/>
          <w:sz w:val="23"/>
          <w:szCs w:val="23"/>
          <w:lang w:val="en-GB"/>
        </w:rPr>
        <w:t>on</w:t>
      </w:r>
      <w:r w:rsidR="00B20A7E" w:rsidRPr="003E3613">
        <w:rPr>
          <w:rFonts w:ascii="Book Antiqua" w:hAnsi="Book Antiqua"/>
          <w:bCs/>
          <w:iCs/>
          <w:sz w:val="23"/>
          <w:szCs w:val="23"/>
          <w:lang w:val="en-GB"/>
        </w:rPr>
        <w:t xml:space="preserve"> 26 August 2019.</w:t>
      </w:r>
    </w:p>
    <w:p w14:paraId="7FCDA9C1" w14:textId="77777777" w:rsidR="009B283D" w:rsidRPr="003E3613" w:rsidRDefault="009B283D" w:rsidP="00204696">
      <w:pPr>
        <w:spacing w:after="0"/>
        <w:jc w:val="both"/>
        <w:rPr>
          <w:rFonts w:ascii="Book Antiqua" w:hAnsi="Book Antiqua"/>
          <w:bCs/>
          <w:iCs/>
          <w:sz w:val="23"/>
          <w:szCs w:val="23"/>
          <w:lang w:val="en-GB"/>
        </w:rPr>
      </w:pPr>
    </w:p>
    <w:p w14:paraId="0FF63F90" w14:textId="5DA56499" w:rsidR="00C35668" w:rsidRPr="003E3613" w:rsidRDefault="001F071B"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 xml:space="preserve">According to the Hungarian Government, the placement of persons in a tranzit area as a designated mandatory place of residence does not constitute </w:t>
      </w:r>
      <w:r w:rsidRPr="003E3613">
        <w:rPr>
          <w:rFonts w:ascii="Book Antiqua" w:hAnsi="Book Antiqua"/>
          <w:bCs/>
          <w:i/>
          <w:iCs/>
          <w:sz w:val="23"/>
          <w:szCs w:val="23"/>
          <w:lang w:val="en-GB"/>
        </w:rPr>
        <w:t>de facto</w:t>
      </w:r>
      <w:r w:rsidRPr="003E3613">
        <w:rPr>
          <w:rFonts w:ascii="Book Antiqua" w:hAnsi="Book Antiqua"/>
          <w:bCs/>
          <w:iCs/>
          <w:sz w:val="23"/>
          <w:szCs w:val="23"/>
          <w:lang w:val="en-GB"/>
        </w:rPr>
        <w:t xml:space="preserve"> detention under the relevant case law of the ECtHR and of the Court of Justice and </w:t>
      </w:r>
      <w:r w:rsidRPr="003E3613">
        <w:rPr>
          <w:rFonts w:ascii="Book Antiqua" w:hAnsi="Book Antiqua"/>
          <w:iCs/>
          <w:sz w:val="23"/>
          <w:szCs w:val="23"/>
          <w:lang w:val="en-GB"/>
        </w:rPr>
        <w:t>Reception Directive</w:t>
      </w:r>
      <w:r w:rsidRPr="003E3613">
        <w:rPr>
          <w:rFonts w:ascii="Book Antiqua" w:hAnsi="Book Antiqua"/>
          <w:bCs/>
          <w:iCs/>
          <w:sz w:val="23"/>
          <w:szCs w:val="23"/>
          <w:lang w:val="en-GB"/>
        </w:rPr>
        <w:t>, consequently Recital 17 of the Return Directive, and Article 16 of the Charter of Fundamental Rights, read in the light of Article 4 thereof does not apply.</w:t>
      </w:r>
      <w:r w:rsidR="001F6F2B" w:rsidRPr="003E3613">
        <w:rPr>
          <w:rFonts w:ascii="Book Antiqua" w:hAnsi="Book Antiqua"/>
          <w:bCs/>
          <w:iCs/>
          <w:sz w:val="23"/>
          <w:szCs w:val="23"/>
          <w:lang w:val="en-GB"/>
        </w:rPr>
        <w:t xml:space="preserve"> </w:t>
      </w:r>
      <w:r w:rsidR="00D67497" w:rsidRPr="003E3613">
        <w:rPr>
          <w:rFonts w:ascii="Book Antiqua" w:hAnsi="Book Antiqua"/>
          <w:bCs/>
          <w:iCs/>
          <w:sz w:val="23"/>
          <w:szCs w:val="23"/>
          <w:lang w:val="en-GB"/>
        </w:rPr>
        <w:t>With regard to persons awaiting expulsion, Article 14 of the Return Directive expressly mentions the safeguards to be guaranteed. Th</w:t>
      </w:r>
      <w:r w:rsidR="001E7396" w:rsidRPr="003E3613">
        <w:rPr>
          <w:rFonts w:ascii="Book Antiqua" w:hAnsi="Book Antiqua"/>
          <w:bCs/>
          <w:iCs/>
          <w:sz w:val="23"/>
          <w:szCs w:val="23"/>
          <w:lang w:val="en-GB"/>
        </w:rPr>
        <w:t>at</w:t>
      </w:r>
      <w:r w:rsidR="00A94BEF" w:rsidRPr="003E3613">
        <w:rPr>
          <w:rFonts w:ascii="Book Antiqua" w:hAnsi="Book Antiqua"/>
          <w:bCs/>
          <w:iCs/>
          <w:sz w:val="23"/>
          <w:szCs w:val="23"/>
          <w:lang w:val="en-GB"/>
        </w:rPr>
        <w:t xml:space="preserve"> A</w:t>
      </w:r>
      <w:r w:rsidR="00D67497" w:rsidRPr="003E3613">
        <w:rPr>
          <w:rFonts w:ascii="Book Antiqua" w:hAnsi="Book Antiqua"/>
          <w:bCs/>
          <w:iCs/>
          <w:sz w:val="23"/>
          <w:szCs w:val="23"/>
          <w:lang w:val="en-GB"/>
        </w:rPr>
        <w:t>rticle does not explicitly mention nutrition</w:t>
      </w:r>
      <w:r w:rsidR="008D1D4E" w:rsidRPr="003E3613">
        <w:rPr>
          <w:rFonts w:ascii="Book Antiqua" w:hAnsi="Book Antiqua"/>
          <w:bCs/>
          <w:iCs/>
          <w:sz w:val="23"/>
          <w:szCs w:val="23"/>
          <w:lang w:val="en-GB"/>
        </w:rPr>
        <w:t>. Accordingly, the Hungarian authorities have no obligation under EU law to give food to persons subject to expulsion</w:t>
      </w:r>
      <w:r w:rsidR="00D67497" w:rsidRPr="003E3613">
        <w:rPr>
          <w:rFonts w:ascii="Book Antiqua" w:hAnsi="Book Antiqua"/>
          <w:bCs/>
          <w:iCs/>
          <w:sz w:val="23"/>
          <w:szCs w:val="23"/>
          <w:lang w:val="en-GB"/>
        </w:rPr>
        <w:t xml:space="preserve">. </w:t>
      </w:r>
    </w:p>
    <w:p w14:paraId="74F120E5" w14:textId="77777777" w:rsidR="00C35668" w:rsidRPr="003E3613" w:rsidRDefault="00C35668" w:rsidP="00204696">
      <w:pPr>
        <w:spacing w:after="0"/>
        <w:jc w:val="both"/>
        <w:rPr>
          <w:rFonts w:ascii="Book Antiqua" w:hAnsi="Book Antiqua"/>
          <w:bCs/>
          <w:iCs/>
          <w:sz w:val="23"/>
          <w:szCs w:val="23"/>
          <w:lang w:val="en-GB"/>
        </w:rPr>
      </w:pPr>
    </w:p>
    <w:p w14:paraId="6187EA20" w14:textId="77777777" w:rsidR="002D480C" w:rsidRPr="003E3613" w:rsidRDefault="00C35668"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Nevertheless</w:t>
      </w:r>
      <w:r w:rsidR="002D480C" w:rsidRPr="003E3613">
        <w:rPr>
          <w:rFonts w:ascii="Book Antiqua" w:hAnsi="Book Antiqua"/>
          <w:bCs/>
          <w:iCs/>
          <w:sz w:val="23"/>
          <w:szCs w:val="23"/>
          <w:lang w:val="en-GB"/>
        </w:rPr>
        <w:t>, in accordance with the Directive, the authorities take care of the special needs of vulnerable people by providing basic health care and emergency care, as well as free and full catering for minors, pregnant and nursing mothers and other persons requiring special treatment.</w:t>
      </w:r>
    </w:p>
    <w:p w14:paraId="362DAE0F" w14:textId="77777777" w:rsidR="00D67497" w:rsidRPr="003E3613" w:rsidRDefault="00D67497" w:rsidP="00204696">
      <w:pPr>
        <w:spacing w:after="0"/>
        <w:jc w:val="both"/>
        <w:rPr>
          <w:rFonts w:ascii="Book Antiqua" w:hAnsi="Book Antiqua"/>
          <w:bCs/>
          <w:iCs/>
          <w:sz w:val="23"/>
          <w:szCs w:val="23"/>
          <w:lang w:val="en-GB"/>
        </w:rPr>
      </w:pPr>
    </w:p>
    <w:p w14:paraId="117B4686" w14:textId="77777777" w:rsidR="00D67497" w:rsidRPr="003E3613" w:rsidRDefault="002D480C"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It must be emphasized that f</w:t>
      </w:r>
      <w:r w:rsidR="00DA6D99" w:rsidRPr="003E3613">
        <w:rPr>
          <w:rFonts w:ascii="Book Antiqua" w:hAnsi="Book Antiqua"/>
          <w:bCs/>
          <w:iCs/>
          <w:sz w:val="23"/>
          <w:szCs w:val="23"/>
          <w:lang w:val="en-GB"/>
        </w:rPr>
        <w:t>ollowing the closure of the asylum procedure the expelled have unlimited access to food at their expense, with the assistance of social workers in the transit zone</w:t>
      </w:r>
      <w:r w:rsidR="00D67497" w:rsidRPr="003E3613">
        <w:rPr>
          <w:rFonts w:ascii="Book Antiqua" w:hAnsi="Book Antiqua"/>
          <w:bCs/>
          <w:iCs/>
          <w:sz w:val="23"/>
          <w:szCs w:val="23"/>
          <w:lang w:val="en-GB"/>
        </w:rPr>
        <w:t>, or leaving the transit zone.</w:t>
      </w:r>
    </w:p>
    <w:p w14:paraId="414D4AB0" w14:textId="77777777" w:rsidR="00A968A8" w:rsidRPr="003E3613" w:rsidRDefault="00A968A8" w:rsidP="00204696">
      <w:pPr>
        <w:spacing w:after="0"/>
        <w:jc w:val="both"/>
        <w:rPr>
          <w:rFonts w:ascii="Book Antiqua" w:hAnsi="Book Antiqua"/>
          <w:bCs/>
          <w:iCs/>
          <w:sz w:val="23"/>
          <w:szCs w:val="23"/>
          <w:lang w:val="en-GB"/>
        </w:rPr>
      </w:pPr>
    </w:p>
    <w:p w14:paraId="4D370AC4" w14:textId="77777777" w:rsidR="004A5C42" w:rsidRPr="003E3613" w:rsidRDefault="00A968A8"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Th</w:t>
      </w:r>
      <w:r w:rsidR="00F87899" w:rsidRPr="003E3613">
        <w:rPr>
          <w:rFonts w:ascii="Book Antiqua" w:hAnsi="Book Antiqua"/>
          <w:bCs/>
          <w:iCs/>
          <w:sz w:val="23"/>
          <w:szCs w:val="23"/>
          <w:lang w:val="en-GB"/>
        </w:rPr>
        <w:t>us, th</w:t>
      </w:r>
      <w:r w:rsidRPr="003E3613">
        <w:rPr>
          <w:rFonts w:ascii="Book Antiqua" w:hAnsi="Book Antiqua"/>
          <w:bCs/>
          <w:iCs/>
          <w:sz w:val="23"/>
          <w:szCs w:val="23"/>
          <w:lang w:val="en-GB"/>
        </w:rPr>
        <w:t xml:space="preserve">e claim that the Hungarian authorities would have any obligation to provide catering after the final closure of the asylum procedure is not substantiated. </w:t>
      </w:r>
    </w:p>
    <w:p w14:paraId="53A4F052" w14:textId="77777777" w:rsidR="004A5C42" w:rsidRPr="003E3613" w:rsidRDefault="004A5C42" w:rsidP="00204696">
      <w:pPr>
        <w:spacing w:after="0"/>
        <w:jc w:val="both"/>
        <w:rPr>
          <w:rFonts w:ascii="Book Antiqua" w:hAnsi="Book Antiqua"/>
          <w:bCs/>
          <w:iCs/>
          <w:sz w:val="23"/>
          <w:szCs w:val="23"/>
          <w:lang w:val="en-GB"/>
        </w:rPr>
      </w:pPr>
    </w:p>
    <w:p w14:paraId="3E069A9F" w14:textId="77777777" w:rsidR="00660031" w:rsidRDefault="00660031">
      <w:pPr>
        <w:rPr>
          <w:rFonts w:ascii="Book Antiqua" w:eastAsiaTheme="majorEastAsia" w:hAnsi="Book Antiqua" w:cstheme="majorBidi"/>
          <w:b/>
          <w:bCs/>
          <w:sz w:val="23"/>
          <w:szCs w:val="23"/>
          <w:lang w:val="en-GB"/>
        </w:rPr>
      </w:pPr>
      <w:bookmarkStart w:id="70" w:name="_Toc19120827"/>
      <w:r>
        <w:rPr>
          <w:rFonts w:ascii="Book Antiqua" w:hAnsi="Book Antiqua"/>
          <w:sz w:val="23"/>
          <w:szCs w:val="23"/>
          <w:lang w:val="en-GB"/>
        </w:rPr>
        <w:br w:type="page"/>
      </w:r>
    </w:p>
    <w:p w14:paraId="79A461F0" w14:textId="2C9728D7" w:rsidR="000605E1" w:rsidRPr="003E3613" w:rsidRDefault="000605E1" w:rsidP="00204696">
      <w:pPr>
        <w:pStyle w:val="Heading2"/>
        <w:keepNext w:val="0"/>
        <w:keepLines w:val="0"/>
        <w:spacing w:before="0"/>
        <w:rPr>
          <w:rFonts w:ascii="Book Antiqua" w:hAnsi="Book Antiqua"/>
          <w:color w:val="auto"/>
          <w:sz w:val="23"/>
          <w:szCs w:val="23"/>
          <w:lang w:val="en-GB"/>
        </w:rPr>
      </w:pPr>
      <w:r w:rsidRPr="003E3613">
        <w:rPr>
          <w:rFonts w:ascii="Book Antiqua" w:hAnsi="Book Antiqua"/>
          <w:color w:val="auto"/>
          <w:sz w:val="23"/>
          <w:szCs w:val="23"/>
          <w:lang w:val="en-GB"/>
        </w:rPr>
        <w:lastRenderedPageBreak/>
        <w:t>Violation of the applicants’ right to liberty and security (Ilias and Ahmed v. Hungary)</w:t>
      </w:r>
      <w:bookmarkEnd w:id="70"/>
    </w:p>
    <w:p w14:paraId="324E2076" w14:textId="77777777" w:rsidR="000605E1" w:rsidRPr="003E3613" w:rsidRDefault="000605E1" w:rsidP="00204696">
      <w:pPr>
        <w:spacing w:after="0"/>
        <w:jc w:val="both"/>
        <w:rPr>
          <w:rFonts w:ascii="Book Antiqua" w:hAnsi="Book Antiqua"/>
          <w:i/>
          <w:sz w:val="23"/>
          <w:szCs w:val="23"/>
          <w:lang w:val="en-GB"/>
        </w:rPr>
      </w:pPr>
    </w:p>
    <w:p w14:paraId="7A401479" w14:textId="77777777" w:rsidR="000C03EC" w:rsidRPr="003E3613" w:rsidRDefault="000C03EC"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8104F6" w:rsidRPr="003E3613">
        <w:rPr>
          <w:rFonts w:ascii="Book Antiqua" w:hAnsi="Book Antiqua"/>
          <w:i/>
          <w:sz w:val="23"/>
          <w:szCs w:val="23"/>
          <w:lang w:val="en-GB"/>
        </w:rPr>
        <w:t>6</w:t>
      </w:r>
      <w:r w:rsidR="00451B7A" w:rsidRPr="003E3613">
        <w:rPr>
          <w:rFonts w:ascii="Book Antiqua" w:hAnsi="Book Antiqua"/>
          <w:i/>
          <w:sz w:val="23"/>
          <w:szCs w:val="23"/>
          <w:lang w:val="en-GB"/>
        </w:rPr>
        <w:t>8</w:t>
      </w:r>
      <w:r w:rsidRPr="003E3613">
        <w:rPr>
          <w:rFonts w:ascii="Book Antiqua" w:hAnsi="Book Antiqua"/>
          <w:i/>
          <w:sz w:val="23"/>
          <w:szCs w:val="23"/>
          <w:lang w:val="en-GB"/>
        </w:rPr>
        <w:t>) In its judgment of 14 March 2017, Ilias and Ahmed v. Hungary, the ECtHR found that there had been a violation of the applicants’ right to liberty and security. The ECtHR also found that there had been a violation of the prohibition of inhuman or degrading treatment in respect of the applicants’ expulsion to Serbia, as well as a violation of the right to an effective remedy in respect of the conditions of detention at the Röszke transit zone. The case is currently pending before the Grand Chamber of the ECtHR.</w:t>
      </w:r>
    </w:p>
    <w:p w14:paraId="075E5C59" w14:textId="77777777" w:rsidR="000605E1" w:rsidRPr="003E3613" w:rsidRDefault="000605E1" w:rsidP="00204696">
      <w:pPr>
        <w:spacing w:after="0"/>
        <w:jc w:val="both"/>
        <w:rPr>
          <w:rFonts w:ascii="Book Antiqua" w:hAnsi="Book Antiqua"/>
          <w:i/>
          <w:sz w:val="23"/>
          <w:szCs w:val="23"/>
          <w:lang w:val="en-GB"/>
        </w:rPr>
      </w:pPr>
    </w:p>
    <w:p w14:paraId="4A097582" w14:textId="77777777" w:rsidR="00CA1AC3" w:rsidRPr="003E3613" w:rsidRDefault="00CA1AC3"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w:t>
      </w:r>
      <w:r w:rsidR="00DD4385" w:rsidRPr="003E3613">
        <w:rPr>
          <w:rFonts w:ascii="Book Antiqua" w:hAnsi="Book Antiqua"/>
          <w:sz w:val="23"/>
          <w:szCs w:val="23"/>
          <w:lang w:val="en-GB"/>
        </w:rPr>
        <w:t>ECtHR</w:t>
      </w:r>
      <w:r w:rsidRPr="003E3613">
        <w:rPr>
          <w:rFonts w:ascii="Book Antiqua" w:hAnsi="Book Antiqua"/>
          <w:sz w:val="23"/>
          <w:szCs w:val="23"/>
          <w:lang w:val="en-GB"/>
        </w:rPr>
        <w:t xml:space="preserve"> found violation of rights of two Bangladeshi nationals who requested asylum in September 2015 in Hungary who were accommodated in the Röszke Tran</w:t>
      </w:r>
      <w:r w:rsidR="005315A5" w:rsidRPr="003E3613">
        <w:rPr>
          <w:rFonts w:ascii="Book Antiqua" w:hAnsi="Book Antiqua"/>
          <w:sz w:val="23"/>
          <w:szCs w:val="23"/>
          <w:lang w:val="en-GB"/>
        </w:rPr>
        <w:t>s</w:t>
      </w:r>
      <w:r w:rsidRPr="003E3613">
        <w:rPr>
          <w:rFonts w:ascii="Book Antiqua" w:hAnsi="Book Antiqua"/>
          <w:sz w:val="23"/>
          <w:szCs w:val="23"/>
          <w:lang w:val="en-GB"/>
        </w:rPr>
        <w:t>it Zone during the asylum proceedings (23 days) which they were not allowed to leave in the direction of Hungary and whose asylum application was declared inadmissible because Serbia was found to be a safe third country for them. The Court found that the applicants had been deprived of their liberty in violation of Article 5 of the Convention (without appropriate legal ground and without judicial review) and that their refoulement to Serbia placing them at the risk of chain-refoulement to Greece and the irregularities of the asylum-proceedings resulted in a violation of Article 3. The Court also found that the material conditions of reception in the Röszke Tran</w:t>
      </w:r>
      <w:r w:rsidR="005315A5" w:rsidRPr="003E3613">
        <w:rPr>
          <w:rFonts w:ascii="Book Antiqua" w:hAnsi="Book Antiqua"/>
          <w:sz w:val="23"/>
          <w:szCs w:val="23"/>
          <w:lang w:val="en-GB"/>
        </w:rPr>
        <w:t>s</w:t>
      </w:r>
      <w:r w:rsidRPr="003E3613">
        <w:rPr>
          <w:rFonts w:ascii="Book Antiqua" w:hAnsi="Book Antiqua"/>
          <w:sz w:val="23"/>
          <w:szCs w:val="23"/>
          <w:lang w:val="en-GB"/>
        </w:rPr>
        <w:t>it Zone were not in violation of Article 3 but a lack of domestic remedy in respect of these complaints was in breach of Article 13.</w:t>
      </w:r>
    </w:p>
    <w:p w14:paraId="67EDD863" w14:textId="77777777" w:rsidR="00CA1AC3" w:rsidRPr="003E3613" w:rsidRDefault="00CA1AC3" w:rsidP="00204696">
      <w:pPr>
        <w:spacing w:after="0"/>
        <w:jc w:val="both"/>
        <w:rPr>
          <w:rFonts w:ascii="Book Antiqua" w:hAnsi="Book Antiqua"/>
          <w:sz w:val="23"/>
          <w:szCs w:val="23"/>
          <w:lang w:val="en-GB"/>
        </w:rPr>
      </w:pPr>
    </w:p>
    <w:p w14:paraId="2A9337D7" w14:textId="77777777" w:rsidR="00CA1AC3" w:rsidRPr="003E3613" w:rsidRDefault="00CA1AC3"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On 18 September 2017 a Panel of five judges of the </w:t>
      </w:r>
      <w:r w:rsidR="00DD4385" w:rsidRPr="003E3613">
        <w:rPr>
          <w:rFonts w:ascii="Book Antiqua" w:hAnsi="Book Antiqua"/>
          <w:sz w:val="23"/>
          <w:szCs w:val="23"/>
          <w:lang w:val="en-GB"/>
        </w:rPr>
        <w:t xml:space="preserve">ECtHR </w:t>
      </w:r>
      <w:r w:rsidRPr="003E3613">
        <w:rPr>
          <w:rFonts w:ascii="Book Antiqua" w:hAnsi="Book Antiqua"/>
          <w:sz w:val="23"/>
          <w:szCs w:val="23"/>
          <w:lang w:val="en-GB"/>
        </w:rPr>
        <w:t xml:space="preserve">accepted the Government’s request that the case be referred to the Grand Chamber. The Government argued that the case raised serious issues of general importance affecting the interpretation and application of the Convention and the legal order of several High Contracting Parties, and posing serious social challenges. The Government presented in their Memorial submitted </w:t>
      </w:r>
      <w:r w:rsidR="00EA4157" w:rsidRPr="003E3613">
        <w:rPr>
          <w:rFonts w:ascii="Book Antiqua" w:hAnsi="Book Antiqua"/>
          <w:sz w:val="23"/>
          <w:szCs w:val="23"/>
          <w:lang w:val="en-GB"/>
        </w:rPr>
        <w:t xml:space="preserve">on 15 December 2017 </w:t>
      </w:r>
      <w:r w:rsidRPr="003E3613">
        <w:rPr>
          <w:rFonts w:ascii="Book Antiqua" w:hAnsi="Book Antiqua"/>
          <w:sz w:val="23"/>
          <w:szCs w:val="23"/>
          <w:lang w:val="en-GB"/>
        </w:rPr>
        <w:t xml:space="preserve">to the Grand Chamber that global migration is currently based on a purported right to asylum-shopping encouraged by an implicit recognition of that right by the jurisprudence of the Court contrary to the explicitly reiterated principles in the Court’s jurisprudence recognising the States’ right to control the entry and stay of aliens on their territory. </w:t>
      </w:r>
    </w:p>
    <w:p w14:paraId="6CD1FFD4" w14:textId="77777777" w:rsidR="00CA1AC3" w:rsidRPr="003E3613" w:rsidRDefault="00CA1AC3" w:rsidP="00204696">
      <w:pPr>
        <w:spacing w:after="0"/>
        <w:jc w:val="both"/>
        <w:rPr>
          <w:rFonts w:ascii="Book Antiqua" w:hAnsi="Book Antiqua"/>
          <w:sz w:val="23"/>
          <w:szCs w:val="23"/>
          <w:lang w:val="en-GB"/>
        </w:rPr>
      </w:pPr>
    </w:p>
    <w:p w14:paraId="4F506838" w14:textId="77777777" w:rsidR="00CA1AC3" w:rsidRPr="003E3613" w:rsidRDefault="00CA1AC3" w:rsidP="00204696">
      <w:pPr>
        <w:spacing w:after="0"/>
        <w:jc w:val="both"/>
        <w:rPr>
          <w:rFonts w:ascii="Book Antiqua" w:hAnsi="Book Antiqua"/>
          <w:sz w:val="23"/>
          <w:szCs w:val="23"/>
          <w:lang w:val="en-GB"/>
        </w:rPr>
      </w:pPr>
      <w:r w:rsidRPr="003E3613">
        <w:rPr>
          <w:rFonts w:ascii="Book Antiqua" w:hAnsi="Book Antiqua"/>
          <w:sz w:val="23"/>
          <w:szCs w:val="23"/>
          <w:lang w:val="en-GB"/>
        </w:rPr>
        <w:t>The Chamber’s interpretation of Article</w:t>
      </w:r>
      <w:r w:rsidR="00167F25" w:rsidRPr="003E3613">
        <w:rPr>
          <w:rFonts w:ascii="Book Antiqua" w:hAnsi="Book Antiqua"/>
          <w:sz w:val="23"/>
          <w:szCs w:val="23"/>
          <w:lang w:val="en-GB"/>
        </w:rPr>
        <w:t>s</w:t>
      </w:r>
      <w:r w:rsidRPr="003E3613">
        <w:rPr>
          <w:rFonts w:ascii="Book Antiqua" w:hAnsi="Book Antiqua"/>
          <w:sz w:val="23"/>
          <w:szCs w:val="23"/>
          <w:lang w:val="en-GB"/>
        </w:rPr>
        <w:t xml:space="preserve"> 3 and 5 of the Convention was based on the implicit recognition of the right to asylum-shopping whereas the Grand Chamber should clarify that no such right is recognised by international law, including the Convention and should interpret the requirements of Articles 3 and 5 accordingly. The applicants were not deprived of their personal liberty during their stay in the Röszke Transit </w:t>
      </w:r>
      <w:r w:rsidR="007079A5" w:rsidRPr="003E3613">
        <w:rPr>
          <w:rFonts w:ascii="Book Antiqua" w:hAnsi="Book Antiqua"/>
          <w:sz w:val="23"/>
          <w:szCs w:val="23"/>
          <w:lang w:val="en-GB"/>
        </w:rPr>
        <w:t>Zone;</w:t>
      </w:r>
      <w:r w:rsidRPr="003E3613">
        <w:rPr>
          <w:rFonts w:ascii="Book Antiqua" w:hAnsi="Book Antiqua"/>
          <w:sz w:val="23"/>
          <w:szCs w:val="23"/>
          <w:lang w:val="en-GB"/>
        </w:rPr>
        <w:t xml:space="preserve"> therefore, Article 5 of the Convention is not applicable in their case. They entered the transit zone of their own</w:t>
      </w:r>
      <w:r w:rsidR="006826D6" w:rsidRPr="003E3613">
        <w:rPr>
          <w:rFonts w:ascii="Book Antiqua" w:hAnsi="Book Antiqua"/>
          <w:sz w:val="23"/>
          <w:szCs w:val="23"/>
          <w:lang w:val="en-GB"/>
        </w:rPr>
        <w:t>,</w:t>
      </w:r>
      <w:r w:rsidRPr="003E3613">
        <w:rPr>
          <w:rFonts w:ascii="Book Antiqua" w:hAnsi="Book Antiqua"/>
          <w:sz w:val="23"/>
          <w:szCs w:val="23"/>
          <w:lang w:val="en-GB"/>
        </w:rPr>
        <w:t xml:space="preserve"> free will and were free to leave any time in the direction of Serbia. </w:t>
      </w:r>
    </w:p>
    <w:p w14:paraId="5ABAFE17" w14:textId="77777777" w:rsidR="00CA1AC3" w:rsidRPr="003E3613" w:rsidRDefault="00CA1AC3" w:rsidP="00204696">
      <w:pPr>
        <w:spacing w:after="0"/>
        <w:jc w:val="both"/>
        <w:rPr>
          <w:rFonts w:ascii="Book Antiqua" w:hAnsi="Book Antiqua"/>
          <w:sz w:val="23"/>
          <w:szCs w:val="23"/>
          <w:lang w:val="en-GB"/>
        </w:rPr>
      </w:pPr>
    </w:p>
    <w:p w14:paraId="52B298B6" w14:textId="77777777" w:rsidR="00CA1AC3" w:rsidRPr="003E3613" w:rsidRDefault="00CA1AC3"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In contrast to the case of Amuur v. France (no. 19776/92, judgment of 25 June 1996), the applicants’ return to Serbia did not require negotiations between the Hungarian and Serbian authorities and there are no financial and/or practical obstacles for any asylum applicants to </w:t>
      </w:r>
      <w:r w:rsidR="00B42C8C" w:rsidRPr="003E3613">
        <w:rPr>
          <w:rFonts w:ascii="Book Antiqua" w:hAnsi="Book Antiqua"/>
          <w:sz w:val="23"/>
          <w:szCs w:val="23"/>
          <w:lang w:val="en-GB"/>
        </w:rPr>
        <w:t xml:space="preserve">leave </w:t>
      </w:r>
      <w:r w:rsidRPr="003E3613">
        <w:rPr>
          <w:rFonts w:ascii="Book Antiqua" w:hAnsi="Book Antiqua"/>
          <w:sz w:val="23"/>
          <w:szCs w:val="23"/>
          <w:lang w:val="en-GB"/>
        </w:rPr>
        <w:t xml:space="preserve">the border transit zones towards Serbia. Furthermore, in finding that the applicants’ </w:t>
      </w:r>
      <w:r w:rsidRPr="003E3613">
        <w:rPr>
          <w:rFonts w:ascii="Book Antiqua" w:hAnsi="Book Antiqua"/>
          <w:sz w:val="23"/>
          <w:szCs w:val="23"/>
          <w:lang w:val="en-GB"/>
        </w:rPr>
        <w:lastRenderedPageBreak/>
        <w:t>confinement in the transit zone amounted to a de facto deprivation of liberty, the Chamber has failed to distinguish the present case from the case of Riad and Idiab v. Belgium (nos. 29787/03 and 29810/03, § 68, 24 January 2008) in which the applicants were confined in the transit zone not upon their arrival in the country but more than one month later, after decisions had been given ordering their release. The applicants in that case were placed in the transit zone by the will and the actions of the authorities, while in the present case no Hungarian authority compelled the applicants to enter the transit zone.</w:t>
      </w:r>
    </w:p>
    <w:p w14:paraId="28996E96" w14:textId="77777777" w:rsidR="00CA1AC3" w:rsidRPr="003E3613" w:rsidRDefault="00CA1AC3" w:rsidP="00204696">
      <w:pPr>
        <w:spacing w:after="0"/>
        <w:jc w:val="both"/>
        <w:rPr>
          <w:rFonts w:ascii="Book Antiqua" w:hAnsi="Book Antiqua"/>
          <w:sz w:val="23"/>
          <w:szCs w:val="23"/>
          <w:lang w:val="en-GB"/>
        </w:rPr>
      </w:pPr>
    </w:p>
    <w:p w14:paraId="21343C9F" w14:textId="77777777" w:rsidR="001E1B59" w:rsidRPr="003E3613" w:rsidRDefault="00CA1AC3" w:rsidP="00204696">
      <w:pPr>
        <w:spacing w:after="0"/>
        <w:jc w:val="both"/>
        <w:rPr>
          <w:rFonts w:ascii="Book Antiqua" w:hAnsi="Book Antiqua"/>
          <w:sz w:val="23"/>
          <w:szCs w:val="23"/>
          <w:lang w:val="en-GB"/>
        </w:rPr>
      </w:pPr>
      <w:r w:rsidRPr="003E3613">
        <w:rPr>
          <w:rFonts w:ascii="Book Antiqua" w:hAnsi="Book Antiqua"/>
          <w:sz w:val="23"/>
          <w:szCs w:val="23"/>
          <w:lang w:val="en-GB"/>
        </w:rPr>
        <w:t>Third Party submissions were presented by Bulgaria, Poland and the Russian Federation, as well as the UNHCR, NGOs and scholars of international law.</w:t>
      </w:r>
      <w:r w:rsidR="00554D9C" w:rsidRPr="003E3613">
        <w:rPr>
          <w:rFonts w:ascii="Book Antiqua" w:hAnsi="Book Antiqua"/>
          <w:sz w:val="23"/>
          <w:szCs w:val="23"/>
          <w:lang w:val="en-GB"/>
        </w:rPr>
        <w:t xml:space="preserve"> </w:t>
      </w:r>
      <w:r w:rsidR="001E1B59" w:rsidRPr="003E3613">
        <w:rPr>
          <w:rFonts w:ascii="Book Antiqua" w:hAnsi="Book Antiqua"/>
          <w:sz w:val="23"/>
          <w:szCs w:val="23"/>
          <w:lang w:val="en-GB"/>
        </w:rPr>
        <w:t>The Grand Chamber h</w:t>
      </w:r>
      <w:r w:rsidR="00E43BCB" w:rsidRPr="003E3613">
        <w:rPr>
          <w:rFonts w:ascii="Book Antiqua" w:hAnsi="Book Antiqua"/>
          <w:sz w:val="23"/>
          <w:szCs w:val="23"/>
          <w:lang w:val="en-GB"/>
        </w:rPr>
        <w:t xml:space="preserve">eld a hearing on 18 April 2018 and it </w:t>
      </w:r>
      <w:r w:rsidR="00C7210E" w:rsidRPr="003E3613">
        <w:rPr>
          <w:rFonts w:ascii="Book Antiqua" w:hAnsi="Book Antiqua"/>
          <w:sz w:val="23"/>
          <w:szCs w:val="23"/>
          <w:lang w:val="en-GB"/>
        </w:rPr>
        <w:t xml:space="preserve">might </w:t>
      </w:r>
      <w:r w:rsidR="001E1B59" w:rsidRPr="003E3613">
        <w:rPr>
          <w:rFonts w:ascii="Book Antiqua" w:hAnsi="Book Antiqua"/>
          <w:sz w:val="23"/>
          <w:szCs w:val="23"/>
          <w:lang w:val="en-GB"/>
        </w:rPr>
        <w:t xml:space="preserve">deliver its judgment </w:t>
      </w:r>
      <w:r w:rsidR="00C7210E" w:rsidRPr="003E3613">
        <w:rPr>
          <w:rFonts w:ascii="Book Antiqua" w:hAnsi="Book Antiqua"/>
          <w:sz w:val="23"/>
          <w:szCs w:val="23"/>
          <w:lang w:val="en-GB"/>
        </w:rPr>
        <w:t>by the end of 2019</w:t>
      </w:r>
      <w:r w:rsidR="00E01D3E" w:rsidRPr="003E3613">
        <w:rPr>
          <w:rFonts w:ascii="Book Antiqua" w:hAnsi="Book Antiqua"/>
          <w:sz w:val="23"/>
          <w:szCs w:val="23"/>
          <w:lang w:val="en-GB"/>
        </w:rPr>
        <w:t xml:space="preserve"> or in the first term of 2020</w:t>
      </w:r>
      <w:r w:rsidR="001E1B59" w:rsidRPr="003E3613">
        <w:rPr>
          <w:rFonts w:ascii="Book Antiqua" w:hAnsi="Book Antiqua"/>
          <w:sz w:val="23"/>
          <w:szCs w:val="23"/>
          <w:lang w:val="en-GB"/>
        </w:rPr>
        <w:t>.</w:t>
      </w:r>
    </w:p>
    <w:p w14:paraId="6C066837" w14:textId="77777777" w:rsidR="008104F6" w:rsidRPr="003E3613" w:rsidRDefault="008104F6" w:rsidP="00204696">
      <w:pPr>
        <w:spacing w:after="0"/>
        <w:jc w:val="both"/>
        <w:rPr>
          <w:rFonts w:ascii="Book Antiqua" w:hAnsi="Book Antiqua"/>
          <w:sz w:val="23"/>
          <w:szCs w:val="23"/>
          <w:lang w:val="en-GB"/>
        </w:rPr>
      </w:pPr>
    </w:p>
    <w:p w14:paraId="4CD8F89F" w14:textId="77777777" w:rsidR="008104F6" w:rsidRPr="003E3613" w:rsidRDefault="008104F6" w:rsidP="00204696">
      <w:pPr>
        <w:spacing w:after="0"/>
        <w:jc w:val="both"/>
        <w:rPr>
          <w:rFonts w:ascii="Book Antiqua" w:hAnsi="Book Antiqua"/>
          <w:i/>
          <w:sz w:val="23"/>
          <w:szCs w:val="23"/>
          <w:lang w:val="en-GB"/>
        </w:rPr>
      </w:pPr>
      <w:r w:rsidRPr="003E3613">
        <w:rPr>
          <w:rFonts w:ascii="Book Antiqua" w:hAnsi="Book Antiqua"/>
          <w:i/>
          <w:sz w:val="23"/>
          <w:szCs w:val="23"/>
          <w:lang w:val="en-GB"/>
        </w:rPr>
        <w:t>(6</w:t>
      </w:r>
      <w:r w:rsidR="008D5849" w:rsidRPr="003E3613">
        <w:rPr>
          <w:rFonts w:ascii="Book Antiqua" w:hAnsi="Book Antiqua"/>
          <w:i/>
          <w:sz w:val="23"/>
          <w:szCs w:val="23"/>
          <w:lang w:val="en-GB"/>
        </w:rPr>
        <w:t>9</w:t>
      </w:r>
      <w:r w:rsidRPr="003E3613">
        <w:rPr>
          <w:rFonts w:ascii="Book Antiqua" w:hAnsi="Book Antiqua"/>
          <w:i/>
          <w:sz w:val="23"/>
          <w:szCs w:val="23"/>
          <w:lang w:val="en-GB"/>
        </w:rPr>
        <w:t>)</w:t>
      </w:r>
      <w:r w:rsidRPr="003E3613">
        <w:rPr>
          <w:rFonts w:ascii="Book Antiqua" w:hAnsi="Book Antiqua"/>
          <w:i/>
          <w:sz w:val="23"/>
          <w:szCs w:val="23"/>
          <w:lang w:val="en-GB"/>
        </w:rPr>
        <w:tab/>
        <w:t>On 14 March 2018, Ahmed H., a Syrian resident in Cyprus who had tried to help his family flee Syria and cross the Serbian-Hungarian border in September 2015, was sentenced by a Hungarian court to 7 years' imprisonment and 10 years expulsion from the country on the basis of charges of ‘terrorist acts’, raising the issue of proper application of the laws against terrorism in Hungary, as well as the right to a fair trial.</w:t>
      </w:r>
    </w:p>
    <w:p w14:paraId="3AC6C24E" w14:textId="77777777" w:rsidR="008104F6" w:rsidRPr="003E3613" w:rsidRDefault="008104F6" w:rsidP="00204696">
      <w:pPr>
        <w:spacing w:after="0"/>
        <w:jc w:val="both"/>
        <w:rPr>
          <w:rFonts w:ascii="Book Antiqua" w:hAnsi="Book Antiqua"/>
          <w:i/>
          <w:sz w:val="23"/>
          <w:szCs w:val="23"/>
          <w:lang w:val="en-GB"/>
        </w:rPr>
      </w:pPr>
    </w:p>
    <w:p w14:paraId="7618FC4E" w14:textId="77777777" w:rsidR="00BC035D" w:rsidRPr="003E3613" w:rsidRDefault="001E1B59"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It is important to highlight the fact that </w:t>
      </w:r>
      <w:r w:rsidR="009B4B1D" w:rsidRPr="003E3613">
        <w:rPr>
          <w:rFonts w:ascii="Book Antiqua" w:hAnsi="Book Antiqua"/>
          <w:sz w:val="23"/>
          <w:szCs w:val="23"/>
          <w:lang w:val="en-GB"/>
        </w:rPr>
        <w:t xml:space="preserve">at the time of the reasoned proposal </w:t>
      </w:r>
      <w:r w:rsidRPr="003E3613">
        <w:rPr>
          <w:rFonts w:ascii="Book Antiqua" w:hAnsi="Book Antiqua"/>
          <w:sz w:val="23"/>
          <w:szCs w:val="23"/>
          <w:lang w:val="en-GB"/>
        </w:rPr>
        <w:t xml:space="preserve">the judgment in question </w:t>
      </w:r>
      <w:r w:rsidR="009B4B1D" w:rsidRPr="003E3613">
        <w:rPr>
          <w:rFonts w:ascii="Book Antiqua" w:hAnsi="Book Antiqua"/>
          <w:sz w:val="23"/>
          <w:szCs w:val="23"/>
          <w:lang w:val="en-GB"/>
        </w:rPr>
        <w:t>wa</w:t>
      </w:r>
      <w:r w:rsidRPr="003E3613">
        <w:rPr>
          <w:rFonts w:ascii="Book Antiqua" w:hAnsi="Book Antiqua"/>
          <w:sz w:val="23"/>
          <w:szCs w:val="23"/>
          <w:lang w:val="en-GB"/>
        </w:rPr>
        <w:t xml:space="preserve">s not final yet, it was delivered by a court of first instance as a result of retrial, which was ordered by the court of second instance. It is also important that Ahmed H. was charged not only with committing ‘terrorist acts’ but also with the ‘illegal crossing of the border fence by participating in civil disturbance’. The first criminal act is punishable by imprisonment from ten to twenty years, while the latter criminal act is punishable by imprisonment from one to five years. Furthermore, it is unclear why the </w:t>
      </w:r>
      <w:r w:rsidR="009B4B1D" w:rsidRPr="003E3613">
        <w:rPr>
          <w:rFonts w:ascii="Book Antiqua" w:hAnsi="Book Antiqua"/>
          <w:sz w:val="23"/>
          <w:szCs w:val="23"/>
          <w:lang w:val="en-GB"/>
        </w:rPr>
        <w:t xml:space="preserve">reasoned proposal </w:t>
      </w:r>
      <w:r w:rsidRPr="003E3613">
        <w:rPr>
          <w:rFonts w:ascii="Book Antiqua" w:hAnsi="Book Antiqua"/>
          <w:sz w:val="23"/>
          <w:szCs w:val="23"/>
          <w:lang w:val="en-GB"/>
        </w:rPr>
        <w:t xml:space="preserve">states that the case raised the issue of the right to </w:t>
      </w:r>
      <w:r w:rsidR="00E43BCB" w:rsidRPr="003E3613">
        <w:rPr>
          <w:rFonts w:ascii="Book Antiqua" w:hAnsi="Book Antiqua"/>
          <w:sz w:val="23"/>
          <w:szCs w:val="23"/>
          <w:lang w:val="en-GB"/>
        </w:rPr>
        <w:t xml:space="preserve">a </w:t>
      </w:r>
      <w:r w:rsidRPr="003E3613">
        <w:rPr>
          <w:rFonts w:ascii="Book Antiqua" w:hAnsi="Book Antiqua"/>
          <w:sz w:val="23"/>
          <w:szCs w:val="23"/>
          <w:lang w:val="en-GB"/>
        </w:rPr>
        <w:t xml:space="preserve">fair trial, as there </w:t>
      </w:r>
      <w:r w:rsidR="00E43BCB" w:rsidRPr="003E3613">
        <w:rPr>
          <w:rFonts w:ascii="Book Antiqua" w:hAnsi="Book Antiqua"/>
          <w:sz w:val="23"/>
          <w:szCs w:val="23"/>
          <w:lang w:val="en-GB"/>
        </w:rPr>
        <w:t>is</w:t>
      </w:r>
      <w:r w:rsidRPr="003E3613">
        <w:rPr>
          <w:rFonts w:ascii="Book Antiqua" w:hAnsi="Book Antiqua"/>
          <w:sz w:val="23"/>
          <w:szCs w:val="23"/>
          <w:lang w:val="en-GB"/>
        </w:rPr>
        <w:t xml:space="preserve"> no information that would support any concerns regarding the proceedings of the courts dealing with the case.</w:t>
      </w:r>
      <w:r w:rsidR="00BC035D" w:rsidRPr="003E3613">
        <w:rPr>
          <w:rFonts w:ascii="Book Antiqua" w:hAnsi="Book Antiqua"/>
          <w:sz w:val="23"/>
          <w:szCs w:val="23"/>
          <w:lang w:val="en-GB"/>
        </w:rPr>
        <w:t xml:space="preserve"> Even more so, Ahmed H. could practice his right to appeal and as a result, on 20 September 2018 the </w:t>
      </w:r>
      <w:r w:rsidR="00EA4157" w:rsidRPr="003E3613">
        <w:rPr>
          <w:rFonts w:ascii="Book Antiqua" w:hAnsi="Book Antiqua"/>
          <w:sz w:val="23"/>
          <w:szCs w:val="23"/>
          <w:lang w:val="en-GB"/>
        </w:rPr>
        <w:t xml:space="preserve">Regional </w:t>
      </w:r>
      <w:r w:rsidR="00BC035D" w:rsidRPr="003E3613">
        <w:rPr>
          <w:rFonts w:ascii="Book Antiqua" w:hAnsi="Book Antiqua"/>
          <w:sz w:val="23"/>
          <w:szCs w:val="23"/>
          <w:lang w:val="en-GB"/>
        </w:rPr>
        <w:t>Court of Appeal</w:t>
      </w:r>
      <w:r w:rsidR="00EA4157" w:rsidRPr="003E3613">
        <w:rPr>
          <w:rFonts w:ascii="Book Antiqua" w:hAnsi="Book Antiqua"/>
          <w:sz w:val="23"/>
          <w:szCs w:val="23"/>
          <w:lang w:val="en-GB"/>
        </w:rPr>
        <w:t>s</w:t>
      </w:r>
      <w:r w:rsidR="00BC035D" w:rsidRPr="003E3613">
        <w:rPr>
          <w:rFonts w:ascii="Book Antiqua" w:hAnsi="Book Antiqua"/>
          <w:sz w:val="23"/>
          <w:szCs w:val="23"/>
          <w:lang w:val="en-GB"/>
        </w:rPr>
        <w:t xml:space="preserve"> of Szeged sentenced him to five years' imprisonment, therefore reducing the length of imprisonment compared to the sentence of the court of first instance. The court of second instance in its sentence stated that Ahmed H. carried out a terrorist act, since he was using force for trying to make a state body, the police, open the border.</w:t>
      </w:r>
    </w:p>
    <w:p w14:paraId="37943199" w14:textId="77777777" w:rsidR="00531BDA" w:rsidRPr="003E3613" w:rsidRDefault="00531BDA" w:rsidP="00204696">
      <w:pPr>
        <w:spacing w:after="0"/>
        <w:jc w:val="both"/>
        <w:rPr>
          <w:rFonts w:ascii="Book Antiqua" w:hAnsi="Book Antiqua"/>
          <w:sz w:val="23"/>
          <w:szCs w:val="23"/>
          <w:lang w:val="en-GB"/>
        </w:rPr>
      </w:pPr>
    </w:p>
    <w:p w14:paraId="04D16F9A" w14:textId="77777777" w:rsidR="00660031" w:rsidRDefault="00531BDA" w:rsidP="00204696">
      <w:pPr>
        <w:autoSpaceDE w:val="0"/>
        <w:autoSpaceDN w:val="0"/>
        <w:adjustRightInd w:val="0"/>
        <w:spacing w:after="0"/>
        <w:jc w:val="both"/>
        <w:rPr>
          <w:rFonts w:ascii="Book Antiqua" w:hAnsi="Book Antiqua"/>
          <w:sz w:val="23"/>
          <w:szCs w:val="23"/>
          <w:lang w:val="en-GB"/>
        </w:rPr>
      </w:pPr>
      <w:r w:rsidRPr="003E3613">
        <w:rPr>
          <w:rFonts w:ascii="Book Antiqua" w:hAnsi="Book Antiqua"/>
          <w:sz w:val="23"/>
          <w:szCs w:val="23"/>
          <w:lang w:val="en-GB"/>
        </w:rPr>
        <w:t xml:space="preserve">On January 19, 2019, Ahmed H. served two-thirds of his five-year sentence imposed, under which he could be released on parole. In order to obtain the necessary travel </w:t>
      </w:r>
    </w:p>
    <w:p w14:paraId="7D2F283E" w14:textId="77777777" w:rsidR="00660031" w:rsidRDefault="00660031">
      <w:pPr>
        <w:rPr>
          <w:rFonts w:ascii="Book Antiqua" w:hAnsi="Book Antiqua"/>
          <w:sz w:val="23"/>
          <w:szCs w:val="23"/>
          <w:lang w:val="en-GB"/>
        </w:rPr>
      </w:pPr>
      <w:r>
        <w:rPr>
          <w:rFonts w:ascii="Book Antiqua" w:hAnsi="Book Antiqua"/>
          <w:sz w:val="23"/>
          <w:szCs w:val="23"/>
          <w:lang w:val="en-GB"/>
        </w:rPr>
        <w:br w:type="page"/>
      </w:r>
    </w:p>
    <w:p w14:paraId="4B3F9EC3" w14:textId="71B30E0E" w:rsidR="00531BDA" w:rsidRPr="003E3613" w:rsidRDefault="00531BDA" w:rsidP="00204696">
      <w:pPr>
        <w:autoSpaceDE w:val="0"/>
        <w:autoSpaceDN w:val="0"/>
        <w:adjustRightInd w:val="0"/>
        <w:spacing w:after="0"/>
        <w:jc w:val="both"/>
        <w:rPr>
          <w:rFonts w:ascii="Book Antiqua" w:hAnsi="Book Antiqua"/>
          <w:sz w:val="23"/>
          <w:szCs w:val="23"/>
          <w:lang w:val="en-GB"/>
        </w:rPr>
      </w:pPr>
      <w:r w:rsidRPr="003E3613">
        <w:rPr>
          <w:rFonts w:ascii="Book Antiqua" w:hAnsi="Book Antiqua"/>
          <w:sz w:val="23"/>
          <w:szCs w:val="23"/>
          <w:lang w:val="en-GB"/>
        </w:rPr>
        <w:lastRenderedPageBreak/>
        <w:t xml:space="preserve">documents and to organize the removal, the Nyírbátor District Court extended the detention for sixty days. On 1 February 2019, the Budapest-Capital Regional Court dismissed the action brought by Ahmed H. against the Cabinet Office of the Prime Minister for violation of his right to privacy, in which Ahmed H. objected to </w:t>
      </w:r>
      <w:r w:rsidR="00423D80" w:rsidRPr="003E3613">
        <w:rPr>
          <w:rFonts w:ascii="Book Antiqua" w:hAnsi="Book Antiqua"/>
          <w:sz w:val="23"/>
          <w:szCs w:val="23"/>
          <w:lang w:val="en-GB"/>
        </w:rPr>
        <w:t>him being mentioned</w:t>
      </w:r>
      <w:r w:rsidRPr="003E3613">
        <w:rPr>
          <w:rFonts w:ascii="Book Antiqua" w:hAnsi="Book Antiqua"/>
          <w:sz w:val="23"/>
          <w:szCs w:val="23"/>
          <w:lang w:val="en-GB"/>
        </w:rPr>
        <w:t xml:space="preserve"> in the 2017 National Consultation Questionnaire. Although he was expelled from Hungary, he still remains in the country, as despite countless earlier criticism searching to establish his innocence, there is no country who would take him over from the Hungarian authorities.</w:t>
      </w:r>
    </w:p>
    <w:p w14:paraId="62BA730F" w14:textId="77777777" w:rsidR="008104F6" w:rsidRPr="003E3613" w:rsidRDefault="008104F6" w:rsidP="00204696">
      <w:pPr>
        <w:spacing w:after="0"/>
        <w:jc w:val="both"/>
        <w:rPr>
          <w:rFonts w:ascii="Book Antiqua" w:hAnsi="Book Antiqua"/>
          <w:i/>
          <w:sz w:val="23"/>
          <w:szCs w:val="23"/>
          <w:lang w:val="en-GB"/>
        </w:rPr>
      </w:pPr>
    </w:p>
    <w:p w14:paraId="25DCE696" w14:textId="77777777" w:rsidR="006E099F" w:rsidRPr="003E3613" w:rsidRDefault="00421C3C" w:rsidP="00204696">
      <w:pPr>
        <w:pStyle w:val="Heading2"/>
        <w:keepNext w:val="0"/>
        <w:keepLines w:val="0"/>
        <w:spacing w:before="0"/>
        <w:rPr>
          <w:rFonts w:ascii="Book Antiqua" w:hAnsi="Book Antiqua"/>
          <w:color w:val="auto"/>
          <w:sz w:val="23"/>
          <w:szCs w:val="23"/>
          <w:lang w:val="en-GB"/>
        </w:rPr>
      </w:pPr>
      <w:bookmarkStart w:id="71" w:name="_Toc19120828"/>
      <w:r w:rsidRPr="003E3613">
        <w:rPr>
          <w:rFonts w:ascii="Book Antiqua" w:hAnsi="Book Antiqua"/>
          <w:color w:val="auto"/>
          <w:sz w:val="23"/>
          <w:szCs w:val="23"/>
          <w:lang w:val="en-GB"/>
        </w:rPr>
        <w:t>M</w:t>
      </w:r>
      <w:r w:rsidRPr="003E3613">
        <w:rPr>
          <w:rFonts w:ascii="Book Antiqua" w:eastAsiaTheme="minorEastAsia" w:hAnsi="Book Antiqua"/>
          <w:color w:val="auto"/>
          <w:sz w:val="23"/>
          <w:szCs w:val="23"/>
          <w:lang w:val="en-GB"/>
        </w:rPr>
        <w:t xml:space="preserve">andatory relocation of </w:t>
      </w:r>
      <w:r w:rsidRPr="003E3613">
        <w:rPr>
          <w:rFonts w:ascii="Book Antiqua" w:hAnsi="Book Antiqua"/>
          <w:color w:val="auto"/>
          <w:sz w:val="23"/>
          <w:szCs w:val="23"/>
          <w:lang w:val="en-GB"/>
        </w:rPr>
        <w:t>asylum</w:t>
      </w:r>
      <w:r w:rsidRPr="003E3613">
        <w:rPr>
          <w:rFonts w:ascii="Book Antiqua" w:eastAsiaTheme="minorEastAsia" w:hAnsi="Book Antiqua"/>
          <w:color w:val="auto"/>
          <w:sz w:val="23"/>
          <w:szCs w:val="23"/>
          <w:lang w:val="en-GB"/>
        </w:rPr>
        <w:t xml:space="preserve"> seekers</w:t>
      </w:r>
      <w:bookmarkEnd w:id="71"/>
    </w:p>
    <w:p w14:paraId="2686BDB1" w14:textId="77777777" w:rsidR="00421C3C" w:rsidRPr="003E3613" w:rsidRDefault="00421C3C" w:rsidP="00204696">
      <w:pPr>
        <w:spacing w:after="0"/>
        <w:jc w:val="both"/>
        <w:rPr>
          <w:rFonts w:ascii="Book Antiqua" w:hAnsi="Book Antiqua"/>
          <w:i/>
          <w:sz w:val="23"/>
          <w:szCs w:val="23"/>
          <w:lang w:val="en-GB"/>
        </w:rPr>
      </w:pPr>
    </w:p>
    <w:p w14:paraId="1A2807CB" w14:textId="77777777" w:rsidR="008104F6" w:rsidRPr="003E3613" w:rsidRDefault="008104F6"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8D5849" w:rsidRPr="003E3613">
        <w:rPr>
          <w:rFonts w:ascii="Book Antiqua" w:hAnsi="Book Antiqua"/>
          <w:i/>
          <w:sz w:val="23"/>
          <w:szCs w:val="23"/>
          <w:lang w:val="en-GB"/>
        </w:rPr>
        <w:t>70</w:t>
      </w:r>
      <w:r w:rsidRPr="003E3613">
        <w:rPr>
          <w:rFonts w:ascii="Book Antiqua" w:hAnsi="Book Antiqua"/>
          <w:i/>
          <w:sz w:val="23"/>
          <w:szCs w:val="23"/>
          <w:lang w:val="en-GB"/>
        </w:rPr>
        <w:t>)</w:t>
      </w:r>
      <w:r w:rsidRPr="003E3613">
        <w:rPr>
          <w:rFonts w:ascii="Book Antiqua" w:hAnsi="Book Antiqua"/>
          <w:i/>
          <w:sz w:val="23"/>
          <w:szCs w:val="23"/>
          <w:lang w:val="en-GB"/>
        </w:rPr>
        <w:tab/>
        <w:t>In its judgment of 6 September 2017 in Case C-643/15 and C-647/15, the Court of Justice of the European Union dismissed in their entirety the actions brought by Slovakia and Hungary against the provisional mechanism for the mandatory relocation of asylum seekers in accordance with Council Decision (EU) 2015/1601. However, since that judgment, Hungary has not complied with the Decision. On 7 December 2017, the Commission decided to refer the Czech Republic, Hungary and Poland to the Court of Justice of the European Union for non-compliance with their legal obligations on relocation.</w:t>
      </w:r>
    </w:p>
    <w:p w14:paraId="0CBFBE15" w14:textId="77777777" w:rsidR="008104F6" w:rsidRPr="003E3613" w:rsidRDefault="008104F6" w:rsidP="00204696">
      <w:pPr>
        <w:spacing w:after="0"/>
        <w:jc w:val="both"/>
        <w:rPr>
          <w:rFonts w:ascii="Book Antiqua" w:hAnsi="Book Antiqua"/>
          <w:sz w:val="23"/>
          <w:szCs w:val="23"/>
          <w:lang w:val="en-GB"/>
        </w:rPr>
      </w:pPr>
    </w:p>
    <w:p w14:paraId="32EBDC1C" w14:textId="77777777" w:rsidR="001E1B59" w:rsidRPr="003E3613" w:rsidRDefault="0036045A" w:rsidP="00204696">
      <w:pPr>
        <w:autoSpaceDE w:val="0"/>
        <w:autoSpaceDN w:val="0"/>
        <w:adjustRightInd w:val="0"/>
        <w:spacing w:after="0"/>
        <w:jc w:val="both"/>
        <w:rPr>
          <w:rFonts w:ascii="Book Antiqua" w:eastAsia="Times New Roman" w:hAnsi="Book Antiqua"/>
          <w:sz w:val="23"/>
          <w:szCs w:val="23"/>
          <w:lang w:val="en-GB"/>
        </w:rPr>
      </w:pPr>
      <w:r w:rsidRPr="003E3613">
        <w:rPr>
          <w:rFonts w:ascii="Book Antiqua" w:eastAsia="Times New Roman" w:hAnsi="Book Antiqua"/>
          <w:sz w:val="23"/>
          <w:szCs w:val="23"/>
          <w:lang w:val="en-GB"/>
        </w:rPr>
        <w:t>Regarding this point, we still uphold the position that had already been declared during the infringement procedures and before the Court of Justice of the European Union.</w:t>
      </w:r>
    </w:p>
    <w:p w14:paraId="1D67E5A8" w14:textId="77777777" w:rsidR="000E5B82" w:rsidRPr="003E3613" w:rsidRDefault="000E5B82" w:rsidP="00204696">
      <w:pPr>
        <w:autoSpaceDE w:val="0"/>
        <w:autoSpaceDN w:val="0"/>
        <w:adjustRightInd w:val="0"/>
        <w:spacing w:after="0"/>
        <w:jc w:val="both"/>
        <w:rPr>
          <w:rFonts w:ascii="Book Antiqua" w:eastAsia="Times New Roman" w:hAnsi="Book Antiqua"/>
          <w:sz w:val="23"/>
          <w:szCs w:val="23"/>
          <w:lang w:val="en-GB"/>
        </w:rPr>
      </w:pPr>
    </w:p>
    <w:p w14:paraId="35E21C73" w14:textId="77777777" w:rsidR="0036045A" w:rsidRPr="003E3613" w:rsidRDefault="001E1B59" w:rsidP="00204696">
      <w:pPr>
        <w:spacing w:after="0"/>
        <w:jc w:val="both"/>
        <w:rPr>
          <w:rFonts w:ascii="Book Antiqua" w:eastAsia="Calibri" w:hAnsi="Book Antiqua"/>
          <w:sz w:val="23"/>
          <w:szCs w:val="23"/>
          <w:lang w:val="en-GB" w:eastAsia="en-US"/>
        </w:rPr>
      </w:pPr>
      <w:r w:rsidRPr="003E3613">
        <w:rPr>
          <w:rFonts w:ascii="Book Antiqua" w:eastAsia="Calibri" w:hAnsi="Book Antiqua"/>
          <w:sz w:val="23"/>
          <w:szCs w:val="23"/>
          <w:lang w:val="en-GB" w:eastAsia="en-US"/>
        </w:rPr>
        <w:t>According to Article 13(2) of Council Decision (EU) 2015/1601</w:t>
      </w:r>
      <w:r w:rsidR="00E43BCB" w:rsidRPr="003E3613">
        <w:rPr>
          <w:rFonts w:ascii="Book Antiqua" w:eastAsia="Calibri" w:hAnsi="Book Antiqua"/>
          <w:sz w:val="23"/>
          <w:szCs w:val="23"/>
          <w:lang w:val="en-GB" w:eastAsia="en-US"/>
        </w:rPr>
        <w:t>,</w:t>
      </w:r>
      <w:r w:rsidRPr="003E3613">
        <w:rPr>
          <w:rFonts w:ascii="Book Antiqua" w:eastAsia="Calibri" w:hAnsi="Book Antiqua"/>
          <w:sz w:val="23"/>
          <w:szCs w:val="23"/>
          <w:lang w:val="en-GB" w:eastAsia="en-US"/>
        </w:rPr>
        <w:t xml:space="preserve"> it ceased to apply on 26 September 2017 as expressly reiterated by the </w:t>
      </w:r>
      <w:r w:rsidR="000E5B82" w:rsidRPr="003E3613">
        <w:rPr>
          <w:rFonts w:ascii="Book Antiqua" w:eastAsia="Calibri" w:hAnsi="Book Antiqua"/>
          <w:sz w:val="23"/>
          <w:szCs w:val="23"/>
          <w:lang w:val="en-GB" w:eastAsia="en-US"/>
        </w:rPr>
        <w:t xml:space="preserve">Court of Justice </w:t>
      </w:r>
      <w:r w:rsidRPr="003E3613">
        <w:rPr>
          <w:rFonts w:ascii="Book Antiqua" w:eastAsia="Calibri" w:hAnsi="Book Antiqua"/>
          <w:sz w:val="23"/>
          <w:szCs w:val="23"/>
          <w:lang w:val="en-GB" w:eastAsia="en-US"/>
        </w:rPr>
        <w:t>in its judg</w:t>
      </w:r>
      <w:r w:rsidR="00BC035D" w:rsidRPr="003E3613">
        <w:rPr>
          <w:rFonts w:ascii="Book Antiqua" w:eastAsia="Calibri" w:hAnsi="Book Antiqua"/>
          <w:sz w:val="23"/>
          <w:szCs w:val="23"/>
          <w:lang w:val="en-GB" w:eastAsia="en-US"/>
        </w:rPr>
        <w:t>e</w:t>
      </w:r>
      <w:r w:rsidRPr="003E3613">
        <w:rPr>
          <w:rFonts w:ascii="Book Antiqua" w:eastAsia="Calibri" w:hAnsi="Book Antiqua"/>
          <w:sz w:val="23"/>
          <w:szCs w:val="23"/>
          <w:lang w:val="en-GB" w:eastAsia="en-US"/>
        </w:rPr>
        <w:t xml:space="preserve">ment in Case C-643/15 and C-647/15. The Hungarian </w:t>
      </w:r>
      <w:r w:rsidR="00412380" w:rsidRPr="003E3613">
        <w:rPr>
          <w:rFonts w:ascii="Book Antiqua" w:eastAsia="Calibri" w:hAnsi="Book Antiqua"/>
          <w:sz w:val="23"/>
          <w:szCs w:val="23"/>
          <w:lang w:val="en-GB" w:eastAsia="en-US"/>
        </w:rPr>
        <w:t>G</w:t>
      </w:r>
      <w:r w:rsidRPr="003E3613">
        <w:rPr>
          <w:rFonts w:ascii="Book Antiqua" w:eastAsia="Calibri" w:hAnsi="Book Antiqua"/>
          <w:sz w:val="23"/>
          <w:szCs w:val="23"/>
          <w:lang w:val="en-GB" w:eastAsia="en-US"/>
        </w:rPr>
        <w:t>over</w:t>
      </w:r>
      <w:r w:rsidR="00412380" w:rsidRPr="003E3613">
        <w:rPr>
          <w:rFonts w:ascii="Book Antiqua" w:eastAsia="Calibri" w:hAnsi="Book Antiqua"/>
          <w:sz w:val="23"/>
          <w:szCs w:val="23"/>
          <w:lang w:val="en-GB" w:eastAsia="en-US"/>
        </w:rPr>
        <w:t>n</w:t>
      </w:r>
      <w:r w:rsidRPr="003E3613">
        <w:rPr>
          <w:rFonts w:ascii="Book Antiqua" w:eastAsia="Calibri" w:hAnsi="Book Antiqua"/>
          <w:sz w:val="23"/>
          <w:szCs w:val="23"/>
          <w:lang w:val="en-GB" w:eastAsia="en-US"/>
        </w:rPr>
        <w:t>ment, together with the gover</w:t>
      </w:r>
      <w:r w:rsidR="00412380" w:rsidRPr="003E3613">
        <w:rPr>
          <w:rFonts w:ascii="Book Antiqua" w:eastAsia="Calibri" w:hAnsi="Book Antiqua"/>
          <w:sz w:val="23"/>
          <w:szCs w:val="23"/>
          <w:lang w:val="en-GB" w:eastAsia="en-US"/>
        </w:rPr>
        <w:t>n</w:t>
      </w:r>
      <w:r w:rsidRPr="003E3613">
        <w:rPr>
          <w:rFonts w:ascii="Book Antiqua" w:eastAsia="Calibri" w:hAnsi="Book Antiqua"/>
          <w:sz w:val="23"/>
          <w:szCs w:val="23"/>
          <w:lang w:val="en-GB" w:eastAsia="en-US"/>
        </w:rPr>
        <w:t xml:space="preserve">ments of the other Member States under </w:t>
      </w:r>
      <w:r w:rsidR="00EA4157" w:rsidRPr="003E3613">
        <w:rPr>
          <w:rFonts w:ascii="Book Antiqua" w:eastAsia="Calibri" w:hAnsi="Book Antiqua"/>
          <w:sz w:val="23"/>
          <w:szCs w:val="23"/>
          <w:lang w:val="en-GB" w:eastAsia="en-US"/>
        </w:rPr>
        <w:t>review (the Czech Republic</w:t>
      </w:r>
      <w:r w:rsidR="00324C5E" w:rsidRPr="003E3613">
        <w:rPr>
          <w:rFonts w:ascii="Book Antiqua" w:eastAsia="Calibri" w:hAnsi="Book Antiqua"/>
          <w:sz w:val="23"/>
          <w:szCs w:val="23"/>
          <w:lang w:val="en-GB" w:eastAsia="en-US"/>
        </w:rPr>
        <w:t xml:space="preserve"> and</w:t>
      </w:r>
      <w:r w:rsidR="00EA4157" w:rsidRPr="003E3613">
        <w:rPr>
          <w:rFonts w:ascii="Book Antiqua" w:eastAsia="Calibri" w:hAnsi="Book Antiqua"/>
          <w:sz w:val="23"/>
          <w:szCs w:val="23"/>
          <w:lang w:val="en-GB" w:eastAsia="en-US"/>
        </w:rPr>
        <w:t xml:space="preserve"> Poland)</w:t>
      </w:r>
      <w:r w:rsidRPr="003E3613">
        <w:rPr>
          <w:rFonts w:ascii="Book Antiqua" w:eastAsia="Calibri" w:hAnsi="Book Antiqua"/>
          <w:sz w:val="23"/>
          <w:szCs w:val="23"/>
          <w:lang w:val="en-GB" w:eastAsia="en-US"/>
        </w:rPr>
        <w:t xml:space="preserve">, therefore </w:t>
      </w:r>
      <w:r w:rsidR="00A90A09" w:rsidRPr="003E3613">
        <w:rPr>
          <w:rFonts w:ascii="Book Antiqua" w:eastAsia="Calibri" w:hAnsi="Book Antiqua"/>
          <w:sz w:val="23"/>
          <w:szCs w:val="23"/>
          <w:lang w:val="en-GB" w:eastAsia="en-US"/>
        </w:rPr>
        <w:t xml:space="preserve">claims </w:t>
      </w:r>
      <w:r w:rsidRPr="003E3613">
        <w:rPr>
          <w:rFonts w:ascii="Book Antiqua" w:eastAsia="Calibri" w:hAnsi="Book Antiqua"/>
          <w:sz w:val="23"/>
          <w:szCs w:val="23"/>
          <w:lang w:val="en-GB" w:eastAsia="en-US"/>
        </w:rPr>
        <w:t>that the action of the Commission has become devoid of purpose and should be rejected as inadmissible.</w:t>
      </w:r>
    </w:p>
    <w:p w14:paraId="3E6A2704" w14:textId="77777777" w:rsidR="00531BDA" w:rsidRPr="003E3613" w:rsidRDefault="00531BDA" w:rsidP="00204696">
      <w:pPr>
        <w:spacing w:after="0"/>
        <w:jc w:val="both"/>
        <w:rPr>
          <w:rFonts w:ascii="Book Antiqua" w:eastAsia="Calibri" w:hAnsi="Book Antiqua"/>
          <w:sz w:val="23"/>
          <w:szCs w:val="23"/>
          <w:lang w:val="en-GB" w:eastAsia="en-US"/>
        </w:rPr>
      </w:pPr>
    </w:p>
    <w:p w14:paraId="0967A9FC" w14:textId="77777777" w:rsidR="00531BDA" w:rsidRPr="003E3613" w:rsidRDefault="00531BDA" w:rsidP="00204696">
      <w:pPr>
        <w:autoSpaceDE w:val="0"/>
        <w:autoSpaceDN w:val="0"/>
        <w:adjustRightInd w:val="0"/>
        <w:spacing w:after="0"/>
        <w:jc w:val="both"/>
        <w:rPr>
          <w:rFonts w:ascii="Book Antiqua" w:eastAsia="Calibri" w:hAnsi="Book Antiqua"/>
          <w:sz w:val="23"/>
          <w:szCs w:val="23"/>
          <w:lang w:val="en-GB" w:eastAsia="en-US"/>
        </w:rPr>
      </w:pPr>
      <w:r w:rsidRPr="003E3613">
        <w:rPr>
          <w:rFonts w:ascii="Book Antiqua" w:eastAsia="Calibri" w:hAnsi="Book Antiqua"/>
          <w:sz w:val="23"/>
          <w:szCs w:val="23"/>
          <w:lang w:val="en-GB" w:eastAsia="en-US"/>
        </w:rPr>
        <w:t>The infringement procedure in this case is pendin</w:t>
      </w:r>
      <w:r w:rsidR="00AB3519" w:rsidRPr="003E3613">
        <w:rPr>
          <w:rFonts w:ascii="Book Antiqua" w:eastAsia="Calibri" w:hAnsi="Book Antiqua"/>
          <w:sz w:val="23"/>
          <w:szCs w:val="23"/>
          <w:lang w:val="en-GB" w:eastAsia="en-US"/>
        </w:rPr>
        <w:t>g</w:t>
      </w:r>
      <w:r w:rsidRPr="003E3613">
        <w:rPr>
          <w:rFonts w:ascii="Book Antiqua" w:eastAsia="Calibri" w:hAnsi="Book Antiqua"/>
          <w:sz w:val="23"/>
          <w:szCs w:val="23"/>
          <w:lang w:val="en-GB" w:eastAsia="en-US"/>
        </w:rPr>
        <w:t xml:space="preserve"> before the </w:t>
      </w:r>
      <w:r w:rsidR="004A7A9F" w:rsidRPr="003E3613">
        <w:rPr>
          <w:rFonts w:ascii="Book Antiqua" w:eastAsia="Calibri" w:hAnsi="Book Antiqua"/>
          <w:sz w:val="23"/>
          <w:szCs w:val="23"/>
          <w:lang w:val="en-GB" w:eastAsia="en-US"/>
        </w:rPr>
        <w:t>Court of Justice</w:t>
      </w:r>
      <w:r w:rsidRPr="003E3613">
        <w:rPr>
          <w:rFonts w:ascii="Book Antiqua" w:eastAsia="Calibri" w:hAnsi="Book Antiqua"/>
          <w:sz w:val="23"/>
          <w:szCs w:val="23"/>
          <w:lang w:val="en-GB" w:eastAsia="en-US"/>
        </w:rPr>
        <w:t xml:space="preserve">. </w:t>
      </w:r>
      <w:r w:rsidR="006A680E" w:rsidRPr="003E3613">
        <w:rPr>
          <w:rFonts w:ascii="Book Antiqua" w:eastAsia="Calibri" w:hAnsi="Book Antiqua"/>
          <w:sz w:val="23"/>
          <w:szCs w:val="23"/>
          <w:lang w:val="en-GB" w:eastAsia="en-US"/>
        </w:rPr>
        <w:t>The hearing took place on 15 May 2019. Following the Advocate General’s Opinion, expected early autumn of 2019, the judgment is likely to be delivered at the earliest in the end of 2019.</w:t>
      </w:r>
    </w:p>
    <w:p w14:paraId="68F0E0BE" w14:textId="77777777" w:rsidR="0036045A" w:rsidRPr="003E3613" w:rsidRDefault="0036045A" w:rsidP="00204696">
      <w:pPr>
        <w:spacing w:after="0"/>
        <w:jc w:val="both"/>
        <w:rPr>
          <w:rFonts w:ascii="Book Antiqua" w:hAnsi="Book Antiqua"/>
          <w:i/>
          <w:sz w:val="23"/>
          <w:szCs w:val="23"/>
          <w:lang w:val="en-GB"/>
        </w:rPr>
      </w:pPr>
    </w:p>
    <w:p w14:paraId="7BEABBB3" w14:textId="77777777" w:rsidR="003E37E1" w:rsidRPr="003E3613" w:rsidRDefault="003E37E1" w:rsidP="00204696">
      <w:pPr>
        <w:pStyle w:val="Heading2"/>
        <w:keepNext w:val="0"/>
        <w:keepLines w:val="0"/>
        <w:spacing w:before="0"/>
        <w:rPr>
          <w:rFonts w:ascii="Book Antiqua" w:hAnsi="Book Antiqua"/>
          <w:color w:val="auto"/>
          <w:sz w:val="23"/>
          <w:szCs w:val="23"/>
          <w:lang w:val="en-GB"/>
        </w:rPr>
      </w:pPr>
      <w:bookmarkStart w:id="72" w:name="_Toc19120829"/>
      <w:r w:rsidRPr="003E3613">
        <w:rPr>
          <w:rFonts w:ascii="Book Antiqua" w:hAnsi="Book Antiqua"/>
          <w:color w:val="auto"/>
          <w:sz w:val="23"/>
          <w:szCs w:val="23"/>
          <w:lang w:val="en-GB"/>
        </w:rPr>
        <w:t>Infringement procedure regarding Hungarian asylum legislation</w:t>
      </w:r>
      <w:bookmarkEnd w:id="72"/>
    </w:p>
    <w:p w14:paraId="772FCAB2" w14:textId="77777777" w:rsidR="003E37E1" w:rsidRPr="003E3613" w:rsidRDefault="003E37E1" w:rsidP="00204696">
      <w:pPr>
        <w:spacing w:after="0"/>
        <w:jc w:val="both"/>
        <w:rPr>
          <w:rFonts w:ascii="Book Antiqua" w:hAnsi="Book Antiqua"/>
          <w:i/>
          <w:sz w:val="23"/>
          <w:szCs w:val="23"/>
          <w:lang w:val="en-GB"/>
        </w:rPr>
      </w:pPr>
    </w:p>
    <w:p w14:paraId="7F7FF47D" w14:textId="77777777" w:rsidR="000C03EC" w:rsidRPr="003E3613" w:rsidRDefault="000C03EC"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412380" w:rsidRPr="003E3613">
        <w:rPr>
          <w:rFonts w:ascii="Book Antiqua" w:hAnsi="Book Antiqua"/>
          <w:i/>
          <w:sz w:val="23"/>
          <w:szCs w:val="23"/>
          <w:lang w:val="en-GB"/>
        </w:rPr>
        <w:t>71</w:t>
      </w:r>
      <w:r w:rsidRPr="003E3613">
        <w:rPr>
          <w:rFonts w:ascii="Book Antiqua" w:hAnsi="Book Antiqua"/>
          <w:i/>
          <w:sz w:val="23"/>
          <w:szCs w:val="23"/>
          <w:lang w:val="en-GB"/>
        </w:rPr>
        <w:t>) On 7 December 2017, the Commission decided to move forward on the infringement procedure against Hungary concerning its asylum legislation by sending a reasoned opinion. The Commission considers that the Hungarian legislation does not comply with Union law, in particular Directives 2013/32/EU, 2008/115/EC and 2013/33/EU of the European Parliament and of the Council and several provisions of the Charter.</w:t>
      </w:r>
      <w:r w:rsidR="007A7825" w:rsidRPr="003E3613">
        <w:rPr>
          <w:rFonts w:ascii="Book Antiqua" w:hAnsi="Book Antiqua"/>
          <w:sz w:val="23"/>
          <w:szCs w:val="23"/>
          <w:lang w:val="en-GB"/>
        </w:rPr>
        <w:t xml:space="preserve"> </w:t>
      </w:r>
      <w:r w:rsidR="007A7825" w:rsidRPr="003E3613">
        <w:rPr>
          <w:rFonts w:ascii="Book Antiqua" w:hAnsi="Book Antiqua"/>
          <w:i/>
          <w:sz w:val="23"/>
          <w:szCs w:val="23"/>
          <w:lang w:val="en-GB"/>
        </w:rPr>
        <w:t>On 19 July 2018, the Commission decided to refer Hungary to the Court of Justice for noncompliance of its asylum and return legislation with Union law</w:t>
      </w:r>
      <w:r w:rsidR="002E10E8" w:rsidRPr="003E3613">
        <w:rPr>
          <w:rFonts w:ascii="Book Antiqua" w:hAnsi="Book Antiqua"/>
          <w:i/>
          <w:sz w:val="23"/>
          <w:szCs w:val="23"/>
          <w:lang w:val="en-GB"/>
        </w:rPr>
        <w:t>.</w:t>
      </w:r>
    </w:p>
    <w:p w14:paraId="6AD359EA" w14:textId="77777777" w:rsidR="003E37E1" w:rsidRPr="003E3613" w:rsidRDefault="003E37E1" w:rsidP="00204696">
      <w:pPr>
        <w:spacing w:after="0"/>
        <w:jc w:val="both"/>
        <w:rPr>
          <w:rFonts w:ascii="Book Antiqua" w:hAnsi="Book Antiqua"/>
          <w:i/>
          <w:sz w:val="23"/>
          <w:szCs w:val="23"/>
          <w:lang w:val="en-GB"/>
        </w:rPr>
      </w:pPr>
    </w:p>
    <w:p w14:paraId="492D659C" w14:textId="77777777" w:rsidR="00CA1AC3" w:rsidRPr="003E3613" w:rsidRDefault="00CA1AC3" w:rsidP="00204696">
      <w:pPr>
        <w:spacing w:after="0"/>
        <w:jc w:val="both"/>
        <w:rPr>
          <w:rFonts w:ascii="Book Antiqua" w:hAnsi="Book Antiqua"/>
          <w:bCs/>
          <w:iCs/>
          <w:sz w:val="23"/>
          <w:szCs w:val="23"/>
          <w:lang w:val="en-GB"/>
        </w:rPr>
      </w:pPr>
      <w:r w:rsidRPr="003E3613">
        <w:rPr>
          <w:rFonts w:ascii="Book Antiqua" w:hAnsi="Book Antiqua"/>
          <w:bCs/>
          <w:iCs/>
          <w:sz w:val="23"/>
          <w:szCs w:val="23"/>
          <w:lang w:val="en-GB"/>
        </w:rPr>
        <w:t xml:space="preserve">It should be highlighted that the Hungarian Government is in continuous dialogue with the Commission in all EU Pilot and infringement procedures in order to take into account the </w:t>
      </w:r>
      <w:r w:rsidRPr="003E3613">
        <w:rPr>
          <w:rFonts w:ascii="Book Antiqua" w:hAnsi="Book Antiqua"/>
          <w:bCs/>
          <w:iCs/>
          <w:sz w:val="23"/>
          <w:szCs w:val="23"/>
          <w:lang w:val="en-GB"/>
        </w:rPr>
        <w:lastRenderedPageBreak/>
        <w:t>Commission’s concerns to the fullest extent. This open and constant dialogue takes place in the pending 2015/2201 infringement procedure as well</w:t>
      </w:r>
      <w:r w:rsidR="00B42C8C" w:rsidRPr="003E3613">
        <w:rPr>
          <w:rFonts w:ascii="Book Antiqua" w:hAnsi="Book Antiqua"/>
          <w:bCs/>
          <w:iCs/>
          <w:sz w:val="23"/>
          <w:szCs w:val="23"/>
          <w:lang w:val="en-GB"/>
        </w:rPr>
        <w:t>,</w:t>
      </w:r>
      <w:r w:rsidRPr="003E3613">
        <w:rPr>
          <w:rFonts w:ascii="Book Antiqua" w:hAnsi="Book Antiqua"/>
          <w:bCs/>
          <w:iCs/>
          <w:sz w:val="23"/>
          <w:szCs w:val="23"/>
          <w:lang w:val="en-GB"/>
        </w:rPr>
        <w:t xml:space="preserve"> launched by the Commission in 2015.</w:t>
      </w:r>
    </w:p>
    <w:p w14:paraId="6D9FF865" w14:textId="77777777" w:rsidR="00CA1AC3" w:rsidRPr="003E3613" w:rsidRDefault="00CA1AC3" w:rsidP="00204696">
      <w:pPr>
        <w:spacing w:after="0"/>
        <w:jc w:val="both"/>
        <w:rPr>
          <w:rFonts w:ascii="Book Antiqua" w:hAnsi="Book Antiqua"/>
          <w:iCs/>
          <w:sz w:val="23"/>
          <w:szCs w:val="23"/>
          <w:lang w:val="en-GB"/>
        </w:rPr>
      </w:pPr>
    </w:p>
    <w:p w14:paraId="2D093C05" w14:textId="77777777" w:rsidR="00CA1AC3" w:rsidRPr="003E3613" w:rsidRDefault="00CA1AC3"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By launching this infringement procedure the Commission assumed that certain rules governing the border management and asylum procedures are not in conformity with </w:t>
      </w:r>
      <w:r w:rsidR="0077688A" w:rsidRPr="003E3613">
        <w:rPr>
          <w:rFonts w:ascii="Book Antiqua" w:hAnsi="Book Antiqua"/>
          <w:iCs/>
          <w:sz w:val="23"/>
          <w:szCs w:val="23"/>
          <w:lang w:val="en-GB"/>
        </w:rPr>
        <w:t>the</w:t>
      </w:r>
      <w:r w:rsidRPr="003E3613">
        <w:rPr>
          <w:rFonts w:ascii="Book Antiqua" w:hAnsi="Book Antiqua"/>
          <w:iCs/>
          <w:sz w:val="23"/>
          <w:szCs w:val="23"/>
          <w:lang w:val="en-GB"/>
        </w:rPr>
        <w:t xml:space="preserve"> Asylum Procedures Directive and with Directive 2010/64/EU therefore it raised five questions to the Hungarian Government. As a result of the Hungarian Government’s argumentation the Commission accepted two answers (concerning the right to personal hearing of the applicant in court procedures and the right to translation) to be satisfactory out of the five questions. </w:t>
      </w:r>
    </w:p>
    <w:p w14:paraId="56505312" w14:textId="77777777" w:rsidR="00CA1AC3" w:rsidRPr="003E3613" w:rsidRDefault="00CA1AC3" w:rsidP="00204696">
      <w:pPr>
        <w:spacing w:after="0"/>
        <w:jc w:val="both"/>
        <w:rPr>
          <w:rFonts w:ascii="Book Antiqua" w:hAnsi="Book Antiqua"/>
          <w:iCs/>
          <w:sz w:val="23"/>
          <w:szCs w:val="23"/>
          <w:lang w:val="en-GB"/>
        </w:rPr>
      </w:pPr>
    </w:p>
    <w:p w14:paraId="628FCFC6" w14:textId="77777777" w:rsidR="00CA1AC3" w:rsidRPr="003E3613" w:rsidRDefault="00CA1AC3"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The Commission awaited 16 months after the first phase of the Article 258 TFEU procedure and only went on to continue the procedure when Hungary, </w:t>
      </w:r>
      <w:r w:rsidRPr="003E3613">
        <w:rPr>
          <w:rFonts w:ascii="Book Antiqua" w:hAnsi="Book Antiqua"/>
          <w:bCs/>
          <w:iCs/>
          <w:sz w:val="23"/>
          <w:szCs w:val="23"/>
          <w:lang w:val="en-GB"/>
        </w:rPr>
        <w:t>as a consequence of the crisis situation caused by mass immigration,</w:t>
      </w:r>
      <w:r w:rsidRPr="003E3613">
        <w:rPr>
          <w:rFonts w:ascii="Book Antiqua" w:hAnsi="Book Antiqua"/>
          <w:iCs/>
          <w:sz w:val="23"/>
          <w:szCs w:val="23"/>
          <w:lang w:val="en-GB"/>
        </w:rPr>
        <w:t xml:space="preserve"> introduced several changes in the rules applicable for border management and for asylum procedures. In its additional formal notice sent in May 2017 the Commission raised eight new questions extending the scope of the infringement procedure to the Reception Conditions Directive and to the Return Directive as well as to Articles of the </w:t>
      </w:r>
      <w:r w:rsidR="004D5954" w:rsidRPr="003E3613">
        <w:rPr>
          <w:rFonts w:ascii="Book Antiqua" w:hAnsi="Book Antiqua"/>
          <w:iCs/>
          <w:sz w:val="23"/>
          <w:szCs w:val="23"/>
          <w:lang w:val="en-GB"/>
        </w:rPr>
        <w:t xml:space="preserve">EU </w:t>
      </w:r>
      <w:r w:rsidRPr="003E3613">
        <w:rPr>
          <w:rFonts w:ascii="Book Antiqua" w:hAnsi="Book Antiqua"/>
          <w:iCs/>
          <w:sz w:val="23"/>
          <w:szCs w:val="23"/>
          <w:lang w:val="en-GB"/>
        </w:rPr>
        <w:t xml:space="preserve">Charter </w:t>
      </w:r>
      <w:r w:rsidR="004D5954" w:rsidRPr="003E3613">
        <w:rPr>
          <w:rFonts w:ascii="Book Antiqua" w:hAnsi="Book Antiqua"/>
          <w:iCs/>
          <w:sz w:val="23"/>
          <w:szCs w:val="23"/>
          <w:lang w:val="en-GB"/>
        </w:rPr>
        <w:t xml:space="preserve">of </w:t>
      </w:r>
      <w:r w:rsidRPr="003E3613">
        <w:rPr>
          <w:rFonts w:ascii="Book Antiqua" w:hAnsi="Book Antiqua"/>
          <w:iCs/>
          <w:sz w:val="23"/>
          <w:szCs w:val="23"/>
          <w:lang w:val="en-GB"/>
        </w:rPr>
        <w:t xml:space="preserve">Fundamental Rights. The Hungarian Government kept the Commission updated as regards the steps being taken in the meantime and as a result of the continuous dialogue the Commission accepted the Government’s position in four further questions and did not continue the procedure in this respect. As regards the remaining disputed issues </w:t>
      </w:r>
      <w:r w:rsidR="001E1B59" w:rsidRPr="003E3613">
        <w:rPr>
          <w:rFonts w:ascii="Book Antiqua" w:hAnsi="Book Antiqua"/>
          <w:iCs/>
          <w:sz w:val="23"/>
          <w:szCs w:val="23"/>
          <w:lang w:val="en-GB"/>
        </w:rPr>
        <w:t xml:space="preserve">repeated in the reasoned opinion, </w:t>
      </w:r>
      <w:r w:rsidRPr="003E3613">
        <w:rPr>
          <w:rFonts w:ascii="Book Antiqua" w:hAnsi="Book Antiqua"/>
          <w:iCs/>
          <w:sz w:val="23"/>
          <w:szCs w:val="23"/>
          <w:lang w:val="en-GB"/>
        </w:rPr>
        <w:t xml:space="preserve">the Hungarian Government firmly believes that the rules are in conformity with the applicable EU law. </w:t>
      </w:r>
      <w:r w:rsidR="001E1B59" w:rsidRPr="003E3613">
        <w:rPr>
          <w:rFonts w:ascii="Book Antiqua" w:hAnsi="Book Antiqua"/>
          <w:iCs/>
          <w:sz w:val="23"/>
          <w:szCs w:val="23"/>
          <w:lang w:val="en-GB"/>
        </w:rPr>
        <w:t>Even so, the Commission referred Hungary to the Court of Justice of the EU on 19</w:t>
      </w:r>
      <w:r w:rsidR="00507D16" w:rsidRPr="003E3613">
        <w:rPr>
          <w:rFonts w:ascii="Book Antiqua" w:hAnsi="Book Antiqua"/>
          <w:iCs/>
          <w:sz w:val="23"/>
          <w:szCs w:val="23"/>
          <w:lang w:val="en-GB"/>
        </w:rPr>
        <w:t xml:space="preserve"> </w:t>
      </w:r>
      <w:r w:rsidR="001E1B59" w:rsidRPr="003E3613">
        <w:rPr>
          <w:rFonts w:ascii="Book Antiqua" w:hAnsi="Book Antiqua"/>
          <w:iCs/>
          <w:sz w:val="23"/>
          <w:szCs w:val="23"/>
          <w:lang w:val="en-GB"/>
        </w:rPr>
        <w:t>July 2018 for failure to fully comply with the</w:t>
      </w:r>
      <w:r w:rsidR="007720EA" w:rsidRPr="003E3613">
        <w:rPr>
          <w:rFonts w:ascii="Book Antiqua" w:hAnsi="Book Antiqua"/>
          <w:iCs/>
          <w:sz w:val="23"/>
          <w:szCs w:val="23"/>
          <w:lang w:val="en-GB"/>
        </w:rPr>
        <w:t>se</w:t>
      </w:r>
      <w:r w:rsidR="001E1B59" w:rsidRPr="003E3613">
        <w:rPr>
          <w:rFonts w:ascii="Book Antiqua" w:hAnsi="Book Antiqua"/>
          <w:iCs/>
          <w:sz w:val="23"/>
          <w:szCs w:val="23"/>
          <w:lang w:val="en-GB"/>
        </w:rPr>
        <w:t xml:space="preserve"> directives</w:t>
      </w:r>
      <w:r w:rsidR="000332A4" w:rsidRPr="003E3613">
        <w:rPr>
          <w:rFonts w:ascii="Book Antiqua" w:hAnsi="Book Antiqua"/>
          <w:iCs/>
          <w:sz w:val="23"/>
          <w:szCs w:val="23"/>
          <w:lang w:val="en-GB"/>
        </w:rPr>
        <w:t xml:space="preserve"> (case C-808/18)</w:t>
      </w:r>
      <w:r w:rsidR="001E1B59" w:rsidRPr="003E3613">
        <w:rPr>
          <w:rFonts w:ascii="Book Antiqua" w:hAnsi="Book Antiqua"/>
          <w:iCs/>
          <w:sz w:val="23"/>
          <w:szCs w:val="23"/>
          <w:lang w:val="en-GB"/>
        </w:rPr>
        <w:t>.</w:t>
      </w:r>
      <w:r w:rsidR="000332A4" w:rsidRPr="003E3613">
        <w:rPr>
          <w:rFonts w:ascii="Book Antiqua" w:hAnsi="Book Antiqua"/>
          <w:iCs/>
          <w:sz w:val="23"/>
          <w:szCs w:val="23"/>
          <w:lang w:val="en-GB"/>
        </w:rPr>
        <w:t xml:space="preserve"> </w:t>
      </w:r>
    </w:p>
    <w:p w14:paraId="4222D0E5" w14:textId="77777777" w:rsidR="00CA1AC3" w:rsidRPr="003E3613" w:rsidRDefault="00CA1AC3" w:rsidP="00204696">
      <w:pPr>
        <w:spacing w:after="0"/>
        <w:jc w:val="both"/>
        <w:rPr>
          <w:rFonts w:ascii="Book Antiqua" w:hAnsi="Book Antiqua"/>
          <w:iCs/>
          <w:sz w:val="23"/>
          <w:szCs w:val="23"/>
          <w:lang w:val="en-GB"/>
        </w:rPr>
      </w:pPr>
    </w:p>
    <w:p w14:paraId="4CB4C598" w14:textId="77777777" w:rsidR="00CA1AC3" w:rsidRPr="003E3613" w:rsidRDefault="00CA1AC3"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As to the condition which requires Member States to allow applicants to stay on </w:t>
      </w:r>
      <w:r w:rsidR="004D5954" w:rsidRPr="003E3613">
        <w:rPr>
          <w:rFonts w:ascii="Book Antiqua" w:hAnsi="Book Antiqua"/>
          <w:iCs/>
          <w:sz w:val="23"/>
          <w:szCs w:val="23"/>
          <w:lang w:val="en-GB"/>
        </w:rPr>
        <w:t xml:space="preserve">their </w:t>
      </w:r>
      <w:r w:rsidRPr="003E3613">
        <w:rPr>
          <w:rFonts w:ascii="Book Antiqua" w:hAnsi="Book Antiqua"/>
          <w:iCs/>
          <w:sz w:val="23"/>
          <w:szCs w:val="23"/>
          <w:lang w:val="en-GB"/>
        </w:rPr>
        <w:t xml:space="preserve">territory until a refusal decision </w:t>
      </w:r>
      <w:r w:rsidR="004D5954" w:rsidRPr="003E3613">
        <w:rPr>
          <w:rFonts w:ascii="Book Antiqua" w:hAnsi="Book Antiqua"/>
          <w:iCs/>
          <w:sz w:val="23"/>
          <w:szCs w:val="23"/>
          <w:lang w:val="en-GB"/>
        </w:rPr>
        <w:t xml:space="preserve">enters </w:t>
      </w:r>
      <w:r w:rsidRPr="003E3613">
        <w:rPr>
          <w:rFonts w:ascii="Book Antiqua" w:hAnsi="Book Antiqua"/>
          <w:iCs/>
          <w:sz w:val="23"/>
          <w:szCs w:val="23"/>
          <w:lang w:val="en-GB"/>
        </w:rPr>
        <w:t xml:space="preserve">into force (Asylum Procedures Directive), the Hungarian Government demonstrated in detail that this provision fully applies in Hungary. It means that each and every applicant is allowed to stay (remain) in the </w:t>
      </w:r>
      <w:r w:rsidR="00A13A7F" w:rsidRPr="003E3613">
        <w:rPr>
          <w:rFonts w:ascii="Book Antiqua" w:hAnsi="Book Antiqua"/>
          <w:iCs/>
          <w:sz w:val="23"/>
          <w:szCs w:val="23"/>
          <w:lang w:val="en-GB"/>
        </w:rPr>
        <w:t>transit zone</w:t>
      </w:r>
      <w:r w:rsidR="004D5954" w:rsidRPr="003E3613">
        <w:rPr>
          <w:rFonts w:ascii="Book Antiqua" w:hAnsi="Book Antiqua"/>
          <w:iCs/>
          <w:sz w:val="23"/>
          <w:szCs w:val="23"/>
          <w:lang w:val="en-GB"/>
        </w:rPr>
        <w:t xml:space="preserve"> </w:t>
      </w:r>
      <w:r w:rsidRPr="003E3613">
        <w:rPr>
          <w:rFonts w:ascii="Book Antiqua" w:hAnsi="Book Antiqua"/>
          <w:iCs/>
          <w:sz w:val="23"/>
          <w:szCs w:val="23"/>
          <w:lang w:val="en-GB"/>
        </w:rPr>
        <w:t>until the remedy procedure is over or if no remedy procedure is launched until the deadline for that expires.</w:t>
      </w:r>
      <w:r w:rsidR="00554D9C" w:rsidRPr="003E3613">
        <w:rPr>
          <w:rFonts w:ascii="Book Antiqua" w:hAnsi="Book Antiqua"/>
          <w:iCs/>
          <w:sz w:val="23"/>
          <w:szCs w:val="23"/>
          <w:lang w:val="en-GB"/>
        </w:rPr>
        <w:t xml:space="preserve"> </w:t>
      </w:r>
    </w:p>
    <w:p w14:paraId="4E0D4158" w14:textId="77777777" w:rsidR="00CA1AC3" w:rsidRPr="003E3613" w:rsidRDefault="00CA1AC3" w:rsidP="00204696">
      <w:pPr>
        <w:spacing w:after="0"/>
        <w:jc w:val="both"/>
        <w:rPr>
          <w:rFonts w:ascii="Book Antiqua" w:hAnsi="Book Antiqua"/>
          <w:iCs/>
          <w:sz w:val="23"/>
          <w:szCs w:val="23"/>
          <w:lang w:val="en-GB"/>
        </w:rPr>
      </w:pPr>
    </w:p>
    <w:p w14:paraId="7860C623" w14:textId="77777777" w:rsidR="00660031" w:rsidRDefault="00CA1AC3"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The remaining issues in the infringement procedure relate to the measures introduced as the consequence of the mass immigration situation which forced the Hungarian Government to tighten the applicable rules </w:t>
      </w:r>
      <w:r w:rsidRPr="003E3613">
        <w:rPr>
          <w:rFonts w:ascii="Book Antiqua" w:hAnsi="Book Antiqua"/>
          <w:bCs/>
          <w:iCs/>
          <w:sz w:val="23"/>
          <w:szCs w:val="23"/>
          <w:lang w:val="en-GB"/>
        </w:rPr>
        <w:t>though still within the confines of all the relevant directives.</w:t>
      </w:r>
      <w:r w:rsidRPr="003E3613">
        <w:rPr>
          <w:rFonts w:ascii="Book Antiqua" w:hAnsi="Book Antiqua"/>
          <w:iCs/>
          <w:sz w:val="23"/>
          <w:szCs w:val="23"/>
          <w:lang w:val="en-GB"/>
        </w:rPr>
        <w:t xml:space="preserve"> For instance, according to the Asylum Procedures Directive the application for international protection can be lodged personally and at the place </w:t>
      </w:r>
    </w:p>
    <w:p w14:paraId="53E95F3E" w14:textId="77777777" w:rsidR="00660031" w:rsidRDefault="00660031">
      <w:pPr>
        <w:rPr>
          <w:rFonts w:ascii="Book Antiqua" w:hAnsi="Book Antiqua"/>
          <w:iCs/>
          <w:sz w:val="23"/>
          <w:szCs w:val="23"/>
          <w:lang w:val="en-GB"/>
        </w:rPr>
      </w:pPr>
      <w:r>
        <w:rPr>
          <w:rFonts w:ascii="Book Antiqua" w:hAnsi="Book Antiqua"/>
          <w:iCs/>
          <w:sz w:val="23"/>
          <w:szCs w:val="23"/>
          <w:lang w:val="en-GB"/>
        </w:rPr>
        <w:br w:type="page"/>
      </w:r>
    </w:p>
    <w:p w14:paraId="6D90A0BC" w14:textId="339E1DC8" w:rsidR="00CA1AC3" w:rsidRPr="003E3613" w:rsidRDefault="00CA1AC3" w:rsidP="00204696">
      <w:pPr>
        <w:spacing w:after="0"/>
        <w:jc w:val="both"/>
        <w:rPr>
          <w:rFonts w:ascii="Book Antiqua" w:hAnsi="Book Antiqua"/>
          <w:iCs/>
          <w:sz w:val="23"/>
          <w:szCs w:val="23"/>
          <w:lang w:val="en-GB"/>
        </w:rPr>
      </w:pPr>
      <w:r w:rsidRPr="003E3613">
        <w:rPr>
          <w:rFonts w:ascii="Book Antiqua" w:hAnsi="Book Antiqua"/>
          <w:iCs/>
          <w:sz w:val="23"/>
          <w:szCs w:val="23"/>
          <w:lang w:val="en-GB"/>
        </w:rPr>
        <w:lastRenderedPageBreak/>
        <w:t xml:space="preserve">determined by the Member State. In Hungary the place for lodging an application are the transit zones. Upon entering the transit zone every person is registered </w:t>
      </w:r>
      <w:r w:rsidRPr="003E3613">
        <w:rPr>
          <w:rFonts w:ascii="Book Antiqua" w:hAnsi="Book Antiqua"/>
          <w:sz w:val="23"/>
          <w:szCs w:val="23"/>
          <w:lang w:val="en-GB"/>
        </w:rPr>
        <w:t>immediately</w:t>
      </w:r>
      <w:r w:rsidRPr="003E3613">
        <w:rPr>
          <w:rFonts w:ascii="Book Antiqua" w:hAnsi="Book Antiqua"/>
          <w:iCs/>
          <w:sz w:val="23"/>
          <w:szCs w:val="23"/>
          <w:lang w:val="en-GB"/>
        </w:rPr>
        <w:t xml:space="preserve"> after the application is made although the Directive requires three working days. </w:t>
      </w:r>
      <w:r w:rsidR="00C038CC" w:rsidRPr="003E3613">
        <w:rPr>
          <w:rFonts w:ascii="Book Antiqua" w:hAnsi="Book Antiqua"/>
          <w:iCs/>
          <w:sz w:val="23"/>
          <w:szCs w:val="23"/>
          <w:lang w:val="en-GB"/>
        </w:rPr>
        <w:t>Moreover, d</w:t>
      </w:r>
      <w:r w:rsidR="00C038CC" w:rsidRPr="003E3613">
        <w:rPr>
          <w:rFonts w:ascii="Book Antiqua" w:eastAsia="Calibri" w:hAnsi="Book Antiqua"/>
          <w:sz w:val="23"/>
          <w:szCs w:val="23"/>
          <w:lang w:val="en-GB" w:eastAsia="en-US"/>
        </w:rPr>
        <w:t>ecisions in court proceedings on the basis of actions against rejection decisions for that reason have in many cases overruled the authority's decision. The fact that judgments of the authority can be overturned, confirmed or annulled by the courts decision also mean that the courts assess all the circumstances of each case. Applicants have the possibility to submit an application for immediate protection. In all cases, the applicants have exercised their right, and in all such cases the courts have ordered immediate legal protection, and the asylum authority has not appealed against the order, although it would have been able to do so. In addition, the new ground for inadmissibility is in line with the provisions of the Fundamental Law of Hungary and the provisions of the Geneva Convention.</w:t>
      </w:r>
      <w:r w:rsidR="00C038CC" w:rsidRPr="003E3613">
        <w:rPr>
          <w:rFonts w:ascii="Book Antiqua" w:eastAsia="Calibri" w:hAnsi="Book Antiqua"/>
          <w:sz w:val="23"/>
          <w:szCs w:val="23"/>
          <w:lang w:val="en-GB" w:eastAsia="en-US"/>
        </w:rPr>
        <w:cr/>
      </w:r>
    </w:p>
    <w:p w14:paraId="60734F58" w14:textId="77777777" w:rsidR="00F17DE8" w:rsidRPr="003E3613" w:rsidRDefault="00CA1AC3"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It must be highlighted that </w:t>
      </w:r>
      <w:r w:rsidR="004D5954" w:rsidRPr="003E3613">
        <w:rPr>
          <w:rFonts w:ascii="Book Antiqua" w:hAnsi="Book Antiqua"/>
          <w:iCs/>
          <w:sz w:val="23"/>
          <w:szCs w:val="23"/>
          <w:lang w:val="en-GB"/>
        </w:rPr>
        <w:t xml:space="preserve">the </w:t>
      </w:r>
      <w:r w:rsidRPr="003E3613">
        <w:rPr>
          <w:rFonts w:ascii="Book Antiqua" w:hAnsi="Book Antiqua"/>
          <w:iCs/>
          <w:sz w:val="23"/>
          <w:szCs w:val="23"/>
          <w:lang w:val="en-GB"/>
        </w:rPr>
        <w:t>crisis situation caused by mass immigration is such a circumstance in which Article 72 of TFEU entitles Member States ‘to exercise of the responsibilities incumbent upon Member States with regard to the maintenance of law and order and the safeguarding of internal security’, therefore the Hungarian Government believes that the measures challenged by the Commission in its infringement procedure do not exceed the limits and confines of any applicable secondary law nor the exercise of the responsibilities empowered by Article 72 of TFEU.</w:t>
      </w:r>
      <w:r w:rsidR="00F17DE8" w:rsidRPr="003E3613">
        <w:rPr>
          <w:rFonts w:ascii="Book Antiqua" w:hAnsi="Book Antiqua"/>
          <w:iCs/>
          <w:sz w:val="23"/>
          <w:szCs w:val="23"/>
          <w:lang w:val="en-GB"/>
        </w:rPr>
        <w:t xml:space="preserve"> Despite the recent tendency of the European migration policy and </w:t>
      </w:r>
      <w:r w:rsidR="00BC4E5D" w:rsidRPr="003E3613">
        <w:rPr>
          <w:rFonts w:ascii="Book Antiqua" w:hAnsi="Book Antiqua"/>
          <w:iCs/>
          <w:sz w:val="23"/>
          <w:szCs w:val="23"/>
          <w:lang w:val="en-GB"/>
        </w:rPr>
        <w:t xml:space="preserve">the </w:t>
      </w:r>
      <w:r w:rsidR="00F17DE8" w:rsidRPr="003E3613">
        <w:rPr>
          <w:rFonts w:ascii="Book Antiqua" w:hAnsi="Book Antiqua"/>
          <w:iCs/>
          <w:sz w:val="23"/>
          <w:szCs w:val="23"/>
          <w:lang w:val="en-GB"/>
        </w:rPr>
        <w:t xml:space="preserve">Commission’s suggestions to certain Member States to accelerate their asylum procedure, the infringement case has been referred to the Court of Justice of the EU. </w:t>
      </w:r>
    </w:p>
    <w:p w14:paraId="42B7D755" w14:textId="77777777" w:rsidR="00531BDA" w:rsidRPr="003E3613" w:rsidRDefault="00531BDA" w:rsidP="00204696">
      <w:pPr>
        <w:spacing w:after="0"/>
        <w:jc w:val="both"/>
        <w:rPr>
          <w:rFonts w:ascii="Book Antiqua" w:hAnsi="Book Antiqua"/>
          <w:iCs/>
          <w:sz w:val="23"/>
          <w:szCs w:val="23"/>
          <w:lang w:val="en-GB"/>
        </w:rPr>
      </w:pPr>
    </w:p>
    <w:p w14:paraId="21CCB518" w14:textId="77777777" w:rsidR="00830F07" w:rsidRPr="003E3613" w:rsidRDefault="00830F07" w:rsidP="00204696">
      <w:pPr>
        <w:autoSpaceDE w:val="0"/>
        <w:autoSpaceDN w:val="0"/>
        <w:adjustRightInd w:val="0"/>
        <w:spacing w:after="0"/>
        <w:jc w:val="both"/>
        <w:rPr>
          <w:rFonts w:ascii="Book Antiqua" w:hAnsi="Book Antiqua"/>
          <w:sz w:val="23"/>
          <w:szCs w:val="23"/>
          <w:lang w:val="en-GB"/>
        </w:rPr>
      </w:pPr>
      <w:r w:rsidRPr="003E3613">
        <w:rPr>
          <w:rFonts w:ascii="Book Antiqua" w:hAnsi="Book Antiqua"/>
          <w:iCs/>
          <w:sz w:val="23"/>
          <w:szCs w:val="23"/>
          <w:lang w:val="en-GB"/>
        </w:rPr>
        <w:t xml:space="preserve">The court procedure is pending, a hearing </w:t>
      </w:r>
      <w:r w:rsidRPr="003E3613">
        <w:rPr>
          <w:rFonts w:ascii="Book Antiqua" w:hAnsi="Book Antiqua"/>
          <w:sz w:val="23"/>
          <w:szCs w:val="23"/>
          <w:lang w:val="en-GB"/>
        </w:rPr>
        <w:t>is expected to take place in the autumn of 2019. Following the hearing and the Advocate General’s opinion, the judgment is expected at the earliest at the beginning of 2020.</w:t>
      </w:r>
    </w:p>
    <w:p w14:paraId="454C0BB2" w14:textId="77777777" w:rsidR="004A2C37" w:rsidRPr="003E3613" w:rsidRDefault="004A2C37" w:rsidP="00204696">
      <w:pPr>
        <w:autoSpaceDE w:val="0"/>
        <w:autoSpaceDN w:val="0"/>
        <w:adjustRightInd w:val="0"/>
        <w:spacing w:after="0"/>
        <w:jc w:val="both"/>
        <w:rPr>
          <w:rFonts w:ascii="Book Antiqua" w:hAnsi="Book Antiqua"/>
          <w:iCs/>
          <w:sz w:val="23"/>
          <w:szCs w:val="23"/>
          <w:lang w:val="en-GB"/>
        </w:rPr>
      </w:pPr>
    </w:p>
    <w:p w14:paraId="11698B6D" w14:textId="77777777" w:rsidR="00090557" w:rsidRPr="003E3613" w:rsidRDefault="00090557" w:rsidP="00204696">
      <w:pPr>
        <w:pStyle w:val="Heading2"/>
        <w:keepNext w:val="0"/>
        <w:keepLines w:val="0"/>
        <w:spacing w:before="0"/>
        <w:rPr>
          <w:rFonts w:ascii="Book Antiqua" w:hAnsi="Book Antiqua"/>
          <w:color w:val="auto"/>
          <w:sz w:val="23"/>
          <w:szCs w:val="23"/>
          <w:lang w:val="en-GB"/>
        </w:rPr>
      </w:pPr>
      <w:bookmarkStart w:id="73" w:name="_Toc19120830"/>
      <w:r w:rsidRPr="003E3613">
        <w:rPr>
          <w:rFonts w:ascii="Book Antiqua" w:hAnsi="Book Antiqua"/>
          <w:color w:val="auto"/>
          <w:sz w:val="23"/>
          <w:szCs w:val="23"/>
          <w:lang w:val="en-GB"/>
        </w:rPr>
        <w:t>Detention of asylum applicants</w:t>
      </w:r>
      <w:bookmarkEnd w:id="73"/>
    </w:p>
    <w:p w14:paraId="19168D52" w14:textId="77777777" w:rsidR="00090557" w:rsidRPr="003E3613" w:rsidRDefault="00090557" w:rsidP="00204696">
      <w:pPr>
        <w:spacing w:after="0"/>
        <w:jc w:val="both"/>
        <w:rPr>
          <w:rFonts w:ascii="Book Antiqua" w:hAnsi="Book Antiqua"/>
          <w:i/>
          <w:sz w:val="23"/>
          <w:szCs w:val="23"/>
          <w:lang w:val="en-GB"/>
        </w:rPr>
      </w:pPr>
    </w:p>
    <w:p w14:paraId="11384986" w14:textId="77777777" w:rsidR="000C03EC" w:rsidRPr="003E3613" w:rsidRDefault="000C03EC"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640E71" w:rsidRPr="003E3613">
        <w:rPr>
          <w:rFonts w:ascii="Book Antiqua" w:hAnsi="Book Antiqua"/>
          <w:i/>
          <w:sz w:val="23"/>
          <w:szCs w:val="23"/>
          <w:lang w:val="en-GB"/>
        </w:rPr>
        <w:t>7</w:t>
      </w:r>
      <w:r w:rsidR="008B6257" w:rsidRPr="003E3613">
        <w:rPr>
          <w:rFonts w:ascii="Book Antiqua" w:hAnsi="Book Antiqua"/>
          <w:i/>
          <w:sz w:val="23"/>
          <w:szCs w:val="23"/>
          <w:lang w:val="en-GB"/>
        </w:rPr>
        <w:t>2</w:t>
      </w:r>
      <w:r w:rsidRPr="003E3613">
        <w:rPr>
          <w:rFonts w:ascii="Book Antiqua" w:hAnsi="Book Antiqua"/>
          <w:i/>
          <w:sz w:val="23"/>
          <w:szCs w:val="23"/>
          <w:lang w:val="en-GB"/>
        </w:rPr>
        <w:t xml:space="preserve">) In its concluding observations of 5 April 2018, the UN Human Rights Committee expressed concerns that the Hungarian law adopted in March 2017, which allows for the automatic removal to transit zones of all asylum applicants for the duration of their asylum procedure, with the exception of unaccompanied children identified as being below the age of 14, does not meet the legal standards as a result of the lengthy and indefinite period of confinement allowed, the absence of any legal requirement to promptly examine the specific conditions of each affected individual, and the lack of procedural safeguards to meaningfully challenge removal to the transit zones. </w:t>
      </w:r>
      <w:r w:rsidR="00522CE5" w:rsidRPr="003E3613">
        <w:rPr>
          <w:rFonts w:ascii="Book Antiqua" w:hAnsi="Book Antiqua"/>
          <w:i/>
          <w:sz w:val="23"/>
          <w:szCs w:val="23"/>
          <w:lang w:val="en-GB"/>
        </w:rPr>
        <w:t>The Committee</w:t>
      </w:r>
      <w:r w:rsidRPr="003E3613">
        <w:rPr>
          <w:rFonts w:ascii="Book Antiqua" w:hAnsi="Book Antiqua"/>
          <w:i/>
          <w:sz w:val="23"/>
          <w:szCs w:val="23"/>
          <w:lang w:val="en-GB"/>
        </w:rPr>
        <w:t xml:space="preserve"> was particularly concerned about reports of the extensive use of automatic immigration detention in holding facilities inside Hungary and was concerned that restrictions on personal liberty have been used as a general deterrent against unlawful entry rather than in response to an individualised determination of risk. In addition, the Committee was concerned about allegations of poor conditions in some holding facilities.</w:t>
      </w:r>
      <w:r w:rsidR="00033FDD" w:rsidRPr="003E3613">
        <w:rPr>
          <w:rFonts w:ascii="Book Antiqua" w:hAnsi="Book Antiqua"/>
          <w:i/>
          <w:sz w:val="23"/>
          <w:szCs w:val="23"/>
          <w:lang w:val="en-GB"/>
        </w:rPr>
        <w:t xml:space="preserve"> </w:t>
      </w:r>
      <w:r w:rsidRPr="003E3613">
        <w:rPr>
          <w:rFonts w:ascii="Book Antiqua" w:hAnsi="Book Antiqua"/>
          <w:i/>
          <w:sz w:val="23"/>
          <w:szCs w:val="23"/>
          <w:lang w:val="en-GB"/>
        </w:rPr>
        <w:t xml:space="preserve">It noted with concern the push-back law, which was first introduced in June 2016, enabling summary expulsion by the police of anyone who crosses the border irregularly and was detained on Hungarian territory within 8 kilometres of the border, which was subsequently extended to the entire territory of </w:t>
      </w:r>
      <w:r w:rsidRPr="003E3613">
        <w:rPr>
          <w:rFonts w:ascii="Book Antiqua" w:hAnsi="Book Antiqua"/>
          <w:i/>
          <w:sz w:val="23"/>
          <w:szCs w:val="23"/>
          <w:lang w:val="en-GB"/>
        </w:rPr>
        <w:lastRenderedPageBreak/>
        <w:t xml:space="preserve">Hungary, and decree 191/2015 designating Serbia as a “safe third country” allowing for push-backs at Hungary’s border with Serbia. The Committee noted with concern reports that push-backs have been applied indiscriminately and that individuals subjected to this measure have very limited opportunity to submit an asylum application or right to appeal. It also noted with concern reports of collective and violent expulsions, including allegations of heavy beatings, attacks by police dogs and shootings with rubber bullets, resulting in severe injuries and, at least in one case, in the loss of life of an asylum seeker. It was also concerned about reports that the age assessment of child asylum seekers and unaccompanied minors conducted in the transit zones is inadequate, relies heavily on visual examination by an expert and is </w:t>
      </w:r>
      <w:r w:rsidR="00033FDD" w:rsidRPr="003E3613">
        <w:rPr>
          <w:rFonts w:ascii="Book Antiqua" w:hAnsi="Book Antiqua"/>
          <w:i/>
          <w:sz w:val="23"/>
          <w:szCs w:val="23"/>
          <w:lang w:val="en-GB"/>
        </w:rPr>
        <w:t>inaccurate</w:t>
      </w:r>
      <w:r w:rsidRPr="003E3613">
        <w:rPr>
          <w:rFonts w:ascii="Book Antiqua" w:hAnsi="Book Antiqua"/>
          <w:i/>
          <w:sz w:val="23"/>
          <w:szCs w:val="23"/>
          <w:lang w:val="en-GB"/>
        </w:rPr>
        <w:t xml:space="preserve"> and about reports alleging the lack of adequate access by such asylum seekers to education, social and psychological services and legal aid.</w:t>
      </w:r>
      <w:r w:rsidR="00640E71" w:rsidRPr="003E3613">
        <w:rPr>
          <w:rFonts w:ascii="Book Antiqua" w:hAnsi="Book Antiqua"/>
          <w:i/>
          <w:sz w:val="23"/>
          <w:szCs w:val="23"/>
          <w:lang w:val="en-GB"/>
        </w:rPr>
        <w:t xml:space="preserve"> According to the new proposal for a regulation of the European Parliament and of the Council establishing a common procedure for international protection in the Union and repealing Directive 2013/32/EU the medical age assessment will be a measure of a last resort.</w:t>
      </w:r>
    </w:p>
    <w:p w14:paraId="37695F24" w14:textId="77777777" w:rsidR="00033FDD" w:rsidRPr="003E3613" w:rsidRDefault="00033FDD" w:rsidP="00204696">
      <w:pPr>
        <w:spacing w:after="0"/>
        <w:jc w:val="both"/>
        <w:rPr>
          <w:rFonts w:ascii="Book Antiqua" w:hAnsi="Book Antiqua"/>
          <w:i/>
          <w:sz w:val="23"/>
          <w:szCs w:val="23"/>
          <w:lang w:val="en-GB"/>
        </w:rPr>
      </w:pPr>
    </w:p>
    <w:p w14:paraId="6073AA2A" w14:textId="77777777" w:rsidR="00272313" w:rsidRPr="003E3613" w:rsidRDefault="00CA1AC3" w:rsidP="00204696">
      <w:pPr>
        <w:spacing w:after="0"/>
        <w:jc w:val="both"/>
        <w:rPr>
          <w:rFonts w:ascii="Book Antiqua" w:hAnsi="Book Antiqua" w:cs="Times New Roman"/>
          <w:sz w:val="23"/>
          <w:szCs w:val="23"/>
          <w:lang w:val="en-GB"/>
        </w:rPr>
      </w:pPr>
      <w:r w:rsidRPr="003E3613">
        <w:rPr>
          <w:rFonts w:ascii="Book Antiqua" w:hAnsi="Book Antiqua"/>
          <w:iCs/>
          <w:sz w:val="23"/>
          <w:szCs w:val="23"/>
          <w:lang w:val="en-GB"/>
        </w:rPr>
        <w:t xml:space="preserve">In accordance with the provisions of the 1951 Geneva Refugee Convention refugees have duties towards the country in which they find themselves, which require in particular </w:t>
      </w:r>
      <w:r w:rsidR="00ED21A1" w:rsidRPr="003E3613">
        <w:rPr>
          <w:rFonts w:ascii="Book Antiqua" w:hAnsi="Book Antiqua"/>
          <w:iCs/>
          <w:sz w:val="23"/>
          <w:szCs w:val="23"/>
          <w:lang w:val="en-GB"/>
        </w:rPr>
        <w:t>conforming</w:t>
      </w:r>
      <w:r w:rsidRPr="003E3613">
        <w:rPr>
          <w:rFonts w:ascii="Book Antiqua" w:hAnsi="Book Antiqua"/>
          <w:iCs/>
          <w:sz w:val="23"/>
          <w:szCs w:val="23"/>
          <w:lang w:val="en-GB"/>
        </w:rPr>
        <w:t xml:space="preserve"> to its laws and regulations, as well as to the measures taken for the maintenance of public order.</w:t>
      </w:r>
      <w:r w:rsidR="00272313" w:rsidRPr="003E3613">
        <w:rPr>
          <w:rFonts w:ascii="Book Antiqua" w:hAnsi="Book Antiqua"/>
          <w:iCs/>
          <w:sz w:val="23"/>
          <w:szCs w:val="23"/>
          <w:lang w:val="en-GB"/>
        </w:rPr>
        <w:t xml:space="preserve"> </w:t>
      </w:r>
      <w:r w:rsidR="00272313" w:rsidRPr="003E3613">
        <w:rPr>
          <w:rFonts w:ascii="Book Antiqua" w:hAnsi="Book Antiqua" w:cs="Times New Roman"/>
          <w:sz w:val="23"/>
          <w:szCs w:val="23"/>
          <w:lang w:val="en-GB"/>
        </w:rPr>
        <w:t>The asylum applicants enter the transit zones after being fully informed, voluntarily and of their own free will, without any official constraint.</w:t>
      </w:r>
    </w:p>
    <w:p w14:paraId="5053EF0A" w14:textId="77777777" w:rsidR="00CA1AC3" w:rsidRPr="003E3613" w:rsidRDefault="00CA1AC3" w:rsidP="00204696">
      <w:pPr>
        <w:spacing w:after="0"/>
        <w:jc w:val="both"/>
        <w:rPr>
          <w:rFonts w:ascii="Book Antiqua" w:hAnsi="Book Antiqua"/>
          <w:iCs/>
          <w:sz w:val="23"/>
          <w:szCs w:val="23"/>
          <w:lang w:val="en-GB"/>
        </w:rPr>
      </w:pPr>
    </w:p>
    <w:p w14:paraId="3F062E0C" w14:textId="77777777" w:rsidR="00CA1AC3" w:rsidRPr="003E3613" w:rsidRDefault="00CA1AC3"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Staying in the transit zone is based on the own decision of the entering persons, following their prior and full information, and free of any official constraint. As they are free to decide whether to enter the transit zone, it is also up to their own decision whether </w:t>
      </w:r>
      <w:r w:rsidR="00F72BD7" w:rsidRPr="003E3613">
        <w:rPr>
          <w:rFonts w:ascii="Book Antiqua" w:hAnsi="Book Antiqua"/>
          <w:iCs/>
          <w:sz w:val="23"/>
          <w:szCs w:val="23"/>
          <w:lang w:val="en-GB"/>
        </w:rPr>
        <w:t xml:space="preserve">and when </w:t>
      </w:r>
      <w:r w:rsidRPr="003E3613">
        <w:rPr>
          <w:rFonts w:ascii="Book Antiqua" w:hAnsi="Book Antiqua"/>
          <w:iCs/>
          <w:sz w:val="23"/>
          <w:szCs w:val="23"/>
          <w:lang w:val="en-GB"/>
        </w:rPr>
        <w:t>to leave. The only restriction in this regard is that they cannot enter the territory of Hungary and thus that of the Schengen zone until their request has been</w:t>
      </w:r>
      <w:r w:rsidR="007D6165" w:rsidRPr="003E3613">
        <w:rPr>
          <w:rFonts w:ascii="Book Antiqua" w:hAnsi="Book Antiqua"/>
          <w:iCs/>
          <w:sz w:val="23"/>
          <w:szCs w:val="23"/>
          <w:lang w:val="en-GB"/>
        </w:rPr>
        <w:t xml:space="preserve"> decided </w:t>
      </w:r>
      <w:r w:rsidRPr="003E3613">
        <w:rPr>
          <w:rFonts w:ascii="Book Antiqua" w:hAnsi="Book Antiqua"/>
          <w:iCs/>
          <w:sz w:val="23"/>
          <w:szCs w:val="23"/>
          <w:lang w:val="en-GB"/>
        </w:rPr>
        <w:t>in their favour. Applicants therefore volunteer – based on the information they receive at the entry into the transit zone – to wait in the area determined by the asylum authority. Both the Asylum Procedure</w:t>
      </w:r>
      <w:r w:rsidR="00F72BD7" w:rsidRPr="003E3613">
        <w:rPr>
          <w:rFonts w:ascii="Book Antiqua" w:hAnsi="Book Antiqua"/>
          <w:iCs/>
          <w:sz w:val="23"/>
          <w:szCs w:val="23"/>
          <w:lang w:val="en-GB"/>
        </w:rPr>
        <w:t>s</w:t>
      </w:r>
      <w:r w:rsidRPr="003E3613">
        <w:rPr>
          <w:rFonts w:ascii="Book Antiqua" w:hAnsi="Book Antiqua"/>
          <w:iCs/>
          <w:sz w:val="23"/>
          <w:szCs w:val="23"/>
          <w:lang w:val="en-GB"/>
        </w:rPr>
        <w:t xml:space="preserve"> Directive and the Reception </w:t>
      </w:r>
      <w:r w:rsidR="007D6165" w:rsidRPr="003E3613">
        <w:rPr>
          <w:rFonts w:ascii="Book Antiqua" w:hAnsi="Book Antiqua"/>
          <w:iCs/>
          <w:sz w:val="23"/>
          <w:szCs w:val="23"/>
          <w:lang w:val="en-GB"/>
        </w:rPr>
        <w:t xml:space="preserve">Conditions </w:t>
      </w:r>
      <w:r w:rsidRPr="003E3613">
        <w:rPr>
          <w:rFonts w:ascii="Book Antiqua" w:hAnsi="Book Antiqua"/>
          <w:iCs/>
          <w:sz w:val="23"/>
          <w:szCs w:val="23"/>
          <w:lang w:val="en-GB"/>
        </w:rPr>
        <w:t xml:space="preserve">Directive allows Member States to provide that applicants are required to report to the competent authorities or to appear in front of them in person and they may decide on their place of residence. </w:t>
      </w:r>
    </w:p>
    <w:p w14:paraId="6B214CE9" w14:textId="77777777" w:rsidR="00CA1AC3" w:rsidRPr="003E3613" w:rsidRDefault="00CA1AC3" w:rsidP="00204696">
      <w:pPr>
        <w:spacing w:after="0"/>
        <w:jc w:val="both"/>
        <w:rPr>
          <w:rFonts w:ascii="Book Antiqua" w:hAnsi="Book Antiqua"/>
          <w:iCs/>
          <w:sz w:val="23"/>
          <w:szCs w:val="23"/>
          <w:lang w:val="en-GB"/>
        </w:rPr>
      </w:pPr>
    </w:p>
    <w:p w14:paraId="77907C94" w14:textId="77777777" w:rsidR="00CA1AC3" w:rsidRPr="003E3613" w:rsidRDefault="00CA1AC3" w:rsidP="00204696">
      <w:pPr>
        <w:spacing w:after="0"/>
        <w:jc w:val="both"/>
        <w:rPr>
          <w:rFonts w:ascii="Book Antiqua" w:hAnsi="Book Antiqua"/>
          <w:iCs/>
          <w:sz w:val="23"/>
          <w:szCs w:val="23"/>
          <w:lang w:val="en-GB"/>
        </w:rPr>
      </w:pPr>
      <w:r w:rsidRPr="003E3613">
        <w:rPr>
          <w:rFonts w:ascii="Book Antiqua" w:hAnsi="Book Antiqua"/>
          <w:iCs/>
          <w:sz w:val="23"/>
          <w:szCs w:val="23"/>
          <w:lang w:val="en-GB"/>
        </w:rPr>
        <w:t>The term ‘transit zone’, in the current mass migration crisis situation – which pursuant to the effective gover</w:t>
      </w:r>
      <w:r w:rsidR="00F223BC" w:rsidRPr="003E3613">
        <w:rPr>
          <w:rFonts w:ascii="Book Antiqua" w:hAnsi="Book Antiqua"/>
          <w:iCs/>
          <w:sz w:val="23"/>
          <w:szCs w:val="23"/>
          <w:lang w:val="en-GB"/>
        </w:rPr>
        <w:t xml:space="preserve">nment decree will last until 7 </w:t>
      </w:r>
      <w:r w:rsidR="00047955" w:rsidRPr="003E3613">
        <w:rPr>
          <w:rFonts w:ascii="Book Antiqua" w:hAnsi="Book Antiqua"/>
          <w:iCs/>
          <w:sz w:val="23"/>
          <w:szCs w:val="23"/>
          <w:lang w:val="en-GB"/>
        </w:rPr>
        <w:t>March</w:t>
      </w:r>
      <w:r w:rsidR="002E10E8" w:rsidRPr="003E3613">
        <w:rPr>
          <w:rFonts w:ascii="Book Antiqua" w:hAnsi="Book Antiqua"/>
          <w:iCs/>
          <w:sz w:val="23"/>
          <w:szCs w:val="23"/>
          <w:lang w:val="en-GB"/>
        </w:rPr>
        <w:t xml:space="preserve"> </w:t>
      </w:r>
      <w:r w:rsidRPr="003E3613">
        <w:rPr>
          <w:rFonts w:ascii="Book Antiqua" w:hAnsi="Book Antiqua"/>
          <w:iCs/>
          <w:sz w:val="23"/>
          <w:szCs w:val="23"/>
          <w:lang w:val="en-GB"/>
        </w:rPr>
        <w:t>20</w:t>
      </w:r>
      <w:r w:rsidR="00047955" w:rsidRPr="003E3613">
        <w:rPr>
          <w:rFonts w:ascii="Book Antiqua" w:hAnsi="Book Antiqua"/>
          <w:iCs/>
          <w:sz w:val="23"/>
          <w:szCs w:val="23"/>
          <w:lang w:val="en-GB"/>
        </w:rPr>
        <w:t>20</w:t>
      </w:r>
      <w:r w:rsidRPr="003E3613">
        <w:rPr>
          <w:rFonts w:ascii="Book Antiqua" w:hAnsi="Book Antiqua"/>
          <w:iCs/>
          <w:sz w:val="23"/>
          <w:szCs w:val="23"/>
          <w:lang w:val="en-GB"/>
        </w:rPr>
        <w:t xml:space="preserve"> – defines the location of the procedure rather than the type of the procedure, that is to say, asylum procedures in the transit zones are equally full value procedures</w:t>
      </w:r>
      <w:r w:rsidR="00F72BD7" w:rsidRPr="003E3613">
        <w:rPr>
          <w:rFonts w:ascii="Book Antiqua" w:hAnsi="Book Antiqua"/>
          <w:iCs/>
          <w:sz w:val="23"/>
          <w:szCs w:val="23"/>
          <w:lang w:val="en-GB"/>
        </w:rPr>
        <w:t xml:space="preserve"> on the merits of the cases</w:t>
      </w:r>
      <w:r w:rsidRPr="003E3613">
        <w:rPr>
          <w:rFonts w:ascii="Book Antiqua" w:hAnsi="Book Antiqua"/>
          <w:iCs/>
          <w:sz w:val="23"/>
          <w:szCs w:val="23"/>
          <w:lang w:val="en-GB"/>
        </w:rPr>
        <w:t xml:space="preserve">. Hungarian legislation follows the logic of the Asylum Procedure Directive; according to these provisions Member States may require that applications for international protection be lodged at a designated location. Consequently, Hungary may require that applications be lodged only in transit zones making the fight against </w:t>
      </w:r>
      <w:r w:rsidR="007D6165" w:rsidRPr="003E3613">
        <w:rPr>
          <w:rFonts w:ascii="Book Antiqua" w:hAnsi="Book Antiqua"/>
          <w:iCs/>
          <w:sz w:val="23"/>
          <w:szCs w:val="23"/>
          <w:lang w:val="en-GB"/>
        </w:rPr>
        <w:t xml:space="preserve">human </w:t>
      </w:r>
      <w:r w:rsidRPr="003E3613">
        <w:rPr>
          <w:rFonts w:ascii="Book Antiqua" w:hAnsi="Book Antiqua"/>
          <w:iCs/>
          <w:sz w:val="23"/>
          <w:szCs w:val="23"/>
          <w:lang w:val="en-GB"/>
        </w:rPr>
        <w:t>smuggling even more effective, as well as complying with its obligations on the protection of external borders.</w:t>
      </w:r>
    </w:p>
    <w:p w14:paraId="7D08365E" w14:textId="77777777" w:rsidR="00CA1AC3" w:rsidRPr="003E3613" w:rsidRDefault="00CA1AC3" w:rsidP="00204696">
      <w:pPr>
        <w:spacing w:after="0"/>
        <w:jc w:val="both"/>
        <w:rPr>
          <w:rFonts w:ascii="Book Antiqua" w:hAnsi="Book Antiqua"/>
          <w:iCs/>
          <w:sz w:val="23"/>
          <w:szCs w:val="23"/>
          <w:lang w:val="en-GB"/>
        </w:rPr>
      </w:pPr>
    </w:p>
    <w:p w14:paraId="3F1AB70C" w14:textId="77777777" w:rsidR="006D2E24" w:rsidRPr="003E3613" w:rsidRDefault="006D2E24"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Moreover, they cannot be considered to be in detention since everyone who wishes to do so can leave the transit zone, only the entrance into the Schengen zone is not permitted until the </w:t>
      </w:r>
      <w:r w:rsidRPr="003E3613">
        <w:rPr>
          <w:rFonts w:ascii="Book Antiqua" w:hAnsi="Book Antiqua"/>
          <w:iCs/>
          <w:sz w:val="23"/>
          <w:szCs w:val="23"/>
          <w:lang w:val="en-GB"/>
        </w:rPr>
        <w:lastRenderedPageBreak/>
        <w:t>necessary procedures are not finished. The rules on detention set out in the Reception Conditions Directive are adequately implemented and are applied by the Hungarian authorities only in circumstances when the terms and conditions for ordering such detention are given.</w:t>
      </w:r>
    </w:p>
    <w:p w14:paraId="7EED2DC8" w14:textId="77777777" w:rsidR="006D2E24" w:rsidRPr="003E3613" w:rsidRDefault="006D2E24" w:rsidP="00204696">
      <w:pPr>
        <w:spacing w:after="0"/>
        <w:jc w:val="both"/>
        <w:rPr>
          <w:rFonts w:ascii="Book Antiqua" w:hAnsi="Book Antiqua"/>
          <w:iCs/>
          <w:sz w:val="23"/>
          <w:szCs w:val="23"/>
          <w:lang w:val="en-GB"/>
        </w:rPr>
      </w:pPr>
    </w:p>
    <w:p w14:paraId="6C025D78" w14:textId="77777777" w:rsidR="00CA1AC3" w:rsidRPr="003E3613" w:rsidRDefault="00CA1AC3"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In a mass migration crisis situation Article 72 of the TFEU permits Member States to exercise their powers as regards maintaining public order and internal security. In case of a mass migration crisis situation all applications are examined </w:t>
      </w:r>
      <w:r w:rsidR="00F72BD7" w:rsidRPr="003E3613">
        <w:rPr>
          <w:rFonts w:ascii="Book Antiqua" w:hAnsi="Book Antiqua"/>
          <w:iCs/>
          <w:sz w:val="23"/>
          <w:szCs w:val="23"/>
          <w:lang w:val="en-GB"/>
        </w:rPr>
        <w:t xml:space="preserve">on </w:t>
      </w:r>
      <w:r w:rsidRPr="003E3613">
        <w:rPr>
          <w:rFonts w:ascii="Book Antiqua" w:hAnsi="Book Antiqua"/>
          <w:iCs/>
          <w:sz w:val="23"/>
          <w:szCs w:val="23"/>
          <w:lang w:val="en-GB"/>
        </w:rPr>
        <w:t>their merits as well rather than assessing only admissibility or on the possibility of accelerated procedures</w:t>
      </w:r>
      <w:r w:rsidR="00C33A34" w:rsidRPr="003E3613">
        <w:rPr>
          <w:rFonts w:ascii="Book Antiqua" w:hAnsi="Book Antiqua"/>
          <w:iCs/>
          <w:sz w:val="23"/>
          <w:szCs w:val="23"/>
          <w:lang w:val="en-GB"/>
        </w:rPr>
        <w:t xml:space="preserve">. Furthermore, Hungary fulfils </w:t>
      </w:r>
      <w:r w:rsidR="00916A9E" w:rsidRPr="003E3613">
        <w:rPr>
          <w:rFonts w:ascii="Book Antiqua" w:hAnsi="Book Antiqua"/>
          <w:iCs/>
          <w:sz w:val="23"/>
          <w:szCs w:val="23"/>
          <w:lang w:val="en-GB"/>
        </w:rPr>
        <w:t xml:space="preserve">its </w:t>
      </w:r>
      <w:r w:rsidRPr="003E3613">
        <w:rPr>
          <w:rFonts w:ascii="Book Antiqua" w:hAnsi="Book Antiqua"/>
          <w:iCs/>
          <w:sz w:val="23"/>
          <w:szCs w:val="23"/>
          <w:lang w:val="en-GB"/>
        </w:rPr>
        <w:t xml:space="preserve">obligations stemming from the Schengen Border Code. Hungary, making use of the possibility as enshrined in the Return Directive, escorts asylum seekers, intercepted in the course of illegal border crossing, back to the Hungarian side of the state border. In case of persons </w:t>
      </w:r>
      <w:r w:rsidR="00F72BD7" w:rsidRPr="003E3613">
        <w:rPr>
          <w:rFonts w:ascii="Book Antiqua" w:hAnsi="Book Antiqua"/>
          <w:iCs/>
          <w:sz w:val="23"/>
          <w:szCs w:val="23"/>
          <w:lang w:val="en-GB"/>
        </w:rPr>
        <w:t xml:space="preserve">captured </w:t>
      </w:r>
      <w:r w:rsidRPr="003E3613">
        <w:rPr>
          <w:rFonts w:ascii="Book Antiqua" w:hAnsi="Book Antiqua"/>
          <w:iCs/>
          <w:sz w:val="23"/>
          <w:szCs w:val="23"/>
          <w:lang w:val="en-GB"/>
        </w:rPr>
        <w:t>inside the country but in connection with illegal border crossing, Hungary exercises its rights in line with Article 72 TFEU with a view to maintain law and order.</w:t>
      </w:r>
    </w:p>
    <w:p w14:paraId="31C8C2B3" w14:textId="77777777" w:rsidR="00CA1AC3" w:rsidRPr="003E3613" w:rsidRDefault="00CA1AC3" w:rsidP="00204696">
      <w:pPr>
        <w:spacing w:after="0"/>
        <w:jc w:val="both"/>
        <w:rPr>
          <w:rFonts w:ascii="Book Antiqua" w:hAnsi="Book Antiqua"/>
          <w:iCs/>
          <w:sz w:val="23"/>
          <w:szCs w:val="23"/>
          <w:lang w:val="en-GB"/>
        </w:rPr>
      </w:pPr>
    </w:p>
    <w:p w14:paraId="69DEE5C9" w14:textId="77777777" w:rsidR="00660031" w:rsidRDefault="00C038CC" w:rsidP="00660031">
      <w:pPr>
        <w:spacing w:after="0"/>
        <w:jc w:val="both"/>
        <w:rPr>
          <w:rFonts w:ascii="Book Antiqua" w:hAnsi="Book Antiqua"/>
          <w:iCs/>
          <w:sz w:val="23"/>
          <w:szCs w:val="23"/>
          <w:lang w:val="en-GB"/>
        </w:rPr>
      </w:pPr>
      <w:r w:rsidRPr="003E3613">
        <w:rPr>
          <w:rFonts w:ascii="Book Antiqua" w:hAnsi="Book Antiqua"/>
          <w:iCs/>
          <w:sz w:val="23"/>
          <w:szCs w:val="23"/>
          <w:lang w:val="en-GB"/>
        </w:rPr>
        <w:t>It is important to emphasize that, in accordance with the provisions of the Geneva Convention; an asylum seeker is required to apply for international protection in the first country considered safe for him or her and to cooperate with the asylum authority of that country in the case of an application. Nevertheless, a large number of applicants openly undertake that their first journey from a safe country is motivated solely by economic reasons, the region's livelihood difficulties.</w:t>
      </w:r>
      <w:r w:rsidRPr="003E3613">
        <w:rPr>
          <w:lang w:val="en-GB"/>
        </w:rPr>
        <w:t xml:space="preserve"> </w:t>
      </w:r>
      <w:r w:rsidR="00F60955" w:rsidRPr="003E3613">
        <w:rPr>
          <w:rFonts w:ascii="Book Antiqua" w:hAnsi="Book Antiqua" w:cs="Times New Roman"/>
          <w:bCs/>
          <w:sz w:val="23"/>
          <w:szCs w:val="23"/>
          <w:lang w:val="en-GB"/>
        </w:rPr>
        <w:t>In 2015 the Hungarian Government deemed it necessary to establish a national list of safe countries of origin and safe third countries. Therefore,</w:t>
      </w:r>
      <w:r w:rsidR="00BB5E60" w:rsidRPr="003E3613">
        <w:rPr>
          <w:rFonts w:ascii="Book Antiqua" w:hAnsi="Book Antiqua" w:cs="Times New Roman"/>
          <w:bCs/>
          <w:sz w:val="23"/>
          <w:szCs w:val="23"/>
          <w:lang w:val="en-GB"/>
        </w:rPr>
        <w:t xml:space="preserve"> Government</w:t>
      </w:r>
      <w:r w:rsidR="00F60955" w:rsidRPr="003E3613">
        <w:rPr>
          <w:rFonts w:ascii="Book Antiqua" w:hAnsi="Book Antiqua" w:cs="Times New Roman"/>
          <w:bCs/>
          <w:sz w:val="23"/>
          <w:szCs w:val="23"/>
          <w:lang w:val="en-GB"/>
        </w:rPr>
        <w:t xml:space="preserve"> </w:t>
      </w:r>
      <w:r w:rsidR="00F72BD7" w:rsidRPr="003E3613">
        <w:rPr>
          <w:rFonts w:ascii="Book Antiqua" w:hAnsi="Book Antiqua"/>
          <w:sz w:val="23"/>
          <w:szCs w:val="23"/>
          <w:lang w:val="en-GB"/>
        </w:rPr>
        <w:t xml:space="preserve">Decree </w:t>
      </w:r>
      <w:r w:rsidR="00BB5E60" w:rsidRPr="003E3613">
        <w:rPr>
          <w:rFonts w:ascii="Book Antiqua" w:hAnsi="Book Antiqua"/>
          <w:sz w:val="23"/>
          <w:szCs w:val="23"/>
          <w:lang w:val="en-GB"/>
        </w:rPr>
        <w:t xml:space="preserve">No. </w:t>
      </w:r>
      <w:r w:rsidR="00F72BD7" w:rsidRPr="003E3613">
        <w:rPr>
          <w:rFonts w:ascii="Book Antiqua" w:hAnsi="Book Antiqua"/>
          <w:sz w:val="23"/>
          <w:szCs w:val="23"/>
          <w:lang w:val="en-GB"/>
        </w:rPr>
        <w:t>191/2015</w:t>
      </w:r>
      <w:r w:rsidR="00BB5E60" w:rsidRPr="003E3613">
        <w:rPr>
          <w:rFonts w:ascii="Book Antiqua" w:hAnsi="Book Antiqua"/>
          <w:sz w:val="23"/>
          <w:szCs w:val="23"/>
          <w:lang w:val="en-GB"/>
        </w:rPr>
        <w:t xml:space="preserve"> (VII.21.)</w:t>
      </w:r>
      <w:r w:rsidR="00F72BD7" w:rsidRPr="003E3613">
        <w:rPr>
          <w:rFonts w:ascii="Book Antiqua" w:hAnsi="Book Antiqua"/>
          <w:sz w:val="23"/>
          <w:szCs w:val="23"/>
          <w:lang w:val="en-GB"/>
        </w:rPr>
        <w:t xml:space="preserve"> </w:t>
      </w:r>
      <w:r w:rsidR="00F60955" w:rsidRPr="003E3613">
        <w:rPr>
          <w:rFonts w:ascii="Book Antiqua" w:hAnsi="Book Antiqua" w:cs="Times New Roman"/>
          <w:bCs/>
          <w:sz w:val="23"/>
          <w:szCs w:val="23"/>
          <w:lang w:val="en-GB"/>
        </w:rPr>
        <w:t xml:space="preserve">currently specifies the list of safe countries of origin and safe third countries. The insertion of Serbia onto this list is fully in line with international and EU standards: Serbia is a candidate country for the EU, its accession to the European Union is underway. </w:t>
      </w:r>
      <w:r w:rsidR="00BB5E60" w:rsidRPr="003E3613">
        <w:rPr>
          <w:rFonts w:ascii="Book Antiqua" w:hAnsi="Book Antiqua" w:cs="Times New Roman"/>
          <w:bCs/>
          <w:sz w:val="23"/>
          <w:szCs w:val="23"/>
          <w:lang w:val="en-GB"/>
        </w:rPr>
        <w:t xml:space="preserve">The </w:t>
      </w:r>
      <w:r w:rsidR="00F60955" w:rsidRPr="003E3613">
        <w:rPr>
          <w:rFonts w:ascii="Book Antiqua" w:hAnsi="Book Antiqua" w:cs="Times New Roman"/>
          <w:bCs/>
          <w:sz w:val="23"/>
          <w:szCs w:val="23"/>
          <w:lang w:val="en-GB"/>
        </w:rPr>
        <w:t>European Commission has not expressed doubts that Serbia should be regarded as a safe third country.</w:t>
      </w:r>
      <w:r w:rsidR="007D609C" w:rsidRPr="003E3613">
        <w:rPr>
          <w:rFonts w:ascii="Book Antiqua" w:hAnsi="Book Antiqua"/>
          <w:iCs/>
          <w:sz w:val="23"/>
          <w:szCs w:val="23"/>
          <w:lang w:val="en-GB"/>
        </w:rPr>
        <w:t xml:space="preserve"> </w:t>
      </w:r>
      <w:r w:rsidR="00CA1AC3" w:rsidRPr="003E3613">
        <w:rPr>
          <w:rFonts w:ascii="Book Antiqua" w:hAnsi="Book Antiqua"/>
          <w:iCs/>
          <w:sz w:val="23"/>
          <w:szCs w:val="23"/>
          <w:lang w:val="en-GB"/>
        </w:rPr>
        <w:t>It would be nonsense if a candidate country would not qualify as a safe third country. Additionally, there is still no EU list determining safe third countr</w:t>
      </w:r>
      <w:r w:rsidR="00C33A34" w:rsidRPr="003E3613">
        <w:rPr>
          <w:rFonts w:ascii="Book Antiqua" w:hAnsi="Book Antiqua"/>
          <w:iCs/>
          <w:sz w:val="23"/>
          <w:szCs w:val="23"/>
          <w:lang w:val="en-GB"/>
        </w:rPr>
        <w:t>ies;</w:t>
      </w:r>
      <w:r w:rsidR="00CA1AC3" w:rsidRPr="003E3613">
        <w:rPr>
          <w:rFonts w:ascii="Book Antiqua" w:hAnsi="Book Antiqua"/>
          <w:iCs/>
          <w:sz w:val="23"/>
          <w:szCs w:val="23"/>
          <w:lang w:val="en-GB"/>
        </w:rPr>
        <w:t xml:space="preserve"> therefore, Member States can decide in this area</w:t>
      </w:r>
      <w:r w:rsidR="00D61E3A" w:rsidRPr="003E3613">
        <w:rPr>
          <w:rFonts w:ascii="Book Antiqua" w:hAnsi="Book Antiqua"/>
          <w:iCs/>
          <w:sz w:val="23"/>
          <w:szCs w:val="23"/>
          <w:lang w:val="en-GB"/>
        </w:rPr>
        <w:t xml:space="preserve"> on </w:t>
      </w:r>
      <w:r w:rsidR="00F72BD7" w:rsidRPr="003E3613">
        <w:rPr>
          <w:rFonts w:ascii="Book Antiqua" w:hAnsi="Book Antiqua"/>
          <w:iCs/>
          <w:sz w:val="23"/>
          <w:szCs w:val="23"/>
          <w:lang w:val="en-GB"/>
        </w:rPr>
        <w:t>their</w:t>
      </w:r>
      <w:r w:rsidR="00D61E3A" w:rsidRPr="003E3613">
        <w:rPr>
          <w:rFonts w:ascii="Book Antiqua" w:hAnsi="Book Antiqua"/>
          <w:iCs/>
          <w:sz w:val="23"/>
          <w:szCs w:val="23"/>
          <w:lang w:val="en-GB"/>
        </w:rPr>
        <w:t xml:space="preserve"> own</w:t>
      </w:r>
      <w:r w:rsidR="00934762" w:rsidRPr="003E3613">
        <w:rPr>
          <w:rFonts w:ascii="Book Antiqua" w:hAnsi="Book Antiqua"/>
          <w:iCs/>
          <w:sz w:val="23"/>
          <w:szCs w:val="23"/>
          <w:lang w:val="en-GB"/>
        </w:rPr>
        <w:t>, in accordance with EU</w:t>
      </w:r>
      <w:r w:rsidR="00BB5E60" w:rsidRPr="003E3613">
        <w:rPr>
          <w:rFonts w:ascii="Book Antiqua" w:hAnsi="Book Antiqua"/>
          <w:iCs/>
          <w:sz w:val="23"/>
          <w:szCs w:val="23"/>
          <w:lang w:val="en-GB"/>
        </w:rPr>
        <w:t xml:space="preserve"> </w:t>
      </w:r>
      <w:r w:rsidR="00934762" w:rsidRPr="003E3613">
        <w:rPr>
          <w:rFonts w:ascii="Book Antiqua" w:hAnsi="Book Antiqua"/>
          <w:iCs/>
          <w:sz w:val="23"/>
          <w:szCs w:val="23"/>
          <w:lang w:val="en-GB"/>
        </w:rPr>
        <w:t>law</w:t>
      </w:r>
      <w:r w:rsidR="004F06D3" w:rsidRPr="003E3613">
        <w:rPr>
          <w:rFonts w:ascii="Book Antiqua" w:hAnsi="Book Antiqua"/>
          <w:iCs/>
          <w:sz w:val="23"/>
          <w:szCs w:val="23"/>
          <w:lang w:val="en-GB"/>
        </w:rPr>
        <w:t>.</w:t>
      </w:r>
      <w:r w:rsidR="004B64DB" w:rsidRPr="003E3613">
        <w:rPr>
          <w:lang w:val="en-GB"/>
        </w:rPr>
        <w:t xml:space="preserve"> </w:t>
      </w:r>
      <w:r w:rsidR="004B64DB" w:rsidRPr="003E3613">
        <w:rPr>
          <w:rFonts w:ascii="Book Antiqua" w:hAnsi="Book Antiqua"/>
          <w:iCs/>
          <w:sz w:val="23"/>
          <w:szCs w:val="23"/>
          <w:lang w:val="en-GB"/>
        </w:rPr>
        <w:t xml:space="preserve">It is worth underlining that one of the main tasks of the state is to protect its territory and punish those who commit offences or crimes. Forcible removal sanctions are set to protect the country from those foreign nationals who have entered Hungary illegally. Of course, if these people are able to prove their </w:t>
      </w:r>
      <w:r w:rsidR="00F7195C" w:rsidRPr="003E3613">
        <w:rPr>
          <w:rFonts w:ascii="Book Antiqua" w:hAnsi="Book Antiqua"/>
          <w:iCs/>
          <w:sz w:val="23"/>
          <w:szCs w:val="23"/>
          <w:lang w:val="en-GB"/>
        </w:rPr>
        <w:t>right for international protection</w:t>
      </w:r>
      <w:r w:rsidR="004B64DB" w:rsidRPr="003E3613">
        <w:rPr>
          <w:rFonts w:ascii="Book Antiqua" w:hAnsi="Book Antiqua"/>
          <w:iCs/>
          <w:sz w:val="23"/>
          <w:szCs w:val="23"/>
          <w:lang w:val="en-GB"/>
        </w:rPr>
        <w:t>, non</w:t>
      </w:r>
      <w:r w:rsidR="00193D93" w:rsidRPr="003E3613">
        <w:rPr>
          <w:rFonts w:ascii="Book Antiqua" w:hAnsi="Book Antiqua"/>
          <w:iCs/>
          <w:sz w:val="23"/>
          <w:szCs w:val="23"/>
          <w:lang w:val="en-GB"/>
        </w:rPr>
        <w:t>e</w:t>
      </w:r>
      <w:r w:rsidR="004B64DB" w:rsidRPr="003E3613">
        <w:rPr>
          <w:rFonts w:ascii="Book Antiqua" w:hAnsi="Book Antiqua"/>
          <w:iCs/>
          <w:sz w:val="23"/>
          <w:szCs w:val="23"/>
          <w:lang w:val="en-GB"/>
        </w:rPr>
        <w:t xml:space="preserve"> of these sanctions come into effect, they can enter Hungary legally. It must be noted that in the context of the removal, </w:t>
      </w:r>
    </w:p>
    <w:p w14:paraId="5A2C89A6" w14:textId="7DA2CEA7" w:rsidR="00660031" w:rsidRDefault="00660031" w:rsidP="00660031">
      <w:pPr>
        <w:spacing w:after="0"/>
        <w:jc w:val="both"/>
        <w:rPr>
          <w:rFonts w:ascii="Book Antiqua" w:hAnsi="Book Antiqua"/>
          <w:iCs/>
          <w:sz w:val="23"/>
          <w:szCs w:val="23"/>
          <w:lang w:val="en-GB"/>
        </w:rPr>
      </w:pPr>
      <w:r>
        <w:rPr>
          <w:rFonts w:ascii="Book Antiqua" w:hAnsi="Book Antiqua"/>
          <w:iCs/>
          <w:sz w:val="23"/>
          <w:szCs w:val="23"/>
          <w:lang w:val="en-GB"/>
        </w:rPr>
        <w:br w:type="page"/>
      </w:r>
    </w:p>
    <w:p w14:paraId="7DE21B79" w14:textId="0BD08936" w:rsidR="00CA1AC3" w:rsidRPr="003E3613" w:rsidRDefault="004B64DB" w:rsidP="00204696">
      <w:pPr>
        <w:spacing w:after="0"/>
        <w:jc w:val="both"/>
        <w:rPr>
          <w:rFonts w:ascii="Book Antiqua" w:hAnsi="Book Antiqua"/>
          <w:iCs/>
          <w:sz w:val="23"/>
          <w:szCs w:val="23"/>
          <w:lang w:val="en-GB"/>
        </w:rPr>
      </w:pPr>
      <w:r w:rsidRPr="003E3613">
        <w:rPr>
          <w:rFonts w:ascii="Book Antiqua" w:hAnsi="Book Antiqua"/>
          <w:iCs/>
          <w:sz w:val="23"/>
          <w:szCs w:val="23"/>
          <w:lang w:val="en-GB"/>
        </w:rPr>
        <w:lastRenderedPageBreak/>
        <w:t xml:space="preserve">proper identification in many cases cannot be carried out since the </w:t>
      </w:r>
      <w:r w:rsidR="00F7195C" w:rsidRPr="003E3613">
        <w:rPr>
          <w:rFonts w:ascii="Book Antiqua" w:hAnsi="Book Antiqua"/>
          <w:iCs/>
          <w:sz w:val="23"/>
          <w:szCs w:val="23"/>
          <w:lang w:val="en-GB"/>
        </w:rPr>
        <w:t xml:space="preserve">asylum seekers </w:t>
      </w:r>
      <w:r w:rsidRPr="003E3613">
        <w:rPr>
          <w:rFonts w:ascii="Book Antiqua" w:hAnsi="Book Antiqua"/>
          <w:iCs/>
          <w:sz w:val="23"/>
          <w:szCs w:val="23"/>
          <w:lang w:val="en-GB"/>
        </w:rPr>
        <w:t>leave their papers behind.</w:t>
      </w:r>
    </w:p>
    <w:p w14:paraId="6644F7FA" w14:textId="77777777" w:rsidR="00CA1AC3" w:rsidRPr="003E3613" w:rsidRDefault="00CA1AC3" w:rsidP="00204696">
      <w:pPr>
        <w:spacing w:after="0"/>
        <w:jc w:val="both"/>
        <w:rPr>
          <w:rFonts w:ascii="Book Antiqua" w:hAnsi="Book Antiqua"/>
          <w:iCs/>
          <w:sz w:val="23"/>
          <w:szCs w:val="23"/>
          <w:lang w:val="en-GB"/>
        </w:rPr>
      </w:pPr>
    </w:p>
    <w:p w14:paraId="7EEA17F2" w14:textId="77777777" w:rsidR="00CA1AC3" w:rsidRPr="003E3613" w:rsidRDefault="00CA1AC3" w:rsidP="00204696">
      <w:pPr>
        <w:spacing w:after="0"/>
        <w:jc w:val="both"/>
        <w:rPr>
          <w:rFonts w:ascii="Book Antiqua" w:hAnsi="Book Antiqua"/>
          <w:iCs/>
          <w:sz w:val="23"/>
          <w:szCs w:val="23"/>
          <w:lang w:val="en-GB"/>
        </w:rPr>
      </w:pPr>
      <w:r w:rsidRPr="003E3613">
        <w:rPr>
          <w:rFonts w:ascii="Book Antiqua" w:hAnsi="Book Antiqua"/>
          <w:iCs/>
          <w:sz w:val="23"/>
          <w:szCs w:val="23"/>
          <w:lang w:val="en-GB"/>
        </w:rPr>
        <w:t>Reports on alleged ill-treatments are mostly based on subjective resources originating from illegal migrants and NGOs supporting them, thus, these accounts give rise to doubts concerning their factual reliability. In addition, so far no court cases have been reported where Hungarian border police officers have been indicted on charges of abusing asylum seekers confirming the position of the Hungar</w:t>
      </w:r>
      <w:r w:rsidR="008B1065" w:rsidRPr="003E3613">
        <w:rPr>
          <w:rFonts w:ascii="Book Antiqua" w:hAnsi="Book Antiqua"/>
          <w:iCs/>
          <w:sz w:val="23"/>
          <w:szCs w:val="23"/>
          <w:lang w:val="en-GB"/>
        </w:rPr>
        <w:t>ian Government</w:t>
      </w:r>
      <w:r w:rsidRPr="003E3613">
        <w:rPr>
          <w:rFonts w:ascii="Book Antiqua" w:hAnsi="Book Antiqua"/>
          <w:iCs/>
          <w:sz w:val="23"/>
          <w:szCs w:val="23"/>
          <w:lang w:val="en-GB"/>
        </w:rPr>
        <w:t xml:space="preserve"> that these accusations are completely unjustified.</w:t>
      </w:r>
    </w:p>
    <w:p w14:paraId="75A58EDB" w14:textId="77777777" w:rsidR="00CA1AC3" w:rsidRPr="003E3613" w:rsidRDefault="00CA1AC3" w:rsidP="00204696">
      <w:pPr>
        <w:spacing w:after="0"/>
        <w:jc w:val="both"/>
        <w:rPr>
          <w:rFonts w:ascii="Book Antiqua" w:hAnsi="Book Antiqua"/>
          <w:iCs/>
          <w:sz w:val="23"/>
          <w:szCs w:val="23"/>
          <w:lang w:val="en-GB"/>
        </w:rPr>
      </w:pPr>
    </w:p>
    <w:p w14:paraId="6B664FC8" w14:textId="77777777" w:rsidR="001F26E7" w:rsidRPr="003E3613" w:rsidRDefault="00CA1AC3"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As for the age assessment of children there are medical </w:t>
      </w:r>
      <w:r w:rsidR="00C33A34" w:rsidRPr="003E3613">
        <w:rPr>
          <w:rFonts w:ascii="Book Antiqua" w:hAnsi="Book Antiqua"/>
          <w:iCs/>
          <w:sz w:val="23"/>
          <w:szCs w:val="23"/>
          <w:lang w:val="en-GB"/>
        </w:rPr>
        <w:t>staffs</w:t>
      </w:r>
      <w:r w:rsidRPr="003E3613">
        <w:rPr>
          <w:rFonts w:ascii="Book Antiqua" w:hAnsi="Book Antiqua"/>
          <w:iCs/>
          <w:sz w:val="23"/>
          <w:szCs w:val="23"/>
          <w:lang w:val="en-GB"/>
        </w:rPr>
        <w:t xml:space="preserve"> in the transit zones </w:t>
      </w:r>
      <w:r w:rsidR="00BB7688" w:rsidRPr="003E3613">
        <w:rPr>
          <w:rFonts w:ascii="Book Antiqua" w:hAnsi="Book Antiqua"/>
          <w:iCs/>
          <w:sz w:val="23"/>
          <w:szCs w:val="23"/>
          <w:lang w:val="en-GB"/>
        </w:rPr>
        <w:t>that</w:t>
      </w:r>
      <w:r w:rsidRPr="003E3613">
        <w:rPr>
          <w:rFonts w:ascii="Book Antiqua" w:hAnsi="Book Antiqua"/>
          <w:iCs/>
          <w:sz w:val="23"/>
          <w:szCs w:val="23"/>
          <w:lang w:val="en-GB"/>
        </w:rPr>
        <w:t xml:space="preserve"> are capable of determining the age of the applicants with scientific methods rather than merely by visual examination.</w:t>
      </w:r>
    </w:p>
    <w:p w14:paraId="10CC45FF" w14:textId="77777777" w:rsidR="00492C79" w:rsidRPr="003E3613" w:rsidRDefault="00492C79" w:rsidP="00204696">
      <w:pPr>
        <w:spacing w:after="0"/>
        <w:jc w:val="both"/>
        <w:rPr>
          <w:rFonts w:ascii="Book Antiqua" w:hAnsi="Book Antiqua"/>
          <w:iCs/>
          <w:sz w:val="23"/>
          <w:szCs w:val="23"/>
          <w:lang w:val="en-GB"/>
        </w:rPr>
      </w:pPr>
    </w:p>
    <w:p w14:paraId="07A5F233" w14:textId="77777777" w:rsidR="00492C79" w:rsidRPr="003E3613" w:rsidRDefault="00492C79" w:rsidP="00204696">
      <w:pPr>
        <w:spacing w:after="0"/>
        <w:jc w:val="both"/>
        <w:rPr>
          <w:rFonts w:ascii="Book Antiqua" w:hAnsi="Book Antiqua"/>
          <w:iCs/>
          <w:sz w:val="23"/>
          <w:szCs w:val="23"/>
          <w:lang w:val="en-GB"/>
        </w:rPr>
      </w:pPr>
      <w:r w:rsidRPr="003E3613">
        <w:rPr>
          <w:rFonts w:ascii="Book Antiqua" w:hAnsi="Book Antiqua"/>
          <w:iCs/>
          <w:sz w:val="23"/>
          <w:szCs w:val="23"/>
          <w:lang w:val="en-GB"/>
        </w:rPr>
        <w:t>Free legal aid service is guaranteed for persons involved in an asylum procedure who are considered to be in need of legal aid, regardless of their income and financial situation. Access to these state-funded legal aid services is, by law, guaranteed to asylum seekers both during the asylum procedure at the border and the judicial review of the decision made in the procedure. Moreover, staff members of the National Directorate-General for Aliens Policing inform asylum seekers also orally about the possibility of asking for cost-free legal aid during all the procedures at the border. If the asylum seeker opts in asking for legal aid, a staff member of the legal aid services will immediately be involved. Furthermore, in both transit zones, it is ensured for asylum seekers to submit their applications for legal aid on the spot. Also, the decision-making about the asylum and the legal service are provided in the transit zones.</w:t>
      </w:r>
    </w:p>
    <w:p w14:paraId="4F0F9EF8" w14:textId="77777777" w:rsidR="00CE7DB3" w:rsidRPr="003E3613" w:rsidRDefault="00CE7DB3" w:rsidP="00204696">
      <w:pPr>
        <w:spacing w:after="0"/>
        <w:jc w:val="both"/>
        <w:rPr>
          <w:rFonts w:ascii="Book Antiqua" w:hAnsi="Book Antiqua"/>
          <w:iCs/>
          <w:sz w:val="23"/>
          <w:szCs w:val="23"/>
          <w:lang w:val="en-GB"/>
        </w:rPr>
      </w:pPr>
    </w:p>
    <w:p w14:paraId="25527EEA" w14:textId="2270071D" w:rsidR="000D0F81" w:rsidRPr="003E3613" w:rsidRDefault="000D0F81" w:rsidP="00204696">
      <w:pPr>
        <w:spacing w:after="0"/>
        <w:jc w:val="both"/>
        <w:rPr>
          <w:rFonts w:ascii="Book Antiqua" w:hAnsi="Book Antiqua"/>
          <w:b/>
          <w:iCs/>
          <w:sz w:val="23"/>
          <w:szCs w:val="23"/>
          <w:lang w:val="en-GB"/>
        </w:rPr>
      </w:pPr>
      <w:r w:rsidRPr="003E3613">
        <w:rPr>
          <w:rFonts w:ascii="Book Antiqua" w:hAnsi="Book Antiqua"/>
          <w:b/>
          <w:iCs/>
          <w:sz w:val="23"/>
          <w:szCs w:val="23"/>
          <w:lang w:val="en-GB"/>
        </w:rPr>
        <w:t xml:space="preserve">It should be emphasised that merely on the grounds that Hungary does not share the mainstream immigration policy in Europe and joins instead a growing group of Member States that prefers strict border controls over the “open door policy”, it is completely inappropriate and false to propose the initiation of the Article 7 procedure. Hungary believes that European democracy demands that the admission of </w:t>
      </w:r>
      <w:r w:rsidR="0009613F" w:rsidRPr="003E3613">
        <w:rPr>
          <w:rFonts w:ascii="Book Antiqua" w:hAnsi="Book Antiqua"/>
          <w:b/>
          <w:iCs/>
          <w:sz w:val="23"/>
          <w:szCs w:val="23"/>
          <w:lang w:val="en-GB"/>
        </w:rPr>
        <w:t xml:space="preserve">migrants </w:t>
      </w:r>
      <w:r w:rsidRPr="003E3613">
        <w:rPr>
          <w:rFonts w:ascii="Book Antiqua" w:hAnsi="Book Antiqua"/>
          <w:b/>
          <w:iCs/>
          <w:sz w:val="23"/>
          <w:szCs w:val="23"/>
          <w:lang w:val="en-GB"/>
        </w:rPr>
        <w:t>be dependent on the decision of the Member States alone. Therefore, it is not justified to mention the elements of recitals 62-72 in a reasoned proposal requesting the Council to determine, pursuant to Article 7(1) of the Treaty on European Union, the existence of a clear risk of a serious breach by Hungary of the values on which the Union is founded.</w:t>
      </w:r>
    </w:p>
    <w:p w14:paraId="68DBA348" w14:textId="77777777" w:rsidR="000D0F81" w:rsidRPr="003E3613" w:rsidRDefault="000D0F81" w:rsidP="00204696">
      <w:pPr>
        <w:spacing w:after="0"/>
        <w:jc w:val="both"/>
        <w:rPr>
          <w:rFonts w:ascii="Book Antiqua" w:hAnsi="Book Antiqua"/>
          <w:iCs/>
          <w:sz w:val="23"/>
          <w:szCs w:val="23"/>
          <w:lang w:val="en-GB"/>
        </w:rPr>
      </w:pPr>
    </w:p>
    <w:p w14:paraId="4D13FDE9" w14:textId="77777777" w:rsidR="000C03EC" w:rsidRPr="003E3613" w:rsidRDefault="00640E71" w:rsidP="00204696">
      <w:pPr>
        <w:pStyle w:val="Heading1"/>
        <w:keepNext w:val="0"/>
        <w:keepLines w:val="0"/>
        <w:pBdr>
          <w:top w:val="single" w:sz="4" w:space="1" w:color="auto"/>
          <w:left w:val="single" w:sz="4" w:space="4" w:color="auto"/>
          <w:bottom w:val="single" w:sz="4" w:space="1" w:color="auto"/>
          <w:right w:val="single" w:sz="4" w:space="4" w:color="auto"/>
        </w:pBdr>
        <w:shd w:val="clear" w:color="auto" w:fill="C6D9F1" w:themeFill="text2" w:themeFillTint="33"/>
        <w:spacing w:before="0"/>
        <w:rPr>
          <w:rFonts w:ascii="Book Antiqua" w:hAnsi="Book Antiqua"/>
          <w:color w:val="auto"/>
          <w:sz w:val="23"/>
          <w:szCs w:val="23"/>
          <w:lang w:val="en-GB"/>
        </w:rPr>
      </w:pPr>
      <w:bookmarkStart w:id="74" w:name="_Toc19120831"/>
      <w:r w:rsidRPr="003E3613">
        <w:rPr>
          <w:rFonts w:ascii="Book Antiqua" w:hAnsi="Book Antiqua"/>
          <w:color w:val="auto"/>
          <w:sz w:val="23"/>
          <w:szCs w:val="23"/>
          <w:lang w:val="en-GB"/>
        </w:rPr>
        <w:t xml:space="preserve">Economic and social </w:t>
      </w:r>
      <w:r w:rsidR="000C03EC" w:rsidRPr="003E3613">
        <w:rPr>
          <w:rFonts w:ascii="Book Antiqua" w:hAnsi="Book Antiqua"/>
          <w:color w:val="auto"/>
          <w:sz w:val="23"/>
          <w:szCs w:val="23"/>
          <w:lang w:val="en-GB"/>
        </w:rPr>
        <w:t>rights</w:t>
      </w:r>
      <w:bookmarkEnd w:id="74"/>
    </w:p>
    <w:p w14:paraId="1300BE0C" w14:textId="77777777" w:rsidR="005C0933" w:rsidRPr="003E3613" w:rsidRDefault="005C0933" w:rsidP="00204696">
      <w:pPr>
        <w:spacing w:after="0"/>
        <w:jc w:val="both"/>
        <w:rPr>
          <w:rFonts w:ascii="Book Antiqua" w:hAnsi="Book Antiqua"/>
          <w:i/>
          <w:sz w:val="23"/>
          <w:szCs w:val="23"/>
          <w:lang w:val="en-GB"/>
        </w:rPr>
      </w:pPr>
    </w:p>
    <w:p w14:paraId="709CB037" w14:textId="77777777" w:rsidR="00660031" w:rsidRDefault="005C0933" w:rsidP="00204696">
      <w:pPr>
        <w:spacing w:after="0"/>
        <w:jc w:val="both"/>
        <w:rPr>
          <w:rFonts w:ascii="Book Antiqua" w:hAnsi="Book Antiqua"/>
          <w:iCs/>
          <w:sz w:val="23"/>
          <w:szCs w:val="23"/>
          <w:lang w:val="en-GB"/>
        </w:rPr>
      </w:pPr>
      <w:r w:rsidRPr="003E3613">
        <w:rPr>
          <w:rFonts w:ascii="Book Antiqua" w:hAnsi="Book Antiqua"/>
          <w:iCs/>
          <w:sz w:val="23"/>
          <w:szCs w:val="23"/>
          <w:lang w:val="en-GB"/>
        </w:rPr>
        <w:t xml:space="preserve">Increasing economic growth and employment, as well as strengthening competitiveness are key priorities of the Government. In order to reach this goal, the Government has introduced numerous initiatives, and has set the establishment of a work-based society. </w:t>
      </w:r>
    </w:p>
    <w:p w14:paraId="7DBFA33D" w14:textId="77777777" w:rsidR="00660031" w:rsidRDefault="00660031">
      <w:pPr>
        <w:rPr>
          <w:rFonts w:ascii="Book Antiqua" w:hAnsi="Book Antiqua"/>
          <w:iCs/>
          <w:sz w:val="23"/>
          <w:szCs w:val="23"/>
          <w:lang w:val="en-GB"/>
        </w:rPr>
      </w:pPr>
      <w:r>
        <w:rPr>
          <w:rFonts w:ascii="Book Antiqua" w:hAnsi="Book Antiqua"/>
          <w:iCs/>
          <w:sz w:val="23"/>
          <w:szCs w:val="23"/>
          <w:lang w:val="en-GB"/>
        </w:rPr>
        <w:br w:type="page"/>
      </w:r>
    </w:p>
    <w:p w14:paraId="1E878324" w14:textId="46211216" w:rsidR="005C0933" w:rsidRPr="003E3613" w:rsidRDefault="005C0933" w:rsidP="00204696">
      <w:pPr>
        <w:spacing w:after="0"/>
        <w:jc w:val="both"/>
        <w:rPr>
          <w:rFonts w:ascii="Book Antiqua" w:hAnsi="Book Antiqua"/>
          <w:iCs/>
          <w:sz w:val="23"/>
          <w:szCs w:val="23"/>
          <w:lang w:val="en-GB"/>
        </w:rPr>
      </w:pPr>
      <w:r w:rsidRPr="003E3613">
        <w:rPr>
          <w:rFonts w:ascii="Book Antiqua" w:hAnsi="Book Antiqua"/>
          <w:iCs/>
          <w:sz w:val="23"/>
          <w:szCs w:val="23"/>
          <w:lang w:val="en-GB"/>
        </w:rPr>
        <w:lastRenderedPageBreak/>
        <w:t xml:space="preserve">The success of these actions is underpinned by the fact that Hungary has performed at or above the level of EU-average in </w:t>
      </w:r>
      <w:r w:rsidR="00966E85" w:rsidRPr="003E3613">
        <w:rPr>
          <w:rFonts w:ascii="Book Antiqua" w:hAnsi="Book Antiqua"/>
          <w:iCs/>
          <w:sz w:val="23"/>
          <w:szCs w:val="23"/>
          <w:lang w:val="en-GB"/>
        </w:rPr>
        <w:t>9</w:t>
      </w:r>
      <w:r w:rsidRPr="003E3613">
        <w:rPr>
          <w:rFonts w:ascii="Book Antiqua" w:hAnsi="Book Antiqua"/>
          <w:iCs/>
          <w:sz w:val="23"/>
          <w:szCs w:val="23"/>
          <w:lang w:val="en-GB"/>
        </w:rPr>
        <w:t xml:space="preserve"> out of the 12 indicators of the Social Scoreboard</w:t>
      </w:r>
      <w:r w:rsidR="007774E4" w:rsidRPr="003E3613">
        <w:rPr>
          <w:rFonts w:ascii="Book Antiqua" w:hAnsi="Book Antiqua"/>
          <w:iCs/>
          <w:sz w:val="23"/>
          <w:szCs w:val="23"/>
          <w:lang w:val="en-GB"/>
        </w:rPr>
        <w:t xml:space="preserve"> </w:t>
      </w:r>
      <w:r w:rsidR="004A09E7" w:rsidRPr="003E3613">
        <w:rPr>
          <w:rFonts w:ascii="Book Antiqua" w:hAnsi="Book Antiqua"/>
          <w:iCs/>
          <w:sz w:val="23"/>
          <w:szCs w:val="23"/>
          <w:lang w:val="en-GB"/>
        </w:rPr>
        <w:t xml:space="preserve">of </w:t>
      </w:r>
      <w:r w:rsidR="007774E4" w:rsidRPr="003E3613">
        <w:rPr>
          <w:rFonts w:ascii="Book Antiqua" w:hAnsi="Book Antiqua"/>
          <w:iCs/>
          <w:sz w:val="23"/>
          <w:szCs w:val="23"/>
          <w:lang w:val="en-GB"/>
        </w:rPr>
        <w:t>2019</w:t>
      </w:r>
      <w:r w:rsidRPr="003E3613">
        <w:rPr>
          <w:rFonts w:ascii="Book Antiqua" w:hAnsi="Book Antiqua"/>
          <w:iCs/>
          <w:sz w:val="23"/>
          <w:szCs w:val="23"/>
          <w:lang w:val="en-GB"/>
        </w:rPr>
        <w:t>. The current 3.</w:t>
      </w:r>
      <w:r w:rsidR="00966E85" w:rsidRPr="003E3613">
        <w:rPr>
          <w:rFonts w:ascii="Book Antiqua" w:hAnsi="Book Antiqua"/>
          <w:iCs/>
          <w:sz w:val="23"/>
          <w:szCs w:val="23"/>
          <w:lang w:val="en-GB"/>
        </w:rPr>
        <w:t>3</w:t>
      </w:r>
      <w:r w:rsidRPr="003E3613">
        <w:rPr>
          <w:rFonts w:ascii="Book Antiqua" w:hAnsi="Book Antiqua"/>
          <w:iCs/>
          <w:sz w:val="23"/>
          <w:szCs w:val="23"/>
          <w:lang w:val="en-GB"/>
        </w:rPr>
        <w:t>% unemployment rate of Hungary</w:t>
      </w:r>
      <w:r w:rsidR="00F52DAC" w:rsidRPr="003E3613">
        <w:rPr>
          <w:rFonts w:ascii="Book Antiqua" w:hAnsi="Book Antiqua"/>
          <w:iCs/>
          <w:sz w:val="23"/>
          <w:szCs w:val="23"/>
          <w:lang w:val="en-GB"/>
        </w:rPr>
        <w:t xml:space="preserve"> (the third best across the EU</w:t>
      </w:r>
      <w:r w:rsidR="001D176B" w:rsidRPr="003E3613">
        <w:rPr>
          <w:rFonts w:ascii="Book Antiqua" w:hAnsi="Book Antiqua"/>
          <w:iCs/>
          <w:sz w:val="23"/>
          <w:szCs w:val="23"/>
          <w:lang w:val="en-GB"/>
        </w:rPr>
        <w:t xml:space="preserve"> Member States</w:t>
      </w:r>
      <w:r w:rsidR="00F52DAC" w:rsidRPr="003E3613">
        <w:rPr>
          <w:rFonts w:ascii="Book Antiqua" w:hAnsi="Book Antiqua"/>
          <w:iCs/>
          <w:sz w:val="23"/>
          <w:szCs w:val="23"/>
          <w:lang w:val="en-GB"/>
        </w:rPr>
        <w:t>)</w:t>
      </w:r>
      <w:r w:rsidRPr="003E3613">
        <w:rPr>
          <w:rFonts w:ascii="Book Antiqua" w:hAnsi="Book Antiqua"/>
          <w:iCs/>
          <w:sz w:val="23"/>
          <w:szCs w:val="23"/>
          <w:lang w:val="en-GB"/>
        </w:rPr>
        <w:t xml:space="preserve"> scores among the lowest in the EU. Nevertheless, the Government is committed to further develop existing social standards in order to increase the well-being of the Hungarian people. We refuse the statement on criminalization of homelessness. Several measures have been taken in order to provide proper care combined with social services for homeless people. In recent years, the total amount of funds available in tenders for institutions that provide care for homeless people reached 1 billion HUF. The reasoned proposal also mentions the rights of children in case of separation from their families. According to the Child Protection Act, the child must not be separated from their family solely for financial reasons. Removing children from a family is the ultimate tool to protect them, and the children’s upbringing in their own family is also supported by benefits, services and measures specified in the law. The statements of the </w:t>
      </w:r>
      <w:r w:rsidR="00201089" w:rsidRPr="003E3613">
        <w:rPr>
          <w:rFonts w:ascii="Book Antiqua" w:hAnsi="Book Antiqua"/>
          <w:iCs/>
          <w:sz w:val="23"/>
          <w:szCs w:val="23"/>
          <w:lang w:val="en-GB"/>
        </w:rPr>
        <w:t xml:space="preserve">reasoned proposal </w:t>
      </w:r>
      <w:r w:rsidRPr="003E3613">
        <w:rPr>
          <w:rFonts w:ascii="Book Antiqua" w:hAnsi="Book Antiqua"/>
          <w:iCs/>
          <w:sz w:val="23"/>
          <w:szCs w:val="23"/>
          <w:lang w:val="en-GB"/>
        </w:rPr>
        <w:t>in connection with the Hungarian strike legislation are improper and highly misleading, the referred strike agreement concluded with respect to public administration has been in force since 1994. The Hungarian practice is in full compliance with the</w:t>
      </w:r>
      <w:r w:rsidR="00201089" w:rsidRPr="003E3613">
        <w:rPr>
          <w:rFonts w:ascii="Book Antiqua" w:hAnsi="Book Antiqua"/>
          <w:iCs/>
          <w:sz w:val="23"/>
          <w:szCs w:val="23"/>
          <w:lang w:val="en-GB"/>
        </w:rPr>
        <w:t xml:space="preserve"> relevant</w:t>
      </w:r>
      <w:r w:rsidRPr="003E3613">
        <w:rPr>
          <w:rFonts w:ascii="Book Antiqua" w:hAnsi="Book Antiqua"/>
          <w:iCs/>
          <w:sz w:val="23"/>
          <w:szCs w:val="23"/>
          <w:lang w:val="en-GB"/>
        </w:rPr>
        <w:t xml:space="preserve"> international requirements.</w:t>
      </w:r>
    </w:p>
    <w:p w14:paraId="4FBEB912" w14:textId="77777777" w:rsidR="005C0933" w:rsidRPr="003E3613" w:rsidRDefault="005C0933" w:rsidP="00204696">
      <w:pPr>
        <w:spacing w:after="0"/>
        <w:jc w:val="both"/>
        <w:rPr>
          <w:rFonts w:ascii="Book Antiqua" w:hAnsi="Book Antiqua"/>
          <w:i/>
          <w:sz w:val="23"/>
          <w:szCs w:val="23"/>
          <w:lang w:val="en-GB"/>
        </w:rPr>
      </w:pPr>
    </w:p>
    <w:p w14:paraId="62CEBBD5" w14:textId="77777777" w:rsidR="00090557" w:rsidRPr="003E3613" w:rsidRDefault="00090557" w:rsidP="00204696">
      <w:pPr>
        <w:pStyle w:val="Heading2"/>
        <w:keepNext w:val="0"/>
        <w:keepLines w:val="0"/>
        <w:spacing w:before="0"/>
        <w:rPr>
          <w:rFonts w:ascii="Book Antiqua" w:hAnsi="Book Antiqua"/>
          <w:color w:val="auto"/>
          <w:sz w:val="23"/>
          <w:szCs w:val="23"/>
          <w:lang w:val="en-GB"/>
        </w:rPr>
      </w:pPr>
      <w:bookmarkStart w:id="75" w:name="_Toc19120832"/>
      <w:r w:rsidRPr="003E3613">
        <w:rPr>
          <w:rFonts w:ascii="Book Antiqua" w:hAnsi="Book Antiqua"/>
          <w:color w:val="auto"/>
          <w:sz w:val="23"/>
          <w:szCs w:val="23"/>
          <w:lang w:val="en-GB"/>
        </w:rPr>
        <w:t>Criminalising homelessness</w:t>
      </w:r>
      <w:bookmarkEnd w:id="75"/>
    </w:p>
    <w:p w14:paraId="3008C17B" w14:textId="77777777" w:rsidR="00090557" w:rsidRPr="003E3613" w:rsidRDefault="00090557" w:rsidP="00204696">
      <w:pPr>
        <w:spacing w:after="0"/>
        <w:jc w:val="both"/>
        <w:rPr>
          <w:rFonts w:ascii="Book Antiqua" w:hAnsi="Book Antiqua"/>
          <w:i/>
          <w:sz w:val="23"/>
          <w:szCs w:val="23"/>
          <w:lang w:val="en-GB"/>
        </w:rPr>
      </w:pPr>
    </w:p>
    <w:p w14:paraId="5AF36320" w14:textId="77777777" w:rsidR="000C03EC" w:rsidRPr="003E3613" w:rsidRDefault="000C03EC"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640E71" w:rsidRPr="003E3613">
        <w:rPr>
          <w:rFonts w:ascii="Book Antiqua" w:hAnsi="Book Antiqua"/>
          <w:i/>
          <w:sz w:val="23"/>
          <w:szCs w:val="23"/>
          <w:lang w:val="en-GB"/>
        </w:rPr>
        <w:t>7</w:t>
      </w:r>
      <w:r w:rsidR="00C94333" w:rsidRPr="003E3613">
        <w:rPr>
          <w:rFonts w:ascii="Book Antiqua" w:hAnsi="Book Antiqua"/>
          <w:i/>
          <w:sz w:val="23"/>
          <w:szCs w:val="23"/>
          <w:lang w:val="en-GB"/>
        </w:rPr>
        <w:t>3</w:t>
      </w:r>
      <w:r w:rsidRPr="003E3613">
        <w:rPr>
          <w:rFonts w:ascii="Book Antiqua" w:hAnsi="Book Antiqua"/>
          <w:i/>
          <w:sz w:val="23"/>
          <w:szCs w:val="23"/>
          <w:lang w:val="en-GB"/>
        </w:rPr>
        <w:t>)</w:t>
      </w:r>
      <w:r w:rsidR="00640E71" w:rsidRPr="003E3613">
        <w:rPr>
          <w:rFonts w:ascii="Book Antiqua" w:eastAsia="Calibri" w:hAnsi="Book Antiqua"/>
          <w:sz w:val="23"/>
          <w:szCs w:val="23"/>
          <w:lang w:val="en-GB" w:eastAsia="en-US"/>
        </w:rPr>
        <w:t xml:space="preserve"> </w:t>
      </w:r>
      <w:r w:rsidR="00640E71" w:rsidRPr="003E3613">
        <w:rPr>
          <w:rFonts w:ascii="Book Antiqua" w:hAnsi="Book Antiqua"/>
          <w:i/>
          <w:sz w:val="23"/>
          <w:szCs w:val="23"/>
          <w:lang w:val="en-GB"/>
        </w:rPr>
        <w:t>On 15 February 2012 and 11 December 2012, the UN Special Rapporteur on extreme poverty and human rights and the UN Special Rapporteur on the right to adequate housing called on Hungary to reconsider legislation allowing local authorities to punish homelessness and to uphold the Constitutional Court’s decision decriminalising homelessness.</w:t>
      </w:r>
      <w:r w:rsidRPr="003E3613">
        <w:rPr>
          <w:rFonts w:ascii="Book Antiqua" w:hAnsi="Book Antiqua"/>
          <w:i/>
          <w:sz w:val="23"/>
          <w:szCs w:val="23"/>
          <w:lang w:val="en-GB"/>
        </w:rPr>
        <w:t xml:space="preserve"> In his report following his visit to Hungary, which was published on 16 December 2014, the Council of Europe’s Commissioner for Human Rights indicated his concern at measures taken to prohibit rough sleeping and the construction of huts and shacks, which have widely been described as criminalising homelessness in practice. The Commissioner urged the Hungarian authorities to investigate reported cases of forced evictions without alternative solutions and of children being taken away from their families on the grounds of poor socio-economic conditions. In its concluding observations of 5 April 2018, the UN Human Rights Committee expressed concerns about state and local legislation, based on the Fourth Amendment to the Fundamental Law, which designates many public areas as out-of-bounds for “sleeping rough” and effectively punishes homelessness.</w:t>
      </w:r>
      <w:r w:rsidR="00640E71" w:rsidRPr="003E3613">
        <w:rPr>
          <w:rFonts w:ascii="Book Antiqua" w:hAnsi="Book Antiqua"/>
          <w:i/>
          <w:sz w:val="23"/>
          <w:szCs w:val="23"/>
          <w:lang w:val="en-GB"/>
        </w:rPr>
        <w:t xml:space="preserve"> On 20 June 2018, the Hungarian Parliament adopted the Seventh amendment to the Fundamental law which forbids habitual residence in a public space. The same day, the UN Special Rapporteur on the right to adequate housing called Hungary’s move to make homelessness a crime cruel and incompatible with international human rights law.</w:t>
      </w:r>
    </w:p>
    <w:p w14:paraId="462E9B7D" w14:textId="77777777" w:rsidR="00FB417C" w:rsidRPr="003E3613" w:rsidRDefault="00FB417C" w:rsidP="00204696">
      <w:pPr>
        <w:spacing w:after="0"/>
        <w:jc w:val="both"/>
        <w:rPr>
          <w:rFonts w:ascii="Book Antiqua" w:hAnsi="Book Antiqua"/>
          <w:i/>
          <w:sz w:val="23"/>
          <w:szCs w:val="23"/>
          <w:lang w:val="en-GB"/>
        </w:rPr>
      </w:pPr>
    </w:p>
    <w:p w14:paraId="050FF496" w14:textId="77777777" w:rsidR="00FB417C" w:rsidRPr="003E3613" w:rsidRDefault="00190B26" w:rsidP="00204696">
      <w:pPr>
        <w:spacing w:after="0"/>
        <w:jc w:val="both"/>
        <w:rPr>
          <w:rFonts w:ascii="Book Antiqua" w:hAnsi="Book Antiqua"/>
          <w:sz w:val="23"/>
          <w:szCs w:val="23"/>
          <w:lang w:val="en-GB"/>
        </w:rPr>
      </w:pPr>
      <w:r w:rsidRPr="003E3613">
        <w:rPr>
          <w:rFonts w:ascii="Book Antiqua" w:hAnsi="Book Antiqua"/>
          <w:sz w:val="23"/>
          <w:szCs w:val="23"/>
          <w:lang w:val="en-GB"/>
        </w:rPr>
        <w:t>Hungary refuses the statement that it would criminalize homelessness</w:t>
      </w:r>
      <w:r w:rsidR="00FB417C" w:rsidRPr="003E3613">
        <w:rPr>
          <w:rFonts w:ascii="Book Antiqua" w:hAnsi="Book Antiqua"/>
          <w:sz w:val="23"/>
          <w:szCs w:val="23"/>
          <w:lang w:val="en-GB"/>
        </w:rPr>
        <w:t xml:space="preserve">: for the first time since the political transition of 1989, the Fundamental Law of Hungary includes a provision which encourages taking care of people without shelter. To list some of the Government’s actions in this regard: new care-providing stations have been opened; the capacity of shelters in Budapest has been increasing; humiliation of vulnerable person(s) has been qualified as a crime in the new </w:t>
      </w:r>
      <w:r w:rsidR="00A46A66" w:rsidRPr="003E3613">
        <w:rPr>
          <w:rFonts w:ascii="Book Antiqua" w:hAnsi="Book Antiqua"/>
          <w:sz w:val="23"/>
          <w:szCs w:val="23"/>
          <w:lang w:val="en-GB"/>
        </w:rPr>
        <w:t>Criminal C</w:t>
      </w:r>
      <w:r w:rsidR="00FB417C" w:rsidRPr="003E3613">
        <w:rPr>
          <w:rFonts w:ascii="Book Antiqua" w:hAnsi="Book Antiqua"/>
          <w:sz w:val="23"/>
          <w:szCs w:val="23"/>
          <w:lang w:val="en-GB"/>
        </w:rPr>
        <w:t>ode</w:t>
      </w:r>
      <w:r w:rsidR="00520555" w:rsidRPr="003E3613">
        <w:rPr>
          <w:rFonts w:ascii="Book Antiqua" w:hAnsi="Book Antiqua"/>
          <w:sz w:val="23"/>
          <w:szCs w:val="23"/>
          <w:lang w:val="en-GB"/>
        </w:rPr>
        <w:t xml:space="preserve"> (Section 225)</w:t>
      </w:r>
      <w:r w:rsidR="00FB417C" w:rsidRPr="003E3613">
        <w:rPr>
          <w:rFonts w:ascii="Book Antiqua" w:hAnsi="Book Antiqua"/>
          <w:sz w:val="23"/>
          <w:szCs w:val="23"/>
          <w:lang w:val="en-GB"/>
        </w:rPr>
        <w:t xml:space="preserve">; furthermore, in recent years the total amount of </w:t>
      </w:r>
      <w:r w:rsidR="00FB417C" w:rsidRPr="003E3613">
        <w:rPr>
          <w:rFonts w:ascii="Book Antiqua" w:hAnsi="Book Antiqua"/>
          <w:sz w:val="23"/>
          <w:szCs w:val="23"/>
          <w:lang w:val="en-GB"/>
        </w:rPr>
        <w:lastRenderedPageBreak/>
        <w:t>funds available in tenders for institutions that provide care for homeless people reached 1 billion HUF.</w:t>
      </w:r>
    </w:p>
    <w:p w14:paraId="5026E0BA" w14:textId="77777777" w:rsidR="00FB417C" w:rsidRPr="003E3613" w:rsidRDefault="00FB417C" w:rsidP="00204696">
      <w:pPr>
        <w:spacing w:after="0"/>
        <w:jc w:val="both"/>
        <w:rPr>
          <w:rFonts w:ascii="Book Antiqua" w:hAnsi="Book Antiqua"/>
          <w:sz w:val="23"/>
          <w:szCs w:val="23"/>
          <w:lang w:val="en-GB"/>
        </w:rPr>
      </w:pPr>
    </w:p>
    <w:p w14:paraId="7E882F49" w14:textId="77777777" w:rsidR="00FB417C" w:rsidRPr="003E3613" w:rsidRDefault="00FB417C"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Fundamental Law declares the provision of possibilities for a dignified living as a goal of the state. To reach this goal, the state shall assist, to the biggest feasible extent possible, in the efforts to avoid and diminish homelessness, as well as the efforts to provide basic liveable conditions. In accordance with this, the state and the local governments seek to provide accommodation for everyone without shelter. </w:t>
      </w:r>
    </w:p>
    <w:p w14:paraId="498AFD0E" w14:textId="77777777" w:rsidR="0072083A" w:rsidRPr="003E3613" w:rsidRDefault="0072083A" w:rsidP="00204696">
      <w:pPr>
        <w:spacing w:after="0"/>
        <w:jc w:val="both"/>
        <w:rPr>
          <w:rFonts w:ascii="Book Antiqua" w:hAnsi="Book Antiqua"/>
          <w:sz w:val="23"/>
          <w:szCs w:val="23"/>
          <w:lang w:val="en-GB"/>
        </w:rPr>
      </w:pPr>
    </w:p>
    <w:p w14:paraId="741ACD89" w14:textId="77777777" w:rsidR="0072083A" w:rsidRPr="003E3613" w:rsidRDefault="0072083A"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Initially attention must be drawn to the fact that the State ensures the preservation of human dignity as well as conditions required to preserve human dignity by various means. </w:t>
      </w:r>
    </w:p>
    <w:p w14:paraId="434BFD9A" w14:textId="77777777" w:rsidR="00CE7DB3" w:rsidRPr="003E3613" w:rsidRDefault="00CE7DB3" w:rsidP="00204696">
      <w:pPr>
        <w:spacing w:after="0"/>
        <w:jc w:val="both"/>
        <w:rPr>
          <w:rFonts w:ascii="Book Antiqua" w:hAnsi="Book Antiqua"/>
          <w:sz w:val="23"/>
          <w:szCs w:val="23"/>
          <w:lang w:val="en-GB"/>
        </w:rPr>
      </w:pPr>
    </w:p>
    <w:p w14:paraId="554CC819" w14:textId="77777777" w:rsidR="0072083A" w:rsidRPr="003E3613" w:rsidRDefault="0072083A"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According to </w:t>
      </w:r>
      <w:r w:rsidR="00F72BD7" w:rsidRPr="003E3613">
        <w:rPr>
          <w:rFonts w:ascii="Book Antiqua" w:hAnsi="Book Antiqua"/>
          <w:sz w:val="23"/>
          <w:szCs w:val="23"/>
          <w:lang w:val="en-GB"/>
        </w:rPr>
        <w:t xml:space="preserve">Decision </w:t>
      </w:r>
      <w:r w:rsidR="008B4AEF" w:rsidRPr="003E3613">
        <w:rPr>
          <w:rFonts w:ascii="Book Antiqua" w:hAnsi="Book Antiqua"/>
          <w:sz w:val="23"/>
          <w:szCs w:val="23"/>
          <w:lang w:val="en-GB"/>
        </w:rPr>
        <w:t xml:space="preserve">No. </w:t>
      </w:r>
      <w:r w:rsidRPr="003E3613">
        <w:rPr>
          <w:rFonts w:ascii="Book Antiqua" w:hAnsi="Book Antiqua"/>
          <w:sz w:val="23"/>
          <w:szCs w:val="23"/>
          <w:lang w:val="en-GB"/>
        </w:rPr>
        <w:t>42/2000 (IX.8.)</w:t>
      </w:r>
      <w:r w:rsidR="008B4AEF" w:rsidRPr="003E3613">
        <w:rPr>
          <w:rFonts w:ascii="Book Antiqua" w:hAnsi="Book Antiqua"/>
          <w:sz w:val="23"/>
          <w:szCs w:val="23"/>
          <w:lang w:val="en-GB"/>
        </w:rPr>
        <w:t xml:space="preserve"> </w:t>
      </w:r>
      <w:r w:rsidR="00A46A66" w:rsidRPr="003E3613">
        <w:rPr>
          <w:rFonts w:ascii="Book Antiqua" w:hAnsi="Book Antiqua"/>
          <w:sz w:val="23"/>
          <w:szCs w:val="23"/>
          <w:lang w:val="en-GB"/>
        </w:rPr>
        <w:t>of</w:t>
      </w:r>
      <w:r w:rsidR="00F72BD7" w:rsidRPr="003E3613">
        <w:rPr>
          <w:rFonts w:ascii="Book Antiqua" w:hAnsi="Book Antiqua"/>
          <w:sz w:val="23"/>
          <w:szCs w:val="23"/>
          <w:lang w:val="en-GB"/>
        </w:rPr>
        <w:t xml:space="preserve"> </w:t>
      </w:r>
      <w:r w:rsidRPr="003E3613">
        <w:rPr>
          <w:rFonts w:ascii="Book Antiqua" w:hAnsi="Book Antiqua"/>
          <w:sz w:val="23"/>
          <w:szCs w:val="23"/>
          <w:lang w:val="en-GB"/>
        </w:rPr>
        <w:t xml:space="preserve">the Constitutional Court of Hungary one aspect of this obligation of the State </w:t>
      </w:r>
      <w:r w:rsidR="00F72BD7" w:rsidRPr="003E3613">
        <w:rPr>
          <w:rFonts w:ascii="Book Antiqua" w:hAnsi="Book Antiqua"/>
          <w:sz w:val="23"/>
          <w:szCs w:val="23"/>
          <w:lang w:val="en-GB"/>
        </w:rPr>
        <w:t xml:space="preserve">in </w:t>
      </w:r>
      <w:r w:rsidRPr="003E3613">
        <w:rPr>
          <w:rFonts w:ascii="Book Antiqua" w:hAnsi="Book Antiqua"/>
          <w:sz w:val="23"/>
          <w:szCs w:val="23"/>
          <w:lang w:val="en-GB"/>
        </w:rPr>
        <w:t xml:space="preserve">that </w:t>
      </w:r>
      <w:r w:rsidR="00E43BCB" w:rsidRPr="003E3613">
        <w:rPr>
          <w:rFonts w:ascii="Book Antiqua" w:hAnsi="Book Antiqua"/>
          <w:sz w:val="23"/>
          <w:szCs w:val="23"/>
          <w:lang w:val="en-GB"/>
        </w:rPr>
        <w:t>it</w:t>
      </w:r>
      <w:r w:rsidRPr="003E3613">
        <w:rPr>
          <w:rFonts w:ascii="Book Antiqua" w:hAnsi="Book Antiqua"/>
          <w:sz w:val="23"/>
          <w:szCs w:val="23"/>
          <w:lang w:val="en-GB"/>
        </w:rPr>
        <w:t xml:space="preserve"> shall establish, maintain and operate a social security system and social security institutions in order to ensure a minimum level of benefits that is required to secure a minimum livelihood. As it is highlighted in the </w:t>
      </w:r>
      <w:r w:rsidR="00F72BD7" w:rsidRPr="003E3613">
        <w:rPr>
          <w:rFonts w:ascii="Book Antiqua" w:hAnsi="Book Antiqua"/>
          <w:sz w:val="23"/>
          <w:szCs w:val="23"/>
          <w:lang w:val="en-GB"/>
        </w:rPr>
        <w:t>D</w:t>
      </w:r>
      <w:r w:rsidRPr="003E3613">
        <w:rPr>
          <w:rFonts w:ascii="Book Antiqua" w:hAnsi="Book Antiqua"/>
          <w:sz w:val="23"/>
          <w:szCs w:val="23"/>
          <w:lang w:val="en-GB"/>
        </w:rPr>
        <w:t>ecision</w:t>
      </w:r>
      <w:r w:rsidR="00F72BD7" w:rsidRPr="003E3613">
        <w:rPr>
          <w:rFonts w:ascii="Book Antiqua" w:hAnsi="Book Antiqua"/>
          <w:sz w:val="23"/>
          <w:szCs w:val="23"/>
          <w:lang w:val="en-GB"/>
        </w:rPr>
        <w:t xml:space="preserve">, </w:t>
      </w:r>
      <w:r w:rsidRPr="003E3613">
        <w:rPr>
          <w:rFonts w:ascii="Book Antiqua" w:hAnsi="Book Antiqua"/>
          <w:sz w:val="23"/>
          <w:szCs w:val="23"/>
          <w:lang w:val="en-GB"/>
        </w:rPr>
        <w:t xml:space="preserve">one of the fundamental constitutional criteria for establishing national social security system and institutions is the protection of human life and dignity. </w:t>
      </w:r>
    </w:p>
    <w:p w14:paraId="7DA54809" w14:textId="77777777" w:rsidR="00CE7DB3" w:rsidRPr="003E3613" w:rsidRDefault="00CE7DB3" w:rsidP="00204696">
      <w:pPr>
        <w:spacing w:after="0"/>
        <w:jc w:val="both"/>
        <w:rPr>
          <w:rFonts w:ascii="Book Antiqua" w:hAnsi="Book Antiqua"/>
          <w:sz w:val="23"/>
          <w:szCs w:val="23"/>
          <w:lang w:val="en-GB"/>
        </w:rPr>
      </w:pPr>
    </w:p>
    <w:p w14:paraId="48C9831F" w14:textId="77777777" w:rsidR="0072083A" w:rsidRPr="003E3613" w:rsidRDefault="0072083A"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In order to protect the right to human life and dignity the State shall secure the basic preconditions of human existence. Accordingly, in </w:t>
      </w:r>
      <w:r w:rsidR="00F72BD7" w:rsidRPr="003E3613">
        <w:rPr>
          <w:rFonts w:ascii="Book Antiqua" w:hAnsi="Book Antiqua"/>
          <w:sz w:val="23"/>
          <w:szCs w:val="23"/>
          <w:lang w:val="en-GB"/>
        </w:rPr>
        <w:t xml:space="preserve">the </w:t>
      </w:r>
      <w:r w:rsidRPr="003E3613">
        <w:rPr>
          <w:rFonts w:ascii="Book Antiqua" w:hAnsi="Book Antiqua"/>
          <w:sz w:val="23"/>
          <w:szCs w:val="23"/>
          <w:lang w:val="en-GB"/>
        </w:rPr>
        <w:t>case of homelessness, the State shall be obliged to provide support and shelter for those in need in situations where human life is directly threatened. The obligation of providing shelter does not correspond to guaranteeing the “right to have a place of residence”. Thus, the State shall only be responsible for securing a shelter if homelessness directly threatens human life. Therefore, only in</w:t>
      </w:r>
      <w:r w:rsidR="00E43BCB" w:rsidRPr="003E3613">
        <w:rPr>
          <w:rFonts w:ascii="Book Antiqua" w:hAnsi="Book Antiqua"/>
          <w:sz w:val="23"/>
          <w:szCs w:val="23"/>
          <w:lang w:val="en-GB"/>
        </w:rPr>
        <w:t xml:space="preserve"> the</w:t>
      </w:r>
      <w:r w:rsidRPr="003E3613">
        <w:rPr>
          <w:rFonts w:ascii="Book Antiqua" w:hAnsi="Book Antiqua"/>
          <w:sz w:val="23"/>
          <w:szCs w:val="23"/>
          <w:lang w:val="en-GB"/>
        </w:rPr>
        <w:t xml:space="preserve"> case of such an extreme situation is the State obliged to take care of those who themselves cannot provide for the fundamental preconditions of human life.</w:t>
      </w:r>
    </w:p>
    <w:p w14:paraId="75B80DDB" w14:textId="77777777" w:rsidR="0072083A" w:rsidRPr="003E3613" w:rsidRDefault="0072083A" w:rsidP="00204696">
      <w:pPr>
        <w:spacing w:after="0"/>
        <w:jc w:val="both"/>
        <w:rPr>
          <w:rFonts w:ascii="Book Antiqua" w:hAnsi="Book Antiqua"/>
          <w:sz w:val="23"/>
          <w:szCs w:val="23"/>
          <w:lang w:val="en-GB"/>
        </w:rPr>
      </w:pPr>
      <w:r w:rsidRPr="003E3613">
        <w:rPr>
          <w:rFonts w:ascii="Book Antiqua" w:hAnsi="Book Antiqua"/>
          <w:sz w:val="23"/>
          <w:szCs w:val="23"/>
          <w:lang w:val="en-GB"/>
        </w:rPr>
        <w:t>As held by the Constitutional Court, “the legislature enjoys relatively great liberty in determining the methods and degrees by which it enforces constitutionally-mandated State goals and social rights. A violation of the Constitution may arise only in borderline cases when the enforcement of a State goal or the realisation of a protected institution or right are clearly rendered impossible by either interference by the State or, more frequently, by its omission. Apart from this minimum requirement, there are no constitutional criteria – except for the violation of another fundamental right – to determine whether or not legislation serving a State goal or a social right is constitutional.”</w:t>
      </w:r>
    </w:p>
    <w:p w14:paraId="30F88358" w14:textId="77777777" w:rsidR="00CE7DB3" w:rsidRPr="003E3613" w:rsidRDefault="00CE7DB3" w:rsidP="00204696">
      <w:pPr>
        <w:spacing w:after="0"/>
        <w:jc w:val="both"/>
        <w:rPr>
          <w:rFonts w:ascii="Book Antiqua" w:hAnsi="Book Antiqua"/>
          <w:sz w:val="23"/>
          <w:szCs w:val="23"/>
          <w:lang w:val="en-GB"/>
        </w:rPr>
      </w:pPr>
    </w:p>
    <w:p w14:paraId="673CB51B" w14:textId="77777777" w:rsidR="00660031" w:rsidRDefault="00660031">
      <w:pPr>
        <w:rPr>
          <w:rFonts w:ascii="Book Antiqua" w:hAnsi="Book Antiqua"/>
          <w:sz w:val="23"/>
          <w:szCs w:val="23"/>
          <w:lang w:val="en-GB"/>
        </w:rPr>
      </w:pPr>
      <w:r>
        <w:rPr>
          <w:rFonts w:ascii="Book Antiqua" w:hAnsi="Book Antiqua"/>
          <w:sz w:val="23"/>
          <w:szCs w:val="23"/>
          <w:lang w:val="en-GB"/>
        </w:rPr>
        <w:br w:type="page"/>
      </w:r>
    </w:p>
    <w:p w14:paraId="48D39951" w14:textId="2C662F98" w:rsidR="002B62FB" w:rsidRPr="003E3613" w:rsidRDefault="002B62FB" w:rsidP="00204696">
      <w:pPr>
        <w:spacing w:after="0"/>
        <w:jc w:val="both"/>
        <w:rPr>
          <w:rFonts w:ascii="Book Antiqua" w:hAnsi="Book Antiqua"/>
          <w:bCs/>
          <w:sz w:val="23"/>
          <w:szCs w:val="23"/>
          <w:lang w:val="en-GB"/>
        </w:rPr>
      </w:pPr>
      <w:r w:rsidRPr="003E3613">
        <w:rPr>
          <w:rFonts w:ascii="Book Antiqua" w:hAnsi="Book Antiqua"/>
          <w:sz w:val="23"/>
          <w:szCs w:val="23"/>
          <w:lang w:val="en-GB"/>
        </w:rPr>
        <w:lastRenderedPageBreak/>
        <w:t xml:space="preserve">In its decision No. 19/2019. (VI. 18.), the Hungarian Constitutional Court declared that </w:t>
      </w:r>
      <w:r w:rsidRPr="003E3613">
        <w:rPr>
          <w:rFonts w:ascii="Book Antiqua" w:hAnsi="Book Antiqua"/>
          <w:bCs/>
          <w:sz w:val="23"/>
          <w:szCs w:val="23"/>
          <w:lang w:val="en-GB"/>
        </w:rPr>
        <w:t xml:space="preserve">regulation in the Act on Offences regarding the prohibition of staying habitually on public ground is not contrary to the Fundamental Law. </w:t>
      </w:r>
    </w:p>
    <w:p w14:paraId="78AD83CD" w14:textId="77777777" w:rsidR="002B62FB" w:rsidRPr="003E3613" w:rsidRDefault="002B62FB" w:rsidP="00204696">
      <w:pPr>
        <w:spacing w:after="0"/>
        <w:jc w:val="both"/>
        <w:rPr>
          <w:rFonts w:ascii="Book Antiqua" w:hAnsi="Book Antiqua"/>
          <w:sz w:val="23"/>
          <w:szCs w:val="23"/>
          <w:lang w:val="en-GB"/>
        </w:rPr>
      </w:pPr>
      <w:r w:rsidRPr="003E3613">
        <w:rPr>
          <w:rFonts w:ascii="Book Antiqua" w:hAnsi="Book Antiqua"/>
          <w:bCs/>
          <w:sz w:val="23"/>
          <w:szCs w:val="23"/>
          <w:lang w:val="en-GB"/>
        </w:rPr>
        <w:t>The Constitutional Court pointed out that in line with the values of the Fundamental Law, no one shall have the right to be destitute or homeless; this state is not part of the right to human dignity. The Court emphasized, if the State left the individual alone without caring for him or her, it would cause an injury, since the right to human dignity is seriously violated by the marginalisation of the individual from the human society. </w:t>
      </w:r>
      <w:r w:rsidRPr="003E3613">
        <w:rPr>
          <w:rFonts w:ascii="Book Antiqua" w:hAnsi="Book Antiqua"/>
          <w:sz w:val="23"/>
          <w:szCs w:val="23"/>
          <w:lang w:val="en-GB"/>
        </w:rPr>
        <w:t xml:space="preserve">Furthermore, the State’s obligation of protecting institutions shall result from the Fundamental Law. The State can fulfil this obligation by providing for introducing the affected persons into the welfare system. In the absence of cooperation by the individual, the sanction under the law applicable for minor offences shall be the ultimate tool available for the State. </w:t>
      </w:r>
    </w:p>
    <w:p w14:paraId="33A64556" w14:textId="77777777" w:rsidR="002B62FB" w:rsidRPr="003E3613" w:rsidRDefault="002B62FB"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Constitutional Court highlighted that the condition of homelessness could be altered and the State bore the obligation, stemming from the Fundamental Law, to help the people concerned to do so. In this regard, the State itself would violate their right to human dignity if it did not provide sufficient measures for homeless persons in order to help them to improve their situation. </w:t>
      </w:r>
    </w:p>
    <w:p w14:paraId="0CBEC372" w14:textId="77777777" w:rsidR="002B62FB" w:rsidRPr="003E3613" w:rsidRDefault="002B62FB" w:rsidP="00204696">
      <w:pPr>
        <w:spacing w:after="0"/>
        <w:jc w:val="both"/>
        <w:rPr>
          <w:rFonts w:ascii="Book Antiqua" w:hAnsi="Book Antiqua"/>
          <w:sz w:val="23"/>
          <w:szCs w:val="23"/>
          <w:lang w:val="en-GB"/>
        </w:rPr>
      </w:pPr>
      <w:r w:rsidRPr="003E3613">
        <w:rPr>
          <w:rFonts w:ascii="Book Antiqua" w:hAnsi="Book Antiqua"/>
          <w:sz w:val="23"/>
          <w:szCs w:val="23"/>
          <w:lang w:val="en-GB"/>
        </w:rPr>
        <w:t>Having said that, the Constitutional Court stated as a constitutional requirement that the challenged sanction under the law applicable to minor offences shall only be applicable, if the placement of the homeless person was verifiably granted at the time of committing the conduct. In addition, the authorities applying the law should take into account the constitutional obligation aimed at protecting the vulnerable, as well as the fact that the protection of the rights of the affected persons can only be granted by way of introducing them into the welfare system.</w:t>
      </w:r>
    </w:p>
    <w:p w14:paraId="0D5C9FAB" w14:textId="77777777" w:rsidR="002B62FB" w:rsidRPr="003E3613" w:rsidRDefault="002B62FB" w:rsidP="00204696">
      <w:pPr>
        <w:spacing w:after="0"/>
        <w:jc w:val="both"/>
        <w:rPr>
          <w:rFonts w:ascii="Book Antiqua" w:hAnsi="Book Antiqua"/>
          <w:sz w:val="23"/>
          <w:szCs w:val="23"/>
          <w:lang w:val="en-GB"/>
        </w:rPr>
      </w:pPr>
    </w:p>
    <w:p w14:paraId="35661FE4" w14:textId="77777777" w:rsidR="0072083A" w:rsidRPr="003E3613" w:rsidRDefault="0072083A" w:rsidP="00204696">
      <w:pPr>
        <w:spacing w:after="0"/>
        <w:jc w:val="both"/>
        <w:rPr>
          <w:rFonts w:ascii="Book Antiqua" w:hAnsi="Book Antiqua"/>
          <w:sz w:val="23"/>
          <w:szCs w:val="23"/>
          <w:lang w:val="en-GB"/>
        </w:rPr>
      </w:pPr>
      <w:r w:rsidRPr="003E3613">
        <w:rPr>
          <w:rFonts w:ascii="Book Antiqua" w:hAnsi="Book Antiqua"/>
          <w:sz w:val="23"/>
          <w:szCs w:val="23"/>
          <w:lang w:val="en-GB"/>
        </w:rPr>
        <w:t>In light of the above the modification of Article XXII of the Fundamental Law of Hungary does not change the concept that Hungary shall strive to ensure decent housing conditions and access to public services for everyone.</w:t>
      </w:r>
    </w:p>
    <w:p w14:paraId="29E22D38" w14:textId="77777777" w:rsidR="00CE7DB3" w:rsidRPr="003E3613" w:rsidRDefault="00CE7DB3" w:rsidP="00204696">
      <w:pPr>
        <w:spacing w:after="0"/>
        <w:jc w:val="both"/>
        <w:rPr>
          <w:rFonts w:ascii="Book Antiqua" w:hAnsi="Book Antiqua"/>
          <w:sz w:val="23"/>
          <w:szCs w:val="23"/>
          <w:lang w:val="en-GB"/>
        </w:rPr>
      </w:pPr>
    </w:p>
    <w:p w14:paraId="64ED8A71" w14:textId="77777777" w:rsidR="0072083A" w:rsidRPr="003E3613" w:rsidRDefault="0072083A" w:rsidP="00204696">
      <w:pPr>
        <w:spacing w:after="0"/>
        <w:jc w:val="both"/>
        <w:rPr>
          <w:rFonts w:ascii="Book Antiqua" w:hAnsi="Book Antiqua"/>
          <w:sz w:val="23"/>
          <w:szCs w:val="23"/>
          <w:lang w:val="en-GB"/>
        </w:rPr>
      </w:pPr>
      <w:r w:rsidRPr="003E3613">
        <w:rPr>
          <w:rFonts w:ascii="Book Antiqua" w:hAnsi="Book Antiqua"/>
          <w:sz w:val="23"/>
          <w:szCs w:val="23"/>
          <w:lang w:val="en-GB"/>
        </w:rPr>
        <w:t>The Fourth Amendment of the Fundamental Law extended the scope of Article XXII by stating that in order to ensure decent living conditions, the State and municipal governments shall strive to ensure accommodation for homeless people.</w:t>
      </w:r>
    </w:p>
    <w:p w14:paraId="07E50DBC" w14:textId="77777777" w:rsidR="00CE7DB3" w:rsidRPr="003E3613" w:rsidRDefault="00CE7DB3" w:rsidP="00204696">
      <w:pPr>
        <w:spacing w:after="0"/>
        <w:jc w:val="both"/>
        <w:rPr>
          <w:rFonts w:ascii="Book Antiqua" w:hAnsi="Book Antiqua"/>
          <w:sz w:val="23"/>
          <w:szCs w:val="23"/>
          <w:lang w:val="en-GB"/>
        </w:rPr>
      </w:pPr>
    </w:p>
    <w:p w14:paraId="794CA25C" w14:textId="77777777" w:rsidR="0072083A" w:rsidRPr="003E3613" w:rsidRDefault="0072083A" w:rsidP="00204696">
      <w:pPr>
        <w:spacing w:after="0"/>
        <w:jc w:val="both"/>
        <w:rPr>
          <w:rFonts w:ascii="Book Antiqua" w:hAnsi="Book Antiqua"/>
          <w:sz w:val="23"/>
          <w:szCs w:val="23"/>
          <w:lang w:val="en-GB"/>
        </w:rPr>
      </w:pPr>
      <w:r w:rsidRPr="003E3613">
        <w:rPr>
          <w:rFonts w:ascii="Book Antiqua" w:hAnsi="Book Antiqua"/>
          <w:sz w:val="23"/>
          <w:szCs w:val="23"/>
          <w:lang w:val="en-GB"/>
        </w:rPr>
        <w:t>Whereas the Seventh Amendment of the Fundamental Law has introduced the following:</w:t>
      </w:r>
      <w:r w:rsidR="00010AA7" w:rsidRPr="003E3613">
        <w:rPr>
          <w:rFonts w:ascii="Book Antiqua" w:hAnsi="Book Antiqua"/>
          <w:sz w:val="23"/>
          <w:szCs w:val="23"/>
          <w:lang w:val="en-GB"/>
        </w:rPr>
        <w:t xml:space="preserve"> </w:t>
      </w:r>
      <w:r w:rsidRPr="003E3613">
        <w:rPr>
          <w:rFonts w:ascii="Book Antiqua" w:hAnsi="Book Antiqua"/>
          <w:sz w:val="23"/>
          <w:szCs w:val="23"/>
          <w:lang w:val="en-GB"/>
        </w:rPr>
        <w:t>“The State and local governments shall also contribute to creating decent housing conditions and to safeguarding the use of public spaces for public purposes by striving to ensure accommodation for all persons without a dwelling.”</w:t>
      </w:r>
    </w:p>
    <w:p w14:paraId="0BFDA50D" w14:textId="77777777" w:rsidR="00CE7DB3" w:rsidRPr="003E3613" w:rsidRDefault="00CE7DB3" w:rsidP="00204696">
      <w:pPr>
        <w:spacing w:after="0"/>
        <w:jc w:val="both"/>
        <w:rPr>
          <w:rFonts w:ascii="Book Antiqua" w:hAnsi="Book Antiqua"/>
          <w:sz w:val="23"/>
          <w:szCs w:val="23"/>
          <w:lang w:val="en-GB"/>
        </w:rPr>
      </w:pPr>
    </w:p>
    <w:p w14:paraId="1A08C44A" w14:textId="77777777" w:rsidR="00660031" w:rsidRDefault="0072083A" w:rsidP="00660031">
      <w:pPr>
        <w:spacing w:after="0"/>
        <w:ind w:right="-2"/>
        <w:jc w:val="both"/>
        <w:rPr>
          <w:rFonts w:ascii="Book Antiqua" w:hAnsi="Book Antiqua"/>
          <w:sz w:val="23"/>
          <w:szCs w:val="23"/>
          <w:lang w:val="en-GB"/>
        </w:rPr>
      </w:pPr>
      <w:r w:rsidRPr="003E3613">
        <w:rPr>
          <w:rFonts w:ascii="Book Antiqua" w:hAnsi="Book Antiqua"/>
          <w:sz w:val="23"/>
          <w:szCs w:val="23"/>
          <w:lang w:val="en-GB"/>
        </w:rPr>
        <w:t xml:space="preserve">This paragraph clarifies that besides ensuring the conditions for adequate housing, the State does not support the improper use of public spaces, such as the use of public spaces for habitual residence. According to the reasoning of the Seventh Amendment using </w:t>
      </w:r>
    </w:p>
    <w:p w14:paraId="22B5258D" w14:textId="77777777" w:rsidR="00660031" w:rsidRDefault="00660031">
      <w:pPr>
        <w:rPr>
          <w:rFonts w:ascii="Book Antiqua" w:hAnsi="Book Antiqua"/>
          <w:sz w:val="23"/>
          <w:szCs w:val="23"/>
          <w:lang w:val="en-GB"/>
        </w:rPr>
      </w:pPr>
      <w:r>
        <w:rPr>
          <w:rFonts w:ascii="Book Antiqua" w:hAnsi="Book Antiqua"/>
          <w:sz w:val="23"/>
          <w:szCs w:val="23"/>
          <w:lang w:val="en-GB"/>
        </w:rPr>
        <w:br w:type="page"/>
      </w:r>
    </w:p>
    <w:p w14:paraId="1CB1A07E" w14:textId="5D5F0E51" w:rsidR="0072083A" w:rsidRPr="003E3613" w:rsidRDefault="0072083A" w:rsidP="00660031">
      <w:pPr>
        <w:spacing w:after="0"/>
        <w:ind w:right="-2"/>
        <w:jc w:val="both"/>
        <w:rPr>
          <w:rFonts w:ascii="Book Antiqua" w:hAnsi="Book Antiqua"/>
          <w:sz w:val="23"/>
          <w:szCs w:val="23"/>
          <w:lang w:val="en-GB"/>
        </w:rPr>
      </w:pPr>
      <w:r w:rsidRPr="003E3613">
        <w:rPr>
          <w:rFonts w:ascii="Book Antiqua" w:hAnsi="Book Antiqua"/>
          <w:sz w:val="23"/>
          <w:szCs w:val="23"/>
          <w:lang w:val="en-GB"/>
        </w:rPr>
        <w:lastRenderedPageBreak/>
        <w:t>public spaces as habitual residence infringes the proper use of public spaces. Public space</w:t>
      </w:r>
      <w:r w:rsidR="00E43BCB" w:rsidRPr="003E3613">
        <w:rPr>
          <w:rFonts w:ascii="Book Antiqua" w:hAnsi="Book Antiqua"/>
          <w:sz w:val="23"/>
          <w:szCs w:val="23"/>
          <w:lang w:val="en-GB"/>
        </w:rPr>
        <w:t xml:space="preserve">s according to their functions </w:t>
      </w:r>
      <w:r w:rsidRPr="003E3613">
        <w:rPr>
          <w:rFonts w:ascii="Book Antiqua" w:hAnsi="Book Antiqua"/>
          <w:sz w:val="23"/>
          <w:szCs w:val="23"/>
          <w:lang w:val="en-GB"/>
        </w:rPr>
        <w:t xml:space="preserve">serve public purposes, while the use of public spaces for habitual residence does not constitute a public purpose. The protection of public spaces guarantees that everyone shall enjoy the use of public spaces according to their function with no interruption in exercising ones fundamental rights (e.g.: right to peaceful assembly). In order to express this legislative aim paragraph (3) of Article XXII of the Seventh Amendment introduced the prohibition of using public spaces for habitual residence. Considering that currently the number of available shelter beds is sufficient to provide accommodation to those in need, a prohibition of habitual residence in public spaces could be realistically adopted. A ban on sleeping rough is not without precedent in Europe. Several other EU </w:t>
      </w:r>
      <w:r w:rsidR="007B606E" w:rsidRPr="003E3613">
        <w:rPr>
          <w:rFonts w:ascii="Book Antiqua" w:hAnsi="Book Antiqua"/>
          <w:sz w:val="23"/>
          <w:szCs w:val="23"/>
          <w:lang w:val="en-GB"/>
        </w:rPr>
        <w:t>M</w:t>
      </w:r>
      <w:r w:rsidRPr="003E3613">
        <w:rPr>
          <w:rFonts w:ascii="Book Antiqua" w:hAnsi="Book Antiqua"/>
          <w:sz w:val="23"/>
          <w:szCs w:val="23"/>
          <w:lang w:val="en-GB"/>
        </w:rPr>
        <w:t xml:space="preserve">ember </w:t>
      </w:r>
      <w:r w:rsidR="007B606E" w:rsidRPr="003E3613">
        <w:rPr>
          <w:rFonts w:ascii="Book Antiqua" w:hAnsi="Book Antiqua"/>
          <w:sz w:val="23"/>
          <w:szCs w:val="23"/>
          <w:lang w:val="en-GB"/>
        </w:rPr>
        <w:t>S</w:t>
      </w:r>
      <w:r w:rsidRPr="003E3613">
        <w:rPr>
          <w:rFonts w:ascii="Book Antiqua" w:hAnsi="Book Antiqua"/>
          <w:sz w:val="23"/>
          <w:szCs w:val="23"/>
          <w:lang w:val="en-GB"/>
        </w:rPr>
        <w:t xml:space="preserve">tates have already passed certain regulations on the issue. </w:t>
      </w:r>
    </w:p>
    <w:p w14:paraId="6566C129" w14:textId="77777777" w:rsidR="00BF3B9E" w:rsidRPr="003E3613" w:rsidRDefault="00BF3B9E" w:rsidP="00204696">
      <w:pPr>
        <w:spacing w:after="0"/>
        <w:jc w:val="both"/>
        <w:rPr>
          <w:rFonts w:ascii="Book Antiqua" w:hAnsi="Book Antiqua"/>
          <w:sz w:val="23"/>
          <w:szCs w:val="23"/>
          <w:lang w:val="en-GB"/>
        </w:rPr>
      </w:pPr>
    </w:p>
    <w:p w14:paraId="320D355C" w14:textId="77777777" w:rsidR="0072083A" w:rsidRPr="003E3613" w:rsidRDefault="0072083A"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w:t>
      </w:r>
      <w:r w:rsidR="002B62FB" w:rsidRPr="003E3613">
        <w:rPr>
          <w:rFonts w:ascii="Book Antiqua" w:hAnsi="Book Antiqua"/>
          <w:sz w:val="23"/>
          <w:szCs w:val="23"/>
          <w:lang w:val="en-GB"/>
        </w:rPr>
        <w:t xml:space="preserve">relevant provision of the </w:t>
      </w:r>
      <w:r w:rsidRPr="003E3613">
        <w:rPr>
          <w:rFonts w:ascii="Book Antiqua" w:hAnsi="Book Antiqua"/>
          <w:sz w:val="23"/>
          <w:szCs w:val="23"/>
          <w:lang w:val="en-GB"/>
        </w:rPr>
        <w:t xml:space="preserve">Seventh Amendment </w:t>
      </w:r>
      <w:r w:rsidR="00F72BD7" w:rsidRPr="003E3613">
        <w:rPr>
          <w:rFonts w:ascii="Book Antiqua" w:hAnsi="Book Antiqua"/>
          <w:sz w:val="23"/>
          <w:szCs w:val="23"/>
          <w:lang w:val="en-GB"/>
        </w:rPr>
        <w:t>entered</w:t>
      </w:r>
      <w:r w:rsidRPr="003E3613">
        <w:rPr>
          <w:rFonts w:ascii="Book Antiqua" w:hAnsi="Book Antiqua"/>
          <w:sz w:val="23"/>
          <w:szCs w:val="23"/>
          <w:lang w:val="en-GB"/>
        </w:rPr>
        <w:t xml:space="preserve"> into force </w:t>
      </w:r>
      <w:r w:rsidR="002B62FB" w:rsidRPr="003E3613">
        <w:rPr>
          <w:rFonts w:ascii="Book Antiqua" w:hAnsi="Book Antiqua"/>
          <w:sz w:val="23"/>
          <w:szCs w:val="23"/>
          <w:lang w:val="en-GB"/>
        </w:rPr>
        <w:t>on</w:t>
      </w:r>
      <w:r w:rsidRPr="003E3613">
        <w:rPr>
          <w:rFonts w:ascii="Book Antiqua" w:hAnsi="Book Antiqua"/>
          <w:sz w:val="23"/>
          <w:szCs w:val="23"/>
          <w:lang w:val="en-GB"/>
        </w:rPr>
        <w:t xml:space="preserve"> 15 October 2018.</w:t>
      </w:r>
    </w:p>
    <w:p w14:paraId="3FC4E0BD" w14:textId="77777777" w:rsidR="0006133D" w:rsidRPr="003E3613" w:rsidRDefault="0006133D" w:rsidP="00204696">
      <w:pPr>
        <w:spacing w:after="0"/>
        <w:jc w:val="both"/>
        <w:rPr>
          <w:rFonts w:ascii="Book Antiqua" w:hAnsi="Book Antiqua"/>
          <w:sz w:val="23"/>
          <w:szCs w:val="23"/>
          <w:lang w:val="en-GB"/>
        </w:rPr>
      </w:pPr>
    </w:p>
    <w:p w14:paraId="7EEE9616" w14:textId="21FAF96F" w:rsidR="0006133D" w:rsidRPr="003E3613" w:rsidRDefault="0006133D"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This measure not only restores public order but also protects the homeless. It aims to provide proper care at homeless shelters for these people and prevent them from freezing on the streets during winter. </w:t>
      </w:r>
      <w:r w:rsidR="000927CD" w:rsidRPr="003E3613">
        <w:rPr>
          <w:rFonts w:ascii="Book Antiqua" w:hAnsi="Book Antiqua"/>
          <w:sz w:val="23"/>
          <w:szCs w:val="23"/>
          <w:lang w:val="en-GB"/>
        </w:rPr>
        <w:t xml:space="preserve">In 2018 the Government spent </w:t>
      </w:r>
      <w:r w:rsidR="009A0676">
        <w:rPr>
          <w:rFonts w:ascii="Book Antiqua" w:hAnsi="Book Antiqua"/>
          <w:sz w:val="23"/>
          <w:szCs w:val="23"/>
          <w:lang w:val="en-GB"/>
        </w:rPr>
        <w:t xml:space="preserve">EUR </w:t>
      </w:r>
      <w:r w:rsidR="000927CD" w:rsidRPr="003E3613">
        <w:rPr>
          <w:rFonts w:ascii="Book Antiqua" w:hAnsi="Book Antiqua"/>
          <w:sz w:val="23"/>
          <w:szCs w:val="23"/>
          <w:lang w:val="en-GB"/>
        </w:rPr>
        <w:t xml:space="preserve">30 million (9447,4 M HUF) for social services for the homeless, including establishing a reserve fund for them. Hungary ensures 19 000 accommodations for the homeless, including daytime warming shelters, doss-houses, transitional housing. Since the law has come into force, social services for the homeless were required by more than 1 700 times than </w:t>
      </w:r>
      <w:r w:rsidR="00193D93" w:rsidRPr="003E3613">
        <w:rPr>
          <w:rFonts w:ascii="Book Antiqua" w:hAnsi="Book Antiqua"/>
          <w:sz w:val="23"/>
          <w:szCs w:val="23"/>
          <w:lang w:val="en-GB"/>
        </w:rPr>
        <w:t xml:space="preserve">in </w:t>
      </w:r>
      <w:r w:rsidR="000927CD" w:rsidRPr="003E3613">
        <w:rPr>
          <w:rFonts w:ascii="Book Antiqua" w:hAnsi="Book Antiqua"/>
          <w:sz w:val="23"/>
          <w:szCs w:val="23"/>
          <w:lang w:val="en-GB"/>
        </w:rPr>
        <w:t>the previous years. In the coldest months shelter-houses were used 94,9%. In the winter all kinds of institutes welcomed the homeless day and night.</w:t>
      </w:r>
      <w:r w:rsidR="000927CD" w:rsidRPr="003E3613">
        <w:rPr>
          <w:lang w:val="en-GB"/>
        </w:rPr>
        <w:t xml:space="preserve"> </w:t>
      </w:r>
      <w:r w:rsidRPr="003E3613">
        <w:rPr>
          <w:rFonts w:ascii="Book Antiqua" w:hAnsi="Book Antiqua"/>
          <w:sz w:val="23"/>
          <w:szCs w:val="23"/>
          <w:lang w:val="en-GB"/>
        </w:rPr>
        <w:t>At these homeless shelters there are more than enough places available with beds, heated rooms, warm food, bathing and washing facilities and health service awaiting everyone in need. Getting in contact with the social provision system is the only chance for the homeless to be successfully reintegrated into the society.</w:t>
      </w:r>
    </w:p>
    <w:p w14:paraId="2200CB9F" w14:textId="77777777" w:rsidR="000C03EC" w:rsidRPr="003E3613" w:rsidRDefault="000C03EC" w:rsidP="00204696">
      <w:pPr>
        <w:spacing w:after="0"/>
        <w:jc w:val="both"/>
        <w:rPr>
          <w:rFonts w:ascii="Book Antiqua" w:hAnsi="Book Antiqua"/>
          <w:i/>
          <w:sz w:val="23"/>
          <w:szCs w:val="23"/>
          <w:lang w:val="en-GB"/>
        </w:rPr>
      </w:pPr>
    </w:p>
    <w:p w14:paraId="13904F88" w14:textId="77777777" w:rsidR="00090557" w:rsidRPr="003E3613" w:rsidRDefault="00090557" w:rsidP="00204696">
      <w:pPr>
        <w:pStyle w:val="Heading2"/>
        <w:keepNext w:val="0"/>
        <w:keepLines w:val="0"/>
        <w:spacing w:before="0"/>
        <w:rPr>
          <w:rFonts w:ascii="Book Antiqua" w:hAnsi="Book Antiqua"/>
          <w:color w:val="auto"/>
          <w:sz w:val="23"/>
          <w:szCs w:val="23"/>
          <w:lang w:val="en-GB"/>
        </w:rPr>
      </w:pPr>
      <w:bookmarkStart w:id="76" w:name="_Toc19120833"/>
      <w:r w:rsidRPr="003E3613">
        <w:rPr>
          <w:rFonts w:ascii="Book Antiqua" w:hAnsi="Book Antiqua"/>
          <w:color w:val="auto"/>
          <w:sz w:val="23"/>
          <w:szCs w:val="23"/>
          <w:lang w:val="en-GB"/>
        </w:rPr>
        <w:t>Non-compliance with the European Social Charter</w:t>
      </w:r>
      <w:bookmarkEnd w:id="76"/>
    </w:p>
    <w:p w14:paraId="2247D3CC" w14:textId="77777777" w:rsidR="00090557" w:rsidRPr="003E3613" w:rsidRDefault="00090557" w:rsidP="00204696">
      <w:pPr>
        <w:spacing w:after="0"/>
        <w:rPr>
          <w:rFonts w:ascii="Book Antiqua" w:hAnsi="Book Antiqua"/>
          <w:sz w:val="23"/>
          <w:szCs w:val="23"/>
          <w:lang w:val="en-GB"/>
        </w:rPr>
      </w:pPr>
    </w:p>
    <w:p w14:paraId="38950636" w14:textId="77777777" w:rsidR="000C03EC" w:rsidRPr="003E3613" w:rsidRDefault="000C03EC"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10258D" w:rsidRPr="003E3613">
        <w:rPr>
          <w:rFonts w:ascii="Book Antiqua" w:hAnsi="Book Antiqua"/>
          <w:i/>
          <w:sz w:val="23"/>
          <w:szCs w:val="23"/>
          <w:lang w:val="en-GB"/>
        </w:rPr>
        <w:t>74</w:t>
      </w:r>
      <w:r w:rsidRPr="003E3613">
        <w:rPr>
          <w:rFonts w:ascii="Book Antiqua" w:hAnsi="Book Antiqua"/>
          <w:i/>
          <w:sz w:val="23"/>
          <w:szCs w:val="23"/>
          <w:lang w:val="en-GB"/>
        </w:rPr>
        <w:t>) The 2017 Conclusions of the European Committee of Social Rights stated that Hungary is not in compliance with the European Social Charter on the ground</w:t>
      </w:r>
      <w:r w:rsidR="00640E71" w:rsidRPr="003E3613">
        <w:rPr>
          <w:rFonts w:ascii="Book Antiqua" w:hAnsi="Book Antiqua"/>
          <w:i/>
          <w:sz w:val="23"/>
          <w:szCs w:val="23"/>
          <w:lang w:val="en-GB"/>
        </w:rPr>
        <w:t>s</w:t>
      </w:r>
      <w:r w:rsidRPr="003E3613">
        <w:rPr>
          <w:rFonts w:ascii="Book Antiqua" w:hAnsi="Book Antiqua"/>
          <w:i/>
          <w:sz w:val="23"/>
          <w:szCs w:val="23"/>
          <w:lang w:val="en-GB"/>
        </w:rPr>
        <w:t xml:space="preserve"> that </w:t>
      </w:r>
      <w:r w:rsidR="004F3FAE" w:rsidRPr="003E3613">
        <w:rPr>
          <w:rFonts w:ascii="Book Antiqua" w:hAnsi="Book Antiqua"/>
          <w:i/>
          <w:sz w:val="23"/>
          <w:szCs w:val="23"/>
          <w:lang w:val="en-GB"/>
        </w:rPr>
        <w:t>self-employed</w:t>
      </w:r>
      <w:r w:rsidRPr="003E3613">
        <w:rPr>
          <w:rFonts w:ascii="Book Antiqua" w:hAnsi="Book Antiqua"/>
          <w:i/>
          <w:sz w:val="23"/>
          <w:szCs w:val="23"/>
          <w:lang w:val="en-GB"/>
        </w:rPr>
        <w:t xml:space="preserve"> and domestic workers, as well as other categories of workers, are not protected by occupational health and safety regulations, that measures taken to reduce the maternal mortality have been insufficient, that the minimum amount of old-age pensions is inadequate, that the minimum amount of jobseeker’s aid is inadequate, that the maximum duration of payment of jobseeker’s allowance is too short and that the minimum amount of rehabilitation and invalidity benefits, in certain cases, is inadequate. The Committee also concluded that Hungary is not in conformity with the European Social Charter on the ground</w:t>
      </w:r>
      <w:r w:rsidR="00640E71" w:rsidRPr="003E3613">
        <w:rPr>
          <w:rFonts w:ascii="Book Antiqua" w:hAnsi="Book Antiqua"/>
          <w:i/>
          <w:sz w:val="23"/>
          <w:szCs w:val="23"/>
          <w:lang w:val="en-GB"/>
        </w:rPr>
        <w:t>s</w:t>
      </w:r>
      <w:r w:rsidRPr="003E3613">
        <w:rPr>
          <w:rFonts w:ascii="Book Antiqua" w:hAnsi="Book Antiqua"/>
          <w:i/>
          <w:sz w:val="23"/>
          <w:szCs w:val="23"/>
          <w:lang w:val="en-GB"/>
        </w:rPr>
        <w:t xml:space="preserve"> that the level of social assistance paid to a single person without resources, including elderly persons, is not adequate, equal access to social services is not guaranteed for lawfully resident nationals of all States Parties and</w:t>
      </w:r>
      <w:r w:rsidR="00640E71" w:rsidRPr="003E3613">
        <w:rPr>
          <w:rFonts w:ascii="Book Antiqua" w:hAnsi="Book Antiqua"/>
          <w:i/>
          <w:sz w:val="23"/>
          <w:szCs w:val="23"/>
          <w:lang w:val="en-GB"/>
        </w:rPr>
        <w:t xml:space="preserve"> it has not been established that there is an adequate supply of housing for vulnerable families. With regard to trade union rights, the Committee has stated that the right of workers to paid leave is not sufficiently secured, that no promotion measures have been taken to encourage the conclusion of collective agreements, while the protection of workers by such agreements is clearly weak in Hungary and in the </w:t>
      </w:r>
      <w:r w:rsidR="00640E71" w:rsidRPr="003E3613">
        <w:rPr>
          <w:rFonts w:ascii="Book Antiqua" w:hAnsi="Book Antiqua"/>
          <w:i/>
          <w:sz w:val="23"/>
          <w:szCs w:val="23"/>
          <w:lang w:val="en-GB"/>
        </w:rPr>
        <w:lastRenderedPageBreak/>
        <w:t>civil service the right to call a strike is reserved to those unions which are parties to the agreement concluded with the government; the criteria used to determine public servants who are denied the right to strike go beyond the scope of the Charter; public service unions can only call a strike with the approval of the majority of the staff concerned.</w:t>
      </w:r>
    </w:p>
    <w:p w14:paraId="481C1BEF" w14:textId="77777777" w:rsidR="0001174F" w:rsidRPr="003E3613" w:rsidRDefault="0001174F" w:rsidP="00204696">
      <w:pPr>
        <w:spacing w:after="0"/>
        <w:jc w:val="both"/>
        <w:rPr>
          <w:rFonts w:ascii="Book Antiqua" w:hAnsi="Book Antiqua"/>
          <w:i/>
          <w:sz w:val="23"/>
          <w:szCs w:val="23"/>
          <w:lang w:val="en-GB"/>
        </w:rPr>
      </w:pPr>
    </w:p>
    <w:p w14:paraId="79688340" w14:textId="77777777" w:rsidR="00D23BAD" w:rsidRPr="003E3613" w:rsidRDefault="00133B12" w:rsidP="00204696">
      <w:pPr>
        <w:jc w:val="both"/>
        <w:rPr>
          <w:rFonts w:ascii="Book Antiqua" w:hAnsi="Book Antiqua"/>
          <w:sz w:val="23"/>
          <w:szCs w:val="23"/>
          <w:lang w:val="en-GB"/>
        </w:rPr>
      </w:pPr>
      <w:r w:rsidRPr="003E3613">
        <w:rPr>
          <w:rFonts w:ascii="Book Antiqua" w:hAnsi="Book Antiqua"/>
          <w:sz w:val="23"/>
          <w:szCs w:val="23"/>
          <w:lang w:val="en-GB"/>
        </w:rPr>
        <w:t>The Hungarian Government is committed to further developing the existing social standards in order to increase the well-being of Hungarian people and as a result of that, has gained the citizen’s trust to govern for the third term. The current Government has introduced numerous initiatives for further improving Hungary’s economic growth, competitiveness, social security and the citizens’ well-being. The results of the national elections ensured that the Government has managed to find the right solutions for the citizens’ problems.</w:t>
      </w:r>
    </w:p>
    <w:p w14:paraId="39802FE0" w14:textId="77777777" w:rsidR="0001174F" w:rsidRPr="003E3613" w:rsidRDefault="0001174F"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assessment that the Governments’ actions since 2010 are successful is supported by the fact that Hungary has performed at or above the level of EU-average in </w:t>
      </w:r>
      <w:r w:rsidR="004A09E7" w:rsidRPr="003E3613">
        <w:rPr>
          <w:rFonts w:ascii="Book Antiqua" w:hAnsi="Book Antiqua"/>
          <w:sz w:val="23"/>
          <w:szCs w:val="23"/>
          <w:lang w:val="en-GB"/>
        </w:rPr>
        <w:t>9</w:t>
      </w:r>
      <w:r w:rsidRPr="003E3613">
        <w:rPr>
          <w:rFonts w:ascii="Book Antiqua" w:hAnsi="Book Antiqua"/>
          <w:sz w:val="23"/>
          <w:szCs w:val="23"/>
          <w:lang w:val="en-GB"/>
        </w:rPr>
        <w:t xml:space="preserve"> out of the 12 indicators of the renewed Social Scoreboard</w:t>
      </w:r>
      <w:r w:rsidR="004A09E7" w:rsidRPr="003E3613">
        <w:rPr>
          <w:rFonts w:ascii="Book Antiqua" w:hAnsi="Book Antiqua"/>
          <w:sz w:val="23"/>
          <w:szCs w:val="23"/>
          <w:lang w:val="en-GB"/>
        </w:rPr>
        <w:t xml:space="preserve"> of 2019</w:t>
      </w:r>
      <w:r w:rsidRPr="003E3613">
        <w:rPr>
          <w:rFonts w:ascii="Book Antiqua" w:hAnsi="Book Antiqua"/>
          <w:sz w:val="23"/>
          <w:szCs w:val="23"/>
          <w:lang w:val="en-GB"/>
        </w:rPr>
        <w:t xml:space="preserve">, published by </w:t>
      </w:r>
      <w:r w:rsidR="0010258D" w:rsidRPr="003E3613">
        <w:rPr>
          <w:rFonts w:ascii="Book Antiqua" w:hAnsi="Book Antiqua"/>
          <w:sz w:val="23"/>
          <w:szCs w:val="23"/>
          <w:lang w:val="en-GB"/>
        </w:rPr>
        <w:t xml:space="preserve">the </w:t>
      </w:r>
      <w:r w:rsidRPr="003E3613">
        <w:rPr>
          <w:rFonts w:ascii="Book Antiqua" w:hAnsi="Book Antiqua"/>
          <w:sz w:val="23"/>
          <w:szCs w:val="23"/>
          <w:lang w:val="en-GB"/>
        </w:rPr>
        <w:t>European Commission.</w:t>
      </w:r>
    </w:p>
    <w:p w14:paraId="05B98782" w14:textId="77777777" w:rsidR="0001174F" w:rsidRPr="003E3613" w:rsidRDefault="0001174F" w:rsidP="00204696">
      <w:pPr>
        <w:spacing w:after="0"/>
        <w:jc w:val="both"/>
        <w:rPr>
          <w:rFonts w:ascii="Book Antiqua" w:hAnsi="Book Antiqua"/>
          <w:sz w:val="23"/>
          <w:szCs w:val="23"/>
          <w:lang w:val="en-GB"/>
        </w:rPr>
      </w:pPr>
    </w:p>
    <w:p w14:paraId="3990459E" w14:textId="77777777" w:rsidR="00CF0913" w:rsidRPr="003E3613" w:rsidRDefault="00CF0913" w:rsidP="00204696">
      <w:pPr>
        <w:spacing w:after="0"/>
        <w:jc w:val="both"/>
        <w:rPr>
          <w:rFonts w:ascii="Book Antiqua" w:hAnsi="Book Antiqua"/>
          <w:sz w:val="23"/>
          <w:szCs w:val="23"/>
          <w:lang w:val="en-GB"/>
        </w:rPr>
      </w:pPr>
      <w:r w:rsidRPr="003E3613">
        <w:rPr>
          <w:rFonts w:ascii="Book Antiqua" w:hAnsi="Book Antiqua"/>
          <w:sz w:val="23"/>
          <w:szCs w:val="23"/>
          <w:lang w:val="en-GB"/>
        </w:rPr>
        <w:t>In Hungary</w:t>
      </w:r>
      <w:r w:rsidR="00891D61" w:rsidRPr="003E3613">
        <w:rPr>
          <w:rFonts w:ascii="Book Antiqua" w:hAnsi="Book Antiqua"/>
          <w:sz w:val="23"/>
          <w:szCs w:val="23"/>
          <w:lang w:val="en-GB"/>
        </w:rPr>
        <w:t>,</w:t>
      </w:r>
      <w:r w:rsidRPr="003E3613">
        <w:rPr>
          <w:rFonts w:ascii="Book Antiqua" w:hAnsi="Book Antiqua"/>
          <w:sz w:val="23"/>
          <w:szCs w:val="23"/>
          <w:lang w:val="en-GB"/>
        </w:rPr>
        <w:t xml:space="preserve"> Act XCIII of 1993 on Labour Safety lays down the detailed rules on establishing the personnel, material and </w:t>
      </w:r>
      <w:r w:rsidR="00BD0A8B" w:rsidRPr="003E3613">
        <w:rPr>
          <w:rFonts w:ascii="Book Antiqua" w:hAnsi="Book Antiqua"/>
          <w:sz w:val="23"/>
          <w:szCs w:val="23"/>
          <w:lang w:val="en-GB"/>
        </w:rPr>
        <w:t>organisation</w:t>
      </w:r>
      <w:r w:rsidRPr="003E3613">
        <w:rPr>
          <w:rFonts w:ascii="Book Antiqua" w:hAnsi="Book Antiqua"/>
          <w:sz w:val="23"/>
          <w:szCs w:val="23"/>
          <w:lang w:val="en-GB"/>
        </w:rPr>
        <w:t>al conditions for occupational safety and occupational health in the interest of protecting the health and ability to work of persons in organized employment and consequently improving their working conditions, thereby preventing accidents at work and occupational diseases. The Act also defines the responsibilities, rights and obligations of the State, employers and employees is this regard. In order to ensure that all persons working benefit from the right to health and safety at work, the Labour Safety Act states (Section 84 Paragraph 1) that the occupational safety and health authority shall be empowered to hold inspections at any workplaces, without a special permit. Regarding the atypical forms of employment, especially in the case of teleworking, the Labour Safety Act stipulates (Section 86/A Paragraph 7) that the occupational safety and health board shall conduct the inspection only on workdays, between 8 a.m. and 8 p.m., which guarantees respect for private and family life and home. The occupational safety and health administration shall notify the employer and the employee at least three working days in advance concerning the inspection. The employer shall obtain the employee’s consent for admission into the designated work place for this purpose before the commencement of the inspection.</w:t>
      </w:r>
    </w:p>
    <w:p w14:paraId="6ECB8B7F" w14:textId="77777777" w:rsidR="00BF3B9E" w:rsidRPr="003E3613" w:rsidRDefault="00BF3B9E" w:rsidP="00204696">
      <w:pPr>
        <w:spacing w:after="0"/>
        <w:jc w:val="both"/>
        <w:rPr>
          <w:rFonts w:ascii="Book Antiqua" w:hAnsi="Book Antiqua"/>
          <w:sz w:val="23"/>
          <w:szCs w:val="23"/>
          <w:lang w:val="en-GB"/>
        </w:rPr>
      </w:pPr>
    </w:p>
    <w:p w14:paraId="11B383D2" w14:textId="77777777" w:rsidR="00CF0913" w:rsidRPr="003E3613" w:rsidRDefault="00CF0913"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Fundamental Law of Hungary provides that "Hungary shall endeavour to provide social security to all of its citizens. Every Hungarian citizen shall be entitled to assistance laid down in the relevant legislation in the case of maternity, illness or disability, or if he or she becomes a widow(er) or orphan, or loses employment due to circumstances beyond his or her control." </w:t>
      </w:r>
    </w:p>
    <w:p w14:paraId="2ED4CC5B" w14:textId="77777777" w:rsidR="00CF0913" w:rsidRPr="003E3613" w:rsidRDefault="00CF0913" w:rsidP="00204696">
      <w:pPr>
        <w:spacing w:after="0"/>
        <w:jc w:val="both"/>
        <w:rPr>
          <w:rFonts w:ascii="Book Antiqua" w:hAnsi="Book Antiqua"/>
          <w:sz w:val="23"/>
          <w:szCs w:val="23"/>
          <w:lang w:val="en-GB"/>
        </w:rPr>
      </w:pPr>
    </w:p>
    <w:p w14:paraId="34B09A53" w14:textId="77777777" w:rsidR="00CF0913" w:rsidRPr="003E3613" w:rsidRDefault="00CF0913" w:rsidP="00204696">
      <w:pPr>
        <w:spacing w:after="0"/>
        <w:jc w:val="both"/>
        <w:rPr>
          <w:rFonts w:ascii="Book Antiqua" w:hAnsi="Book Antiqua"/>
          <w:sz w:val="23"/>
          <w:szCs w:val="23"/>
          <w:lang w:val="en-GB"/>
        </w:rPr>
      </w:pPr>
      <w:r w:rsidRPr="003E3613">
        <w:rPr>
          <w:rFonts w:ascii="Book Antiqua" w:hAnsi="Book Antiqua"/>
          <w:sz w:val="23"/>
          <w:szCs w:val="23"/>
          <w:lang w:val="en-GB"/>
        </w:rPr>
        <w:t>Hungary shall advocate the livelihood of the elderly persons by maintaining a single compulsory pension system based on social solidarity, and by authorizing the operation of social institutions established on a voluntary basis (Article XIX (1) - (2) of the Fundamental Law).</w:t>
      </w:r>
    </w:p>
    <w:p w14:paraId="761D1EC4" w14:textId="77777777" w:rsidR="00CF0913" w:rsidRPr="003E3613" w:rsidRDefault="00CF0913" w:rsidP="00204696">
      <w:pPr>
        <w:spacing w:after="0"/>
        <w:jc w:val="both"/>
        <w:rPr>
          <w:rFonts w:ascii="Book Antiqua" w:hAnsi="Book Antiqua"/>
          <w:sz w:val="23"/>
          <w:szCs w:val="23"/>
          <w:lang w:val="en-GB"/>
        </w:rPr>
      </w:pPr>
    </w:p>
    <w:p w14:paraId="56324362" w14:textId="77777777" w:rsidR="00CF0913" w:rsidRPr="003E3613" w:rsidRDefault="00A76AE7"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The Fundamental Law requires that </w:t>
      </w:r>
      <w:r w:rsidR="00CF0913" w:rsidRPr="003E3613">
        <w:rPr>
          <w:rFonts w:ascii="Book Antiqua" w:hAnsi="Book Antiqua"/>
          <w:sz w:val="23"/>
          <w:szCs w:val="23"/>
          <w:lang w:val="en-GB"/>
        </w:rPr>
        <w:t xml:space="preserve">Hungary shall provide social security to those in need through a system of social institutions and measures. The nature and extent of the social measures are set out in the Act III of 1993 on social administration and social services, which intends to meet the objective to determine the forms and organisation of certain social benefits provided by the state in order to establish and maintain social security, the conditions for eligibility for the social benefits and the guarantees of the enforcement thereof. </w:t>
      </w:r>
    </w:p>
    <w:p w14:paraId="614FDBF1" w14:textId="77777777" w:rsidR="00CF0913" w:rsidRPr="003E3613" w:rsidRDefault="00CF0913" w:rsidP="00204696">
      <w:pPr>
        <w:spacing w:after="0"/>
        <w:jc w:val="both"/>
        <w:rPr>
          <w:rFonts w:ascii="Book Antiqua" w:hAnsi="Book Antiqua"/>
          <w:sz w:val="23"/>
          <w:szCs w:val="23"/>
          <w:lang w:val="en-GB"/>
        </w:rPr>
      </w:pPr>
    </w:p>
    <w:p w14:paraId="4FB5A87B" w14:textId="77777777" w:rsidR="00CF0913" w:rsidRPr="003E3613" w:rsidRDefault="00CF0913" w:rsidP="00204696">
      <w:pPr>
        <w:spacing w:after="0"/>
        <w:jc w:val="both"/>
        <w:rPr>
          <w:rFonts w:ascii="Book Antiqua" w:hAnsi="Book Antiqua"/>
          <w:sz w:val="23"/>
          <w:szCs w:val="23"/>
          <w:lang w:val="en-GB"/>
        </w:rPr>
      </w:pPr>
      <w:r w:rsidRPr="003E3613">
        <w:rPr>
          <w:rFonts w:ascii="Book Antiqua" w:hAnsi="Book Antiqua"/>
          <w:sz w:val="23"/>
          <w:szCs w:val="23"/>
          <w:lang w:val="en-GB"/>
        </w:rPr>
        <w:t>A separate act, namely, Act IV of 1991 on Job Assistance and Unemployment Benefits provides for the benefits of unemployed persons and the promotion of employment. The priority duties of the state include promoting the freedom of work and profession, promoting the provision of support for job seekers and preventing and mitigating the negative consequences of unemployment. Reflecting the Hungarian Government's employment policy, the act governing the rights and obligations of the participants of the labour market defines the most important obligations of the state bodies in the field of employment policy, regulates the most common forms of support promoting employment, the job search service system, the eligibility criteria and the extent of the specific services, and the rules of their termination and recovery.</w:t>
      </w:r>
      <w:r w:rsidR="00554D9C" w:rsidRPr="003E3613">
        <w:rPr>
          <w:rFonts w:ascii="Book Antiqua" w:hAnsi="Book Antiqua"/>
          <w:sz w:val="23"/>
          <w:szCs w:val="23"/>
          <w:lang w:val="en-GB"/>
        </w:rPr>
        <w:t xml:space="preserve"> </w:t>
      </w:r>
      <w:r w:rsidRPr="003E3613">
        <w:rPr>
          <w:rFonts w:ascii="Book Antiqua" w:hAnsi="Book Antiqua"/>
          <w:sz w:val="23"/>
          <w:szCs w:val="23"/>
          <w:lang w:val="en-GB"/>
        </w:rPr>
        <w:t>The Unemployment Act also regulates the National Employment Fund that provides for the funding of supports and benefits, and the procedural rules of awarding supports and benefits.</w:t>
      </w:r>
    </w:p>
    <w:p w14:paraId="070D6129" w14:textId="77777777" w:rsidR="00CF0913" w:rsidRPr="003E3613" w:rsidRDefault="00CF0913" w:rsidP="00204696">
      <w:pPr>
        <w:spacing w:after="0"/>
        <w:jc w:val="both"/>
        <w:rPr>
          <w:rFonts w:ascii="Book Antiqua" w:hAnsi="Book Antiqua"/>
          <w:sz w:val="23"/>
          <w:szCs w:val="23"/>
          <w:lang w:val="en-GB"/>
        </w:rPr>
      </w:pPr>
    </w:p>
    <w:p w14:paraId="275519A5" w14:textId="77777777" w:rsidR="00CF0913" w:rsidRPr="003E3613" w:rsidRDefault="00CF0913" w:rsidP="00204696">
      <w:pPr>
        <w:spacing w:after="0"/>
        <w:jc w:val="both"/>
        <w:rPr>
          <w:rFonts w:ascii="Book Antiqua" w:hAnsi="Book Antiqua"/>
          <w:sz w:val="23"/>
          <w:szCs w:val="23"/>
          <w:lang w:val="en-GB"/>
        </w:rPr>
      </w:pPr>
      <w:r w:rsidRPr="003E3613">
        <w:rPr>
          <w:rFonts w:ascii="Book Antiqua" w:hAnsi="Book Antiqua"/>
          <w:sz w:val="23"/>
          <w:szCs w:val="23"/>
          <w:lang w:val="en-GB"/>
        </w:rPr>
        <w:t>At its election in 2010, the Government of Hungary defined as its objective to create one million new taxable jobs till 2020. In order to achieve this it is essential for the rate of employees in the population to increase at a considerable rate; for the Hungarian labour market to belong to one of the most flexible ones in Europe; and for the enterprises to create as many new high quality jobs as possible, thus employing the greatest possible number of employees. This purpose was served by reforming the labour law by the adoption of the new Labour Code at the end of 2011.</w:t>
      </w:r>
    </w:p>
    <w:p w14:paraId="06C587D1" w14:textId="77777777" w:rsidR="00CF0913" w:rsidRPr="003E3613" w:rsidRDefault="00CF0913" w:rsidP="00204696">
      <w:pPr>
        <w:spacing w:after="0"/>
        <w:jc w:val="both"/>
        <w:rPr>
          <w:rFonts w:ascii="Book Antiqua" w:hAnsi="Book Antiqua"/>
          <w:sz w:val="23"/>
          <w:szCs w:val="23"/>
          <w:lang w:val="en-GB"/>
        </w:rPr>
      </w:pPr>
    </w:p>
    <w:p w14:paraId="62F80B3B" w14:textId="77777777" w:rsidR="00CF0913" w:rsidRPr="003E3613" w:rsidRDefault="009B4B1D" w:rsidP="00204696">
      <w:pPr>
        <w:spacing w:after="0"/>
        <w:jc w:val="both"/>
        <w:rPr>
          <w:rFonts w:ascii="Book Antiqua" w:hAnsi="Book Antiqua"/>
          <w:sz w:val="23"/>
          <w:szCs w:val="23"/>
          <w:lang w:val="en-GB"/>
        </w:rPr>
      </w:pPr>
      <w:r w:rsidRPr="003E3613">
        <w:rPr>
          <w:rFonts w:ascii="Book Antiqua" w:hAnsi="Book Antiqua"/>
          <w:sz w:val="23"/>
          <w:szCs w:val="23"/>
          <w:lang w:val="en-GB"/>
        </w:rPr>
        <w:t xml:space="preserve">In 2010 </w:t>
      </w:r>
      <w:r w:rsidR="00CF0913" w:rsidRPr="003E3613">
        <w:rPr>
          <w:rFonts w:ascii="Book Antiqua" w:hAnsi="Book Antiqua"/>
          <w:sz w:val="23"/>
          <w:szCs w:val="23"/>
          <w:lang w:val="en-GB"/>
        </w:rPr>
        <w:t>the employment rate was at a remarkably low level</w:t>
      </w:r>
      <w:r w:rsidR="00FF063F" w:rsidRPr="003E3613">
        <w:rPr>
          <w:rFonts w:ascii="Book Antiqua" w:hAnsi="Book Antiqua"/>
          <w:sz w:val="23"/>
          <w:szCs w:val="23"/>
          <w:lang w:val="en-GB"/>
        </w:rPr>
        <w:t>,</w:t>
      </w:r>
      <w:r w:rsidR="00264D89" w:rsidRPr="003E3613">
        <w:rPr>
          <w:rStyle w:val="FootnoteReference"/>
          <w:rFonts w:ascii="Book Antiqua" w:hAnsi="Book Antiqua"/>
          <w:sz w:val="23"/>
          <w:szCs w:val="23"/>
          <w:lang w:val="en-GB"/>
        </w:rPr>
        <w:footnoteReference w:id="43"/>
      </w:r>
      <w:r w:rsidR="00CF0913" w:rsidRPr="003E3613">
        <w:rPr>
          <w:rFonts w:ascii="Book Antiqua" w:hAnsi="Book Antiqua"/>
          <w:sz w:val="23"/>
          <w:szCs w:val="23"/>
          <w:lang w:val="en-GB"/>
        </w:rPr>
        <w:t xml:space="preserve"> and from the point of view of the economy it was also rather unfavourable that almost one and a half million people of active employment age stayed away from the labour market.</w:t>
      </w:r>
    </w:p>
    <w:p w14:paraId="60D3BA03" w14:textId="77777777" w:rsidR="00CF0913" w:rsidRPr="003E3613" w:rsidRDefault="00CF0913" w:rsidP="00204696">
      <w:pPr>
        <w:spacing w:after="0"/>
        <w:jc w:val="both"/>
        <w:rPr>
          <w:rFonts w:ascii="Book Antiqua" w:hAnsi="Book Antiqua"/>
          <w:sz w:val="23"/>
          <w:szCs w:val="23"/>
          <w:lang w:val="en-GB"/>
        </w:rPr>
      </w:pPr>
    </w:p>
    <w:p w14:paraId="3593EE4A" w14:textId="77777777" w:rsidR="00CF0913" w:rsidRPr="003E3613" w:rsidRDefault="00CF0913" w:rsidP="00204696">
      <w:pPr>
        <w:spacing w:after="0"/>
        <w:jc w:val="both"/>
        <w:rPr>
          <w:rFonts w:ascii="Book Antiqua" w:hAnsi="Book Antiqua"/>
          <w:sz w:val="23"/>
          <w:szCs w:val="23"/>
          <w:lang w:val="en-GB"/>
        </w:rPr>
      </w:pPr>
      <w:r w:rsidRPr="003E3613">
        <w:rPr>
          <w:rFonts w:ascii="Book Antiqua" w:hAnsi="Book Antiqua"/>
          <w:sz w:val="23"/>
          <w:szCs w:val="23"/>
          <w:lang w:val="en-GB"/>
        </w:rPr>
        <w:t>The Government of Hungary considers the maintenance and increase in the number of jobs and the expansion of employment as the primary task in the world of work. This government policy is linked to the relatively short duration of job-search support, as we also want to encourage active job search and improve labour market prospects for those who lose their job. This policy proved to be successful as the number of unemployed is gradually decreasing</w:t>
      </w:r>
      <w:r w:rsidR="00264D89" w:rsidRPr="003E3613">
        <w:rPr>
          <w:rStyle w:val="FootnoteReference"/>
          <w:rFonts w:ascii="Book Antiqua" w:hAnsi="Book Antiqua"/>
          <w:sz w:val="23"/>
          <w:szCs w:val="23"/>
          <w:lang w:val="en-GB"/>
        </w:rPr>
        <w:footnoteReference w:id="44"/>
      </w:r>
      <w:r w:rsidRPr="003E3613">
        <w:rPr>
          <w:rFonts w:ascii="Book Antiqua" w:hAnsi="Book Antiqua"/>
          <w:sz w:val="23"/>
          <w:szCs w:val="23"/>
          <w:lang w:val="en-GB"/>
        </w:rPr>
        <w:t xml:space="preserve"> </w:t>
      </w:r>
      <w:r w:rsidRPr="003E3613">
        <w:rPr>
          <w:rFonts w:ascii="Book Antiqua" w:hAnsi="Book Antiqua"/>
          <w:sz w:val="23"/>
          <w:szCs w:val="23"/>
          <w:lang w:val="en-GB"/>
        </w:rPr>
        <w:lastRenderedPageBreak/>
        <w:t>and the increase in the number of vacancies creates good employment opportunities for those who are still unemployed today.</w:t>
      </w:r>
    </w:p>
    <w:p w14:paraId="072967A0" w14:textId="77777777" w:rsidR="00AF665C" w:rsidRPr="003E3613" w:rsidRDefault="00AF665C" w:rsidP="00204696">
      <w:pPr>
        <w:spacing w:after="0"/>
        <w:jc w:val="both"/>
        <w:rPr>
          <w:rFonts w:ascii="Book Antiqua" w:hAnsi="Book Antiqua"/>
          <w:sz w:val="23"/>
          <w:szCs w:val="23"/>
          <w:lang w:val="en-GB"/>
        </w:rPr>
      </w:pPr>
    </w:p>
    <w:p w14:paraId="5A791753" w14:textId="77777777" w:rsidR="00AF665C" w:rsidRPr="003E3613" w:rsidRDefault="00AF665C" w:rsidP="00204696">
      <w:pPr>
        <w:spacing w:after="0"/>
        <w:jc w:val="both"/>
        <w:rPr>
          <w:rFonts w:ascii="Book Antiqua" w:hAnsi="Book Antiqua"/>
          <w:sz w:val="23"/>
          <w:szCs w:val="23"/>
          <w:lang w:val="en-GB"/>
        </w:rPr>
      </w:pPr>
      <w:r w:rsidRPr="003E3613">
        <w:rPr>
          <w:rFonts w:ascii="Book Antiqua" w:hAnsi="Book Antiqua"/>
          <w:sz w:val="23"/>
          <w:szCs w:val="23"/>
          <w:lang w:val="en-GB"/>
        </w:rPr>
        <w:t>As of January 2012, the disability pension for those who were below retirement age, the regular social annuity and temporary invalidity annuity were transformed into health insurance benefits (benefits for persons with changed working capacity), whereas disability pensions for those who were above retirement age were transformed into old-age pensions. The aim of the reform was not the reduction of expenditures or to limit inflow into disability benefit but to create –</w:t>
      </w:r>
      <w:r w:rsidR="00A76AE7" w:rsidRPr="003E3613">
        <w:rPr>
          <w:rFonts w:ascii="Book Antiqua" w:hAnsi="Book Antiqua"/>
          <w:sz w:val="23"/>
          <w:szCs w:val="23"/>
          <w:lang w:val="en-GB"/>
        </w:rPr>
        <w:t xml:space="preserve"> </w:t>
      </w:r>
      <w:r w:rsidRPr="003E3613">
        <w:rPr>
          <w:rFonts w:ascii="Book Antiqua" w:hAnsi="Book Antiqua"/>
          <w:sz w:val="23"/>
          <w:szCs w:val="23"/>
          <w:lang w:val="en-GB"/>
        </w:rPr>
        <w:t>in place of the former passive pension system - a unified, transparent system of benefits related to changed working capacity, where the emphasis is put on the remaining capabilities and rehabilitation, taking into account medical, employment and social aspects as well. All these measures contribute to end benefit dependency and to ensure equal opportunities, create prospects for valuable work, self-sustainability and raise living standards. The amount of benefit is based on former income of a person entitled to benefits for persons with reduced working capacity and is adjusted to the state of health, including the level of remaining work ability. According to this, persons who have a better health status and are more likely to find employment in the labour market may find lower benefits than those whose health condition are lower or have fewer opportunities for rehabilitation. The sum of the benefit is higher when the primary function of the benefit is replacing income. In cases where the main function of the benefit is support for labour market integration, strengthening and completing existing skills, the amount of cash benefits are lower. The benefits are regularly increased. Annual adjustments of benefits are made in January according to the predicted increase in consumer prices (inflation). Regarding the vulnerability of the target group, it is important in procedures related to benefits for persons with changed working capacity to inspect continuously measures capable to strengthen social safety, however the evaluation of the reform affecting the entire supply system will be realized subsequently in relevant EU financed project.</w:t>
      </w:r>
    </w:p>
    <w:p w14:paraId="7280BFD0" w14:textId="77777777" w:rsidR="00CE7DB3" w:rsidRPr="003E3613" w:rsidRDefault="00CE7DB3" w:rsidP="00204696">
      <w:pPr>
        <w:pStyle w:val="Heading2"/>
        <w:keepNext w:val="0"/>
        <w:keepLines w:val="0"/>
        <w:spacing w:before="0"/>
        <w:rPr>
          <w:rFonts w:ascii="Book Antiqua" w:hAnsi="Book Antiqua"/>
          <w:color w:val="auto"/>
          <w:sz w:val="23"/>
          <w:szCs w:val="23"/>
          <w:lang w:val="en-GB"/>
        </w:rPr>
      </w:pPr>
    </w:p>
    <w:p w14:paraId="504B87A5" w14:textId="77777777" w:rsidR="00640E71" w:rsidRPr="003E3613" w:rsidRDefault="00F1151B" w:rsidP="00204696">
      <w:pPr>
        <w:pStyle w:val="Heading2"/>
        <w:keepNext w:val="0"/>
        <w:keepLines w:val="0"/>
        <w:spacing w:before="0"/>
        <w:rPr>
          <w:rFonts w:ascii="Book Antiqua" w:hAnsi="Book Antiqua"/>
          <w:color w:val="auto"/>
          <w:sz w:val="23"/>
          <w:szCs w:val="23"/>
          <w:lang w:val="en-GB"/>
        </w:rPr>
      </w:pPr>
      <w:bookmarkStart w:id="77" w:name="_Toc19120834"/>
      <w:r w:rsidRPr="003E3613">
        <w:rPr>
          <w:rFonts w:ascii="Book Antiqua" w:hAnsi="Book Antiqua"/>
          <w:color w:val="auto"/>
          <w:sz w:val="23"/>
          <w:szCs w:val="23"/>
          <w:lang w:val="en-GB"/>
        </w:rPr>
        <w:t>Amendment of the Act on strikes</w:t>
      </w:r>
      <w:bookmarkEnd w:id="77"/>
    </w:p>
    <w:p w14:paraId="7C9FB328" w14:textId="77777777" w:rsidR="00F1151B" w:rsidRPr="003E3613" w:rsidRDefault="00F1151B" w:rsidP="00204696">
      <w:pPr>
        <w:spacing w:after="0"/>
        <w:jc w:val="both"/>
        <w:rPr>
          <w:rFonts w:ascii="Book Antiqua" w:hAnsi="Book Antiqua"/>
          <w:sz w:val="23"/>
          <w:szCs w:val="23"/>
          <w:lang w:val="en-GB"/>
        </w:rPr>
      </w:pPr>
    </w:p>
    <w:p w14:paraId="7A9BF081" w14:textId="77777777" w:rsidR="00660031" w:rsidRDefault="00640E71" w:rsidP="00204696">
      <w:pPr>
        <w:spacing w:after="0"/>
        <w:jc w:val="both"/>
        <w:rPr>
          <w:rFonts w:ascii="Book Antiqua" w:hAnsi="Book Antiqua"/>
          <w:i/>
          <w:sz w:val="23"/>
          <w:szCs w:val="23"/>
          <w:lang w:val="en-GB"/>
        </w:rPr>
      </w:pPr>
      <w:r w:rsidRPr="003E3613">
        <w:rPr>
          <w:rFonts w:ascii="Book Antiqua" w:hAnsi="Book Antiqua"/>
          <w:i/>
          <w:sz w:val="23"/>
          <w:szCs w:val="23"/>
          <w:lang w:val="en-GB"/>
        </w:rPr>
        <w:t>(7</w:t>
      </w:r>
      <w:r w:rsidR="008D5849" w:rsidRPr="003E3613">
        <w:rPr>
          <w:rFonts w:ascii="Book Antiqua" w:hAnsi="Book Antiqua"/>
          <w:i/>
          <w:sz w:val="23"/>
          <w:szCs w:val="23"/>
          <w:lang w:val="en-GB"/>
        </w:rPr>
        <w:t>5</w:t>
      </w:r>
      <w:r w:rsidRPr="003E3613">
        <w:rPr>
          <w:rFonts w:ascii="Book Antiqua" w:hAnsi="Book Antiqua"/>
          <w:i/>
          <w:sz w:val="23"/>
          <w:szCs w:val="23"/>
          <w:lang w:val="en-GB"/>
        </w:rPr>
        <w:t>)</w:t>
      </w:r>
      <w:r w:rsidRPr="003E3613">
        <w:rPr>
          <w:rFonts w:ascii="Book Antiqua" w:hAnsi="Book Antiqua"/>
          <w:i/>
          <w:sz w:val="23"/>
          <w:szCs w:val="23"/>
          <w:lang w:val="en-GB"/>
        </w:rPr>
        <w:tab/>
        <w:t xml:space="preserve">Since December 2010, strikes in Hungary were made illegal in principle when the government of Victor Orban passed an amendment to the so-called Act on strikes. The changes </w:t>
      </w:r>
    </w:p>
    <w:p w14:paraId="368D349D" w14:textId="77777777" w:rsidR="00660031" w:rsidRDefault="00660031">
      <w:pPr>
        <w:rPr>
          <w:rFonts w:ascii="Book Antiqua" w:hAnsi="Book Antiqua"/>
          <w:i/>
          <w:sz w:val="23"/>
          <w:szCs w:val="23"/>
          <w:lang w:val="en-GB"/>
        </w:rPr>
      </w:pPr>
      <w:r>
        <w:rPr>
          <w:rFonts w:ascii="Book Antiqua" w:hAnsi="Book Antiqua"/>
          <w:i/>
          <w:sz w:val="23"/>
          <w:szCs w:val="23"/>
          <w:lang w:val="en-GB"/>
        </w:rPr>
        <w:br w:type="page"/>
      </w:r>
    </w:p>
    <w:p w14:paraId="15A90D28" w14:textId="4B6681C5" w:rsidR="00640E71" w:rsidRPr="003E3613" w:rsidRDefault="00640E71" w:rsidP="00204696">
      <w:pPr>
        <w:spacing w:after="0"/>
        <w:jc w:val="both"/>
        <w:rPr>
          <w:rFonts w:ascii="Book Antiqua" w:hAnsi="Book Antiqua"/>
          <w:i/>
          <w:sz w:val="23"/>
          <w:szCs w:val="23"/>
          <w:lang w:val="en-GB"/>
        </w:rPr>
      </w:pPr>
      <w:r w:rsidRPr="003E3613">
        <w:rPr>
          <w:rFonts w:ascii="Book Antiqua" w:hAnsi="Book Antiqua"/>
          <w:i/>
          <w:sz w:val="23"/>
          <w:szCs w:val="23"/>
          <w:lang w:val="en-GB"/>
        </w:rPr>
        <w:lastRenderedPageBreak/>
        <w:t>mean that strikes will, in principle, be allowed in companies associated with governmental administration through public service contracts. The amendment does not apply to professional groups that simply do not have such a right, such as train drivers, police officers, medical personnel and air traffic controllers. The problem lies somewhere else, mainly in the percentage of employees who must take part in the strike referendum, to make it important -up to 70 %. Then the decision on the legality of strikes will be taken by a labour court that is completely subordinate to the state. In 2011, nine applications for strike permits were submitted. In seven cases they were rejected without giving a reason; two of them were processed, but it proved impossible to issue a decision.</w:t>
      </w:r>
    </w:p>
    <w:p w14:paraId="116A6252" w14:textId="77777777" w:rsidR="00CD298F" w:rsidRPr="003E3613" w:rsidRDefault="00CD298F" w:rsidP="00204696">
      <w:pPr>
        <w:spacing w:after="0"/>
        <w:jc w:val="both"/>
        <w:rPr>
          <w:rFonts w:ascii="Book Antiqua" w:hAnsi="Book Antiqua" w:cs="Times New Roman"/>
          <w:sz w:val="23"/>
          <w:szCs w:val="23"/>
          <w:lang w:val="en-GB"/>
        </w:rPr>
      </w:pPr>
    </w:p>
    <w:p w14:paraId="394A8C67" w14:textId="77777777" w:rsidR="00CD298F" w:rsidRPr="003E3613" w:rsidRDefault="00CD298F" w:rsidP="00204696">
      <w:pPr>
        <w:spacing w:after="240"/>
        <w:jc w:val="both"/>
        <w:rPr>
          <w:rFonts w:ascii="Book Antiqua" w:hAnsi="Book Antiqua" w:cs="Times New Roman"/>
          <w:sz w:val="23"/>
          <w:szCs w:val="23"/>
          <w:lang w:val="en-GB"/>
        </w:rPr>
      </w:pPr>
      <w:r w:rsidRPr="003E3613">
        <w:rPr>
          <w:rFonts w:ascii="Book Antiqua" w:hAnsi="Book Antiqua" w:cs="Times New Roman"/>
          <w:sz w:val="23"/>
          <w:szCs w:val="23"/>
          <w:lang w:val="en-GB"/>
        </w:rPr>
        <w:t>The statements of the report in connection with the Hungarian strike legislation are improper. First of all, it is not true that strike is prohibited to those unions which are parties to the agreements concluded with the government, and second of all it is not correct that the professional groups do not have the right to strike, and lastly</w:t>
      </w:r>
      <w:r w:rsidR="009B4B1D" w:rsidRPr="003E3613">
        <w:rPr>
          <w:rFonts w:ascii="Book Antiqua" w:hAnsi="Book Antiqua" w:cs="Times New Roman"/>
          <w:sz w:val="23"/>
          <w:szCs w:val="23"/>
          <w:lang w:val="en-GB"/>
        </w:rPr>
        <w:t>,</w:t>
      </w:r>
      <w:r w:rsidRPr="003E3613">
        <w:rPr>
          <w:rFonts w:ascii="Book Antiqua" w:hAnsi="Book Antiqua" w:cs="Times New Roman"/>
          <w:sz w:val="23"/>
          <w:szCs w:val="23"/>
          <w:lang w:val="en-GB"/>
        </w:rPr>
        <w:t xml:space="preserve"> the statistic</w:t>
      </w:r>
      <w:r w:rsidR="009B4B1D" w:rsidRPr="003E3613">
        <w:rPr>
          <w:rFonts w:ascii="Book Antiqua" w:hAnsi="Book Antiqua" w:cs="Times New Roman"/>
          <w:sz w:val="23"/>
          <w:szCs w:val="23"/>
          <w:lang w:val="en-GB"/>
        </w:rPr>
        <w:t>s</w:t>
      </w:r>
      <w:r w:rsidRPr="003E3613">
        <w:rPr>
          <w:rFonts w:ascii="Book Antiqua" w:hAnsi="Book Antiqua" w:cs="Times New Roman"/>
          <w:sz w:val="23"/>
          <w:szCs w:val="23"/>
          <w:lang w:val="en-GB"/>
        </w:rPr>
        <w:t xml:space="preserve"> of strike permits in 2011 is taken out of context which is highly misleading.</w:t>
      </w:r>
    </w:p>
    <w:p w14:paraId="7BF91020" w14:textId="77777777" w:rsidR="00CD298F" w:rsidRPr="003E3613" w:rsidRDefault="00CD298F"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Pursuant to Act VII of 1989 on strike (Strike Act), strike shall not be held at judicial bodies, the Hungarian Defence Forces or law enforcement agencies. At state administration bodies, the right to strike may be exercised while complying with the particular rules set out in the agreement between the Government and the relevant trade unions, but the members of the professional personnel at the National Tax and Customs Administration of Hungary shall not be entitled to exercise the right to strike.</w:t>
      </w:r>
    </w:p>
    <w:p w14:paraId="1CEC8B1F" w14:textId="77777777" w:rsidR="00010AA7" w:rsidRPr="003E3613" w:rsidRDefault="00010AA7" w:rsidP="00204696">
      <w:pPr>
        <w:spacing w:after="0"/>
        <w:jc w:val="both"/>
        <w:rPr>
          <w:rFonts w:ascii="Book Antiqua" w:hAnsi="Book Antiqua" w:cs="Times New Roman"/>
          <w:sz w:val="23"/>
          <w:szCs w:val="23"/>
          <w:lang w:val="en-GB"/>
        </w:rPr>
      </w:pPr>
    </w:p>
    <w:p w14:paraId="39A1E287" w14:textId="77777777" w:rsidR="00CD298F" w:rsidRPr="003E3613" w:rsidRDefault="00CD298F" w:rsidP="00204696">
      <w:pPr>
        <w:spacing w:after="24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The strike agreement (Agreement) concluded with respect to public administration has been in force since 1994. Pursuant to the agreement, trade unions concerned, national advocacy groups of local governments, civil servants of public administrative bodies and local governments may exercise their rights provided by the Strike Act while complying with the particular rules set out in the Agreement. On the basis of the restrictions declared in the Agreement participation in strike is forbidden for civil servants exercising employer’s rights which concern fundamentally the existence of the public service relationship. The reason for this is that civil servants exercising employer’s rights which concern the existence of the public service relationship play a fundamental role in the operation of the public administrative body and in taking lawful public administrative </w:t>
      </w:r>
      <w:r w:rsidR="001431F0" w:rsidRPr="003E3613">
        <w:rPr>
          <w:rFonts w:ascii="Book Antiqua" w:hAnsi="Book Antiqua" w:cs="Times New Roman"/>
          <w:sz w:val="23"/>
          <w:szCs w:val="23"/>
          <w:lang w:val="en-GB"/>
        </w:rPr>
        <w:t>decisions;</w:t>
      </w:r>
      <w:r w:rsidRPr="003E3613">
        <w:rPr>
          <w:rFonts w:ascii="Book Antiqua" w:hAnsi="Book Antiqua" w:cs="Times New Roman"/>
          <w:sz w:val="23"/>
          <w:szCs w:val="23"/>
          <w:lang w:val="en-GB"/>
        </w:rPr>
        <w:t xml:space="preserve"> therefore, the increase</w:t>
      </w:r>
      <w:r w:rsidR="001431F0" w:rsidRPr="003E3613">
        <w:rPr>
          <w:rFonts w:ascii="Book Antiqua" w:hAnsi="Book Antiqua" w:cs="Times New Roman"/>
          <w:sz w:val="23"/>
          <w:szCs w:val="23"/>
          <w:lang w:val="en-GB"/>
        </w:rPr>
        <w:t>d</w:t>
      </w:r>
      <w:r w:rsidRPr="003E3613">
        <w:rPr>
          <w:rFonts w:ascii="Book Antiqua" w:hAnsi="Book Antiqua" w:cs="Times New Roman"/>
          <w:sz w:val="23"/>
          <w:szCs w:val="23"/>
          <w:lang w:val="en-GB"/>
        </w:rPr>
        <w:t xml:space="preserve"> protection of public interest justifies the exclusion from the exercise of right to strike. The trade unions and national federations of local governments being signatory parties to the Agreement have also agreed with this restriction.</w:t>
      </w:r>
    </w:p>
    <w:p w14:paraId="127C2CB6" w14:textId="77777777" w:rsidR="00CD298F" w:rsidRPr="003E3613" w:rsidRDefault="00CD298F"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Only the trade unions being signatories of the Agreement or joining thereto and their operating bodies shall be entitled to the right to initiate a strike. Trade unions not having signed the Agreement are not entitled to the right to initiate a strike, because the Agreement settles important rules of procedure relating to the commencement and execution of a strike. The Agreement declares the open nature of the Agreement, that is, trade unions and interest representations of local governments operating in the field of public administration may join the Agreement any time.</w:t>
      </w:r>
    </w:p>
    <w:p w14:paraId="40CC0986" w14:textId="77777777" w:rsidR="00BF3B9E" w:rsidRPr="003E3613" w:rsidRDefault="00BF3B9E" w:rsidP="00204696">
      <w:pPr>
        <w:spacing w:after="0"/>
        <w:jc w:val="both"/>
        <w:rPr>
          <w:rFonts w:ascii="Book Antiqua" w:hAnsi="Book Antiqua" w:cs="Times New Roman"/>
          <w:sz w:val="23"/>
          <w:szCs w:val="23"/>
          <w:lang w:val="en-GB"/>
        </w:rPr>
      </w:pPr>
    </w:p>
    <w:p w14:paraId="6E96377D" w14:textId="77777777" w:rsidR="00CD298F" w:rsidRPr="003E3613" w:rsidRDefault="005F6C28" w:rsidP="00204696">
      <w:pPr>
        <w:spacing w:after="240"/>
        <w:jc w:val="both"/>
        <w:rPr>
          <w:rFonts w:ascii="Book Antiqua" w:hAnsi="Book Antiqua" w:cs="Times New Roman"/>
          <w:sz w:val="23"/>
          <w:szCs w:val="23"/>
          <w:lang w:val="en-GB"/>
        </w:rPr>
      </w:pPr>
      <w:r w:rsidRPr="003E3613">
        <w:rPr>
          <w:rFonts w:ascii="Book Antiqua" w:hAnsi="Book Antiqua" w:cs="Times New Roman"/>
          <w:sz w:val="23"/>
          <w:szCs w:val="23"/>
          <w:lang w:val="en-GB"/>
        </w:rPr>
        <w:t>Based on</w:t>
      </w:r>
      <w:r w:rsidR="00CD298F" w:rsidRPr="003E3613">
        <w:rPr>
          <w:rFonts w:ascii="Book Antiqua" w:hAnsi="Book Antiqua" w:cs="Times New Roman"/>
          <w:sz w:val="23"/>
          <w:szCs w:val="23"/>
          <w:lang w:val="en-GB"/>
        </w:rPr>
        <w:t xml:space="preserve"> most</w:t>
      </w:r>
      <w:r w:rsidRPr="003E3613">
        <w:rPr>
          <w:rFonts w:ascii="Book Antiqua" w:hAnsi="Book Antiqua" w:cs="Times New Roman"/>
          <w:sz w:val="23"/>
          <w:szCs w:val="23"/>
          <w:lang w:val="en-GB"/>
        </w:rPr>
        <w:t xml:space="preserve"> of the</w:t>
      </w:r>
      <w:r w:rsidR="00CD298F" w:rsidRPr="003E3613">
        <w:rPr>
          <w:rFonts w:ascii="Book Antiqua" w:hAnsi="Book Antiqua" w:cs="Times New Roman"/>
          <w:sz w:val="23"/>
          <w:szCs w:val="23"/>
          <w:lang w:val="en-GB"/>
        </w:rPr>
        <w:t xml:space="preserve"> international documents related to strike it is clear that in </w:t>
      </w:r>
      <w:r w:rsidRPr="003E3613">
        <w:rPr>
          <w:rFonts w:ascii="Book Antiqua" w:hAnsi="Book Antiqua" w:cs="Times New Roman"/>
          <w:sz w:val="23"/>
          <w:szCs w:val="23"/>
          <w:lang w:val="en-GB"/>
        </w:rPr>
        <w:t>such</w:t>
      </w:r>
      <w:r w:rsidR="00CD298F" w:rsidRPr="003E3613">
        <w:rPr>
          <w:rFonts w:ascii="Book Antiqua" w:hAnsi="Book Antiqua" w:cs="Times New Roman"/>
          <w:sz w:val="23"/>
          <w:szCs w:val="23"/>
          <w:lang w:val="en-GB"/>
        </w:rPr>
        <w:t xml:space="preserve"> cases strike could be reasonably restricted, but the solutions protecting the collective rights’ shall not make the strike impossible. </w:t>
      </w:r>
      <w:r w:rsidRPr="003E3613">
        <w:rPr>
          <w:rFonts w:ascii="Book Antiqua" w:hAnsi="Book Antiqua" w:cs="Times New Roman"/>
          <w:sz w:val="23"/>
          <w:szCs w:val="23"/>
          <w:lang w:val="en-GB"/>
        </w:rPr>
        <w:t>Therefore</w:t>
      </w:r>
      <w:r w:rsidR="00CD298F" w:rsidRPr="003E3613">
        <w:rPr>
          <w:rFonts w:ascii="Book Antiqua" w:hAnsi="Book Antiqua" w:cs="Times New Roman"/>
          <w:sz w:val="23"/>
          <w:szCs w:val="23"/>
          <w:lang w:val="en-GB"/>
        </w:rPr>
        <w:t xml:space="preserve">, it is possible to set up an external decision-making forum, if this forum </w:t>
      </w:r>
      <w:r w:rsidR="00522CE5" w:rsidRPr="003E3613">
        <w:rPr>
          <w:rFonts w:ascii="Book Antiqua" w:hAnsi="Book Antiqua" w:cs="Times New Roman"/>
          <w:sz w:val="23"/>
          <w:szCs w:val="23"/>
          <w:lang w:val="en-GB"/>
        </w:rPr>
        <w:t>fulfils</w:t>
      </w:r>
      <w:r w:rsidR="00CD298F" w:rsidRPr="003E3613">
        <w:rPr>
          <w:rFonts w:ascii="Book Antiqua" w:hAnsi="Book Antiqua" w:cs="Times New Roman"/>
          <w:sz w:val="23"/>
          <w:szCs w:val="23"/>
          <w:lang w:val="en-GB"/>
        </w:rPr>
        <w:t xml:space="preserve"> two essential requirements: it shall be impartial in the debate, and the procedural conditions shall not make the strike impossible</w:t>
      </w:r>
      <w:r w:rsidR="006940F4" w:rsidRPr="003E3613">
        <w:rPr>
          <w:rFonts w:ascii="Book Antiqua" w:hAnsi="Book Antiqua" w:cs="Times New Roman"/>
          <w:sz w:val="23"/>
          <w:szCs w:val="23"/>
          <w:lang w:val="en-GB"/>
        </w:rPr>
        <w:t>.</w:t>
      </w:r>
      <w:r w:rsidR="00CD298F" w:rsidRPr="003E3613">
        <w:rPr>
          <w:rFonts w:ascii="Book Antiqua" w:hAnsi="Book Antiqua" w:cs="Times New Roman"/>
          <w:sz w:val="23"/>
          <w:szCs w:val="23"/>
          <w:lang w:val="en-GB"/>
        </w:rPr>
        <w:t xml:space="preserve"> In compliance with international requirements, it is the independent and impartial Hungarian court’s responsibility to decide in the case of a fundamental right collision. The independence and the impartiality of the Hungarian court </w:t>
      </w:r>
      <w:r w:rsidRPr="003E3613">
        <w:rPr>
          <w:rFonts w:ascii="Book Antiqua" w:hAnsi="Book Antiqua" w:cs="Times New Roman"/>
          <w:sz w:val="23"/>
          <w:szCs w:val="23"/>
          <w:lang w:val="en-GB"/>
        </w:rPr>
        <w:t>are</w:t>
      </w:r>
      <w:r w:rsidR="00CD298F" w:rsidRPr="003E3613">
        <w:rPr>
          <w:rFonts w:ascii="Book Antiqua" w:hAnsi="Book Antiqua" w:cs="Times New Roman"/>
          <w:sz w:val="23"/>
          <w:szCs w:val="23"/>
          <w:lang w:val="en-GB"/>
        </w:rPr>
        <w:t xml:space="preserve"> guaranteed, </w:t>
      </w:r>
      <w:r w:rsidRPr="003E3613">
        <w:rPr>
          <w:rFonts w:ascii="Book Antiqua" w:hAnsi="Book Antiqua" w:cs="Times New Roman"/>
          <w:sz w:val="23"/>
          <w:szCs w:val="23"/>
          <w:lang w:val="en-GB"/>
        </w:rPr>
        <w:t>since</w:t>
      </w:r>
      <w:r w:rsidR="00CD298F" w:rsidRPr="003E3613">
        <w:rPr>
          <w:rFonts w:ascii="Book Antiqua" w:hAnsi="Book Antiqua" w:cs="Times New Roman"/>
          <w:sz w:val="23"/>
          <w:szCs w:val="23"/>
          <w:lang w:val="en-GB"/>
        </w:rPr>
        <w:t xml:space="preserve"> the Government, has no impact on the court’s decision. </w:t>
      </w:r>
    </w:p>
    <w:p w14:paraId="13DBA023" w14:textId="77777777" w:rsidR="00CD298F" w:rsidRPr="003E3613" w:rsidRDefault="00CD298F"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The Hungarian Central Statistical Office (KSH) publishes annually strike related statistical data based on the reports of economic </w:t>
      </w:r>
      <w:r w:rsidR="00BD0A8B" w:rsidRPr="003E3613">
        <w:rPr>
          <w:rFonts w:ascii="Book Antiqua" w:hAnsi="Book Antiqua" w:cs="Times New Roman"/>
          <w:sz w:val="23"/>
          <w:szCs w:val="23"/>
          <w:lang w:val="en-GB"/>
        </w:rPr>
        <w:t>organisation</w:t>
      </w:r>
      <w:r w:rsidRPr="003E3613">
        <w:rPr>
          <w:rFonts w:ascii="Book Antiqua" w:hAnsi="Book Antiqua" w:cs="Times New Roman"/>
          <w:sz w:val="23"/>
          <w:szCs w:val="23"/>
          <w:lang w:val="en-GB"/>
        </w:rPr>
        <w:t>s.</w:t>
      </w:r>
      <w:r w:rsidR="005F6C28" w:rsidRPr="003E3613">
        <w:rPr>
          <w:rFonts w:ascii="Book Antiqua" w:hAnsi="Book Antiqua" w:cs="Times New Roman"/>
          <w:sz w:val="23"/>
          <w:szCs w:val="23"/>
          <w:lang w:val="en-GB"/>
        </w:rPr>
        <w:t xml:space="preserve"> </w:t>
      </w:r>
      <w:r w:rsidRPr="003E3613">
        <w:rPr>
          <w:rFonts w:ascii="Book Antiqua" w:hAnsi="Book Antiqua" w:cs="Times New Roman"/>
          <w:sz w:val="23"/>
          <w:szCs w:val="23"/>
          <w:lang w:val="en-GB"/>
        </w:rPr>
        <w:t>The data approved in June 201</w:t>
      </w:r>
      <w:r w:rsidR="00BF012C" w:rsidRPr="003E3613">
        <w:rPr>
          <w:rFonts w:ascii="Book Antiqua" w:hAnsi="Book Antiqua" w:cs="Times New Roman"/>
          <w:sz w:val="23"/>
          <w:szCs w:val="23"/>
          <w:lang w:val="en-GB"/>
        </w:rPr>
        <w:t>9</w:t>
      </w:r>
      <w:r w:rsidRPr="003E3613">
        <w:rPr>
          <w:rFonts w:ascii="Book Antiqua" w:hAnsi="Book Antiqua" w:cs="Times New Roman"/>
          <w:sz w:val="23"/>
          <w:szCs w:val="23"/>
          <w:lang w:val="en-GB"/>
        </w:rPr>
        <w:t xml:space="preserve"> suggest that </w:t>
      </w:r>
      <w:r w:rsidR="00BF012C" w:rsidRPr="003E3613">
        <w:rPr>
          <w:rFonts w:ascii="Book Antiqua" w:hAnsi="Book Antiqua" w:cs="Times New Roman"/>
          <w:sz w:val="23"/>
          <w:szCs w:val="23"/>
          <w:lang w:val="en-GB"/>
        </w:rPr>
        <w:t>3</w:t>
      </w:r>
      <w:r w:rsidRPr="003E3613">
        <w:rPr>
          <w:rFonts w:ascii="Book Antiqua" w:hAnsi="Book Antiqua" w:cs="Times New Roman"/>
          <w:sz w:val="23"/>
          <w:szCs w:val="23"/>
          <w:lang w:val="en-GB"/>
        </w:rPr>
        <w:t>2 strikes were notified between 2010 and 201</w:t>
      </w:r>
      <w:r w:rsidR="00BF012C" w:rsidRPr="003E3613">
        <w:rPr>
          <w:rFonts w:ascii="Book Antiqua" w:hAnsi="Book Antiqua" w:cs="Times New Roman"/>
          <w:sz w:val="23"/>
          <w:szCs w:val="23"/>
          <w:lang w:val="en-GB"/>
        </w:rPr>
        <w:t>8</w:t>
      </w:r>
      <w:r w:rsidRPr="003E3613">
        <w:rPr>
          <w:rFonts w:ascii="Book Antiqua" w:hAnsi="Book Antiqua" w:cs="Times New Roman"/>
          <w:sz w:val="23"/>
          <w:szCs w:val="23"/>
          <w:lang w:val="en-GB"/>
        </w:rPr>
        <w:t xml:space="preserve"> and approx. </w:t>
      </w:r>
      <w:r w:rsidR="00BF012C" w:rsidRPr="003E3613">
        <w:rPr>
          <w:rFonts w:ascii="Book Antiqua" w:hAnsi="Book Antiqua" w:cs="Times New Roman"/>
          <w:sz w:val="23"/>
          <w:szCs w:val="23"/>
          <w:lang w:val="en-GB"/>
        </w:rPr>
        <w:t>67</w:t>
      </w:r>
      <w:r w:rsidRPr="003E3613">
        <w:rPr>
          <w:rFonts w:ascii="Book Antiqua" w:hAnsi="Book Antiqua" w:cs="Times New Roman"/>
          <w:sz w:val="23"/>
          <w:szCs w:val="23"/>
          <w:lang w:val="en-GB"/>
        </w:rPr>
        <w:t xml:space="preserve"> </w:t>
      </w:r>
      <w:r w:rsidR="00BF012C" w:rsidRPr="003E3613">
        <w:rPr>
          <w:rFonts w:ascii="Book Antiqua" w:hAnsi="Book Antiqua" w:cs="Times New Roman"/>
          <w:sz w:val="23"/>
          <w:szCs w:val="23"/>
          <w:lang w:val="en-GB"/>
        </w:rPr>
        <w:t>2</w:t>
      </w:r>
      <w:r w:rsidRPr="003E3613">
        <w:rPr>
          <w:rFonts w:ascii="Book Antiqua" w:hAnsi="Book Antiqua" w:cs="Times New Roman"/>
          <w:sz w:val="23"/>
          <w:szCs w:val="23"/>
          <w:lang w:val="en-GB"/>
        </w:rPr>
        <w:t xml:space="preserve">00 people took part in these strikes causing </w:t>
      </w:r>
      <w:r w:rsidR="00BF012C" w:rsidRPr="003E3613">
        <w:rPr>
          <w:rFonts w:ascii="Book Antiqua" w:hAnsi="Book Antiqua" w:cs="Times New Roman"/>
          <w:sz w:val="23"/>
          <w:szCs w:val="23"/>
          <w:lang w:val="en-GB"/>
        </w:rPr>
        <w:t>728</w:t>
      </w:r>
      <w:r w:rsidRPr="003E3613">
        <w:rPr>
          <w:rFonts w:ascii="Book Antiqua" w:hAnsi="Book Antiqua" w:cs="Times New Roman"/>
          <w:sz w:val="23"/>
          <w:szCs w:val="23"/>
          <w:lang w:val="en-GB"/>
        </w:rPr>
        <w:t xml:space="preserve"> </w:t>
      </w:r>
      <w:r w:rsidR="00BF012C" w:rsidRPr="003E3613">
        <w:rPr>
          <w:rFonts w:ascii="Book Antiqua" w:hAnsi="Book Antiqua" w:cs="Times New Roman"/>
          <w:sz w:val="23"/>
          <w:szCs w:val="23"/>
          <w:lang w:val="en-GB"/>
        </w:rPr>
        <w:t>0</w:t>
      </w:r>
      <w:r w:rsidRPr="003E3613">
        <w:rPr>
          <w:rFonts w:ascii="Book Antiqua" w:hAnsi="Book Antiqua" w:cs="Times New Roman"/>
          <w:sz w:val="23"/>
          <w:szCs w:val="23"/>
          <w:lang w:val="en-GB"/>
        </w:rPr>
        <w:t>00 lost working hours.</w:t>
      </w:r>
      <w:r w:rsidR="00BF012C" w:rsidRPr="003E3613">
        <w:rPr>
          <w:rFonts w:ascii="Book Antiqua" w:hAnsi="Book Antiqua" w:cs="Times New Roman"/>
          <w:sz w:val="23"/>
          <w:szCs w:val="23"/>
          <w:lang w:val="en-GB"/>
        </w:rPr>
        <w:t xml:space="preserve"> According to available data on 2019, 16 stikes were held only until June 2019 which is a remarkable number compared to previous years.</w:t>
      </w:r>
    </w:p>
    <w:p w14:paraId="6B9B1D94" w14:textId="77777777" w:rsidR="00010AA7" w:rsidRPr="003E3613" w:rsidRDefault="00010AA7" w:rsidP="00204696">
      <w:pPr>
        <w:spacing w:after="0"/>
        <w:jc w:val="both"/>
        <w:rPr>
          <w:rFonts w:ascii="Book Antiqua" w:hAnsi="Book Antiqua" w:cs="Times New Roman"/>
          <w:sz w:val="23"/>
          <w:szCs w:val="23"/>
          <w:lang w:val="en-GB"/>
        </w:rPr>
      </w:pPr>
    </w:p>
    <w:p w14:paraId="38CA9FD1" w14:textId="77777777" w:rsidR="00CD298F" w:rsidRPr="003E3613" w:rsidRDefault="00CD298F" w:rsidP="00204696">
      <w:pPr>
        <w:spacing w:after="0"/>
        <w:jc w:val="both"/>
        <w:rPr>
          <w:rFonts w:ascii="Book Antiqua" w:hAnsi="Book Antiqua" w:cs="Times New Roman"/>
          <w:sz w:val="23"/>
          <w:szCs w:val="23"/>
          <w:lang w:val="en-GB"/>
        </w:rPr>
      </w:pPr>
      <w:r w:rsidRPr="003E3613">
        <w:rPr>
          <w:rFonts w:ascii="Book Antiqua" w:hAnsi="Book Antiqua" w:cs="Times New Roman"/>
          <w:sz w:val="23"/>
          <w:szCs w:val="23"/>
          <w:lang w:val="en-GB"/>
        </w:rPr>
        <w:t xml:space="preserve">Concerning the number of strikes it is important to note that a new institution, </w:t>
      </w:r>
      <w:r w:rsidR="005F6C28" w:rsidRPr="003E3613">
        <w:rPr>
          <w:rFonts w:ascii="Book Antiqua" w:hAnsi="Book Antiqua" w:cs="Times New Roman"/>
          <w:sz w:val="23"/>
          <w:szCs w:val="23"/>
          <w:lang w:val="en-GB"/>
        </w:rPr>
        <w:t xml:space="preserve">the </w:t>
      </w:r>
      <w:r w:rsidRPr="003E3613">
        <w:rPr>
          <w:rFonts w:ascii="Book Antiqua" w:hAnsi="Book Antiqua" w:cs="Times New Roman"/>
          <w:sz w:val="23"/>
          <w:szCs w:val="23"/>
          <w:lang w:val="en-GB"/>
        </w:rPr>
        <w:t xml:space="preserve">Labour Advisory and Disputes Settlement Body (MTVSZ) has an important role in collective labour disputes. MTVSZ members are nationally recognised </w:t>
      </w:r>
      <w:r w:rsidR="00522CE5" w:rsidRPr="003E3613">
        <w:rPr>
          <w:rFonts w:ascii="Book Antiqua" w:hAnsi="Book Antiqua" w:cs="Times New Roman"/>
          <w:sz w:val="23"/>
          <w:szCs w:val="23"/>
          <w:lang w:val="en-GB"/>
        </w:rPr>
        <w:t>academics</w:t>
      </w:r>
      <w:r w:rsidRPr="003E3613">
        <w:rPr>
          <w:rFonts w:ascii="Book Antiqua" w:hAnsi="Book Antiqua" w:cs="Times New Roman"/>
          <w:sz w:val="23"/>
          <w:szCs w:val="23"/>
          <w:lang w:val="en-GB"/>
        </w:rPr>
        <w:t xml:space="preserve"> and practitioners, who cooperate independently in labour disputes. </w:t>
      </w:r>
      <w:r w:rsidR="00D3015F" w:rsidRPr="003E3613">
        <w:rPr>
          <w:rFonts w:ascii="Book Antiqua" w:hAnsi="Book Antiqua" w:cs="Times New Roman"/>
          <w:sz w:val="23"/>
          <w:szCs w:val="23"/>
          <w:lang w:val="en-GB"/>
        </w:rPr>
        <w:t>According to the strike statistics of the European Trade Union Institute between 2010 and 2017, seven EU Member States had less average days not worked due to industrial action than Hungary.</w:t>
      </w:r>
    </w:p>
    <w:p w14:paraId="5061E1E0" w14:textId="77777777" w:rsidR="006E099F" w:rsidRPr="003E3613" w:rsidRDefault="006E099F" w:rsidP="00204696">
      <w:pPr>
        <w:spacing w:after="0"/>
        <w:jc w:val="both"/>
        <w:rPr>
          <w:rFonts w:ascii="Book Antiqua" w:hAnsi="Book Antiqua" w:cs="Times New Roman"/>
          <w:sz w:val="23"/>
          <w:szCs w:val="23"/>
          <w:lang w:val="en-GB"/>
        </w:rPr>
      </w:pPr>
    </w:p>
    <w:p w14:paraId="56233D1E" w14:textId="77777777" w:rsidR="002E561C" w:rsidRPr="003E3613" w:rsidRDefault="00F1151B" w:rsidP="00204696">
      <w:pPr>
        <w:pStyle w:val="Heading2"/>
        <w:keepNext w:val="0"/>
        <w:keepLines w:val="0"/>
        <w:spacing w:before="0"/>
        <w:rPr>
          <w:rFonts w:ascii="Book Antiqua" w:hAnsi="Book Antiqua"/>
          <w:color w:val="auto"/>
          <w:sz w:val="23"/>
          <w:szCs w:val="23"/>
          <w:lang w:val="en-GB"/>
        </w:rPr>
      </w:pPr>
      <w:bookmarkStart w:id="78" w:name="_Toc19120835"/>
      <w:r w:rsidRPr="003E3613">
        <w:rPr>
          <w:rFonts w:ascii="Book Antiqua" w:hAnsi="Book Antiqua"/>
          <w:color w:val="auto"/>
          <w:sz w:val="23"/>
          <w:szCs w:val="23"/>
          <w:lang w:val="en-GB"/>
        </w:rPr>
        <w:t>Rights of Children</w:t>
      </w:r>
      <w:bookmarkEnd w:id="78"/>
    </w:p>
    <w:p w14:paraId="20EC9393" w14:textId="77777777" w:rsidR="00CE7DB3" w:rsidRPr="003E3613" w:rsidRDefault="00CE7DB3" w:rsidP="00204696">
      <w:pPr>
        <w:spacing w:after="0"/>
        <w:jc w:val="both"/>
        <w:rPr>
          <w:rFonts w:ascii="Book Antiqua" w:hAnsi="Book Antiqua"/>
          <w:i/>
          <w:sz w:val="23"/>
          <w:szCs w:val="23"/>
          <w:lang w:val="en-GB"/>
        </w:rPr>
      </w:pPr>
    </w:p>
    <w:p w14:paraId="2EE6228E" w14:textId="77777777" w:rsidR="00640E71" w:rsidRPr="003E3613" w:rsidRDefault="00640E71"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07258E" w:rsidRPr="003E3613">
        <w:rPr>
          <w:rFonts w:ascii="Book Antiqua" w:hAnsi="Book Antiqua"/>
          <w:i/>
          <w:sz w:val="23"/>
          <w:szCs w:val="23"/>
          <w:lang w:val="en-GB"/>
        </w:rPr>
        <w:t>76</w:t>
      </w:r>
      <w:r w:rsidRPr="003E3613">
        <w:rPr>
          <w:rFonts w:ascii="Book Antiqua" w:hAnsi="Book Antiqua"/>
          <w:i/>
          <w:sz w:val="23"/>
          <w:szCs w:val="23"/>
          <w:lang w:val="en-GB"/>
        </w:rPr>
        <w:t>)</w:t>
      </w:r>
      <w:r w:rsidRPr="003E3613">
        <w:rPr>
          <w:rFonts w:ascii="Book Antiqua" w:hAnsi="Book Antiqua"/>
          <w:i/>
          <w:sz w:val="23"/>
          <w:szCs w:val="23"/>
          <w:lang w:val="en-GB"/>
        </w:rPr>
        <w:tab/>
        <w:t>The UN Committee on the Rights of Children’s report on ‘Concluding observations on the combined third, fourth and fifth periodic reports of Hungary’, published in 14 October 2014, voiced concerns over an increasing number of cases where children are being taken away from their family based on poor socio economic condition. Parents may lose their child due to unemployment, lack of social housing and lack of space in temporary housing institutions. Based on a study by the European Roma Right Centre, this practice disproportionately affects Roma families and children.</w:t>
      </w:r>
    </w:p>
    <w:p w14:paraId="4DC8653F" w14:textId="77777777" w:rsidR="00640E71" w:rsidRPr="003E3613" w:rsidRDefault="00640E71" w:rsidP="00204696">
      <w:pPr>
        <w:spacing w:after="0"/>
        <w:jc w:val="both"/>
        <w:rPr>
          <w:rFonts w:ascii="Book Antiqua" w:hAnsi="Book Antiqua"/>
          <w:i/>
          <w:sz w:val="23"/>
          <w:szCs w:val="23"/>
          <w:lang w:val="en-GB"/>
        </w:rPr>
      </w:pPr>
    </w:p>
    <w:p w14:paraId="1BE0FC8D" w14:textId="77777777" w:rsidR="00D27915" w:rsidRPr="003E3613" w:rsidRDefault="006035B9" w:rsidP="00204696">
      <w:pPr>
        <w:spacing w:after="240"/>
        <w:jc w:val="both"/>
        <w:rPr>
          <w:rFonts w:ascii="Book Antiqua" w:eastAsia="Times New Roman" w:hAnsi="Book Antiqua" w:cs="Calibri"/>
          <w:iCs/>
          <w:color w:val="000000"/>
          <w:sz w:val="23"/>
          <w:szCs w:val="23"/>
          <w:lang w:val="en-GB" w:eastAsia="en-GB"/>
        </w:rPr>
      </w:pPr>
      <w:r w:rsidRPr="003E3613">
        <w:rPr>
          <w:rFonts w:ascii="Book Antiqua" w:hAnsi="Book Antiqua"/>
          <w:iCs/>
          <w:sz w:val="23"/>
          <w:szCs w:val="23"/>
          <w:lang w:val="en-GB"/>
        </w:rPr>
        <w:t>According to</w:t>
      </w:r>
      <w:r w:rsidR="00D27915" w:rsidRPr="003E3613">
        <w:rPr>
          <w:rFonts w:ascii="Book Antiqua" w:hAnsi="Book Antiqua"/>
          <w:iCs/>
          <w:sz w:val="23"/>
          <w:szCs w:val="23"/>
          <w:lang w:val="en-GB"/>
        </w:rPr>
        <w:t xml:space="preserve"> Act XXXI of 1997 on the Protection of Children and Guardianship Administration (Child Protection Act), the child</w:t>
      </w:r>
      <w:r w:rsidR="0007258E" w:rsidRPr="003E3613">
        <w:rPr>
          <w:rFonts w:ascii="Book Antiqua" w:hAnsi="Book Antiqua"/>
          <w:iCs/>
          <w:sz w:val="23"/>
          <w:szCs w:val="23"/>
          <w:lang w:val="en-GB"/>
        </w:rPr>
        <w:t xml:space="preserve"> could</w:t>
      </w:r>
      <w:r w:rsidR="00D27915" w:rsidRPr="003E3613">
        <w:rPr>
          <w:rFonts w:ascii="Book Antiqua" w:hAnsi="Book Antiqua"/>
          <w:iCs/>
          <w:sz w:val="23"/>
          <w:szCs w:val="23"/>
          <w:lang w:val="en-GB"/>
        </w:rPr>
        <w:t xml:space="preserve"> be separated from the parents or other relatives exclusively for </w:t>
      </w:r>
      <w:r w:rsidRPr="003E3613">
        <w:rPr>
          <w:rFonts w:ascii="Book Antiqua" w:hAnsi="Book Antiqua"/>
          <w:iCs/>
          <w:sz w:val="23"/>
          <w:szCs w:val="23"/>
          <w:lang w:val="en-GB"/>
        </w:rPr>
        <w:t>their</w:t>
      </w:r>
      <w:r w:rsidR="00D27915" w:rsidRPr="003E3613">
        <w:rPr>
          <w:rFonts w:ascii="Book Antiqua" w:hAnsi="Book Antiqua"/>
          <w:iCs/>
          <w:sz w:val="23"/>
          <w:szCs w:val="23"/>
          <w:lang w:val="en-GB"/>
        </w:rPr>
        <w:t xml:space="preserve"> own sake, in legally </w:t>
      </w:r>
      <w:r w:rsidRPr="003E3613">
        <w:rPr>
          <w:rFonts w:ascii="Book Antiqua" w:hAnsi="Book Antiqua"/>
          <w:iCs/>
          <w:sz w:val="23"/>
          <w:szCs w:val="23"/>
          <w:lang w:val="en-GB"/>
        </w:rPr>
        <w:t>described</w:t>
      </w:r>
      <w:r w:rsidR="00D27915" w:rsidRPr="003E3613">
        <w:rPr>
          <w:rFonts w:ascii="Book Antiqua" w:hAnsi="Book Antiqua"/>
          <w:iCs/>
          <w:sz w:val="23"/>
          <w:szCs w:val="23"/>
          <w:lang w:val="en-GB"/>
        </w:rPr>
        <w:t xml:space="preserve"> cases and manner. </w:t>
      </w:r>
      <w:r w:rsidR="00D27915" w:rsidRPr="003E3613">
        <w:rPr>
          <w:rFonts w:ascii="Book Antiqua" w:hAnsi="Book Antiqua"/>
          <w:bCs/>
          <w:iCs/>
          <w:sz w:val="23"/>
          <w:szCs w:val="23"/>
          <w:lang w:val="en-GB"/>
        </w:rPr>
        <w:t>The</w:t>
      </w:r>
      <w:r w:rsidRPr="003E3613">
        <w:rPr>
          <w:rFonts w:ascii="Book Antiqua" w:hAnsi="Book Antiqua"/>
          <w:bCs/>
          <w:iCs/>
          <w:sz w:val="23"/>
          <w:szCs w:val="23"/>
          <w:lang w:val="en-GB"/>
        </w:rPr>
        <w:t>ref</w:t>
      </w:r>
      <w:r w:rsidR="00FE237E" w:rsidRPr="003E3613">
        <w:rPr>
          <w:rFonts w:ascii="Book Antiqua" w:hAnsi="Book Antiqua"/>
          <w:bCs/>
          <w:iCs/>
          <w:sz w:val="23"/>
          <w:szCs w:val="23"/>
          <w:lang w:val="en-GB"/>
        </w:rPr>
        <w:t>o</w:t>
      </w:r>
      <w:r w:rsidRPr="003E3613">
        <w:rPr>
          <w:rFonts w:ascii="Book Antiqua" w:hAnsi="Book Antiqua"/>
          <w:bCs/>
          <w:iCs/>
          <w:sz w:val="23"/>
          <w:szCs w:val="23"/>
          <w:lang w:val="en-GB"/>
        </w:rPr>
        <w:t>re, the</w:t>
      </w:r>
      <w:r w:rsidR="00D27915" w:rsidRPr="003E3613">
        <w:rPr>
          <w:rFonts w:ascii="Book Antiqua" w:hAnsi="Book Antiqua"/>
          <w:bCs/>
          <w:iCs/>
          <w:sz w:val="23"/>
          <w:szCs w:val="23"/>
          <w:lang w:val="en-GB"/>
        </w:rPr>
        <w:t xml:space="preserve"> child </w:t>
      </w:r>
      <w:r w:rsidRPr="003E3613">
        <w:rPr>
          <w:rFonts w:ascii="Book Antiqua" w:hAnsi="Book Antiqua"/>
          <w:bCs/>
          <w:iCs/>
          <w:sz w:val="23"/>
          <w:szCs w:val="23"/>
          <w:lang w:val="en-GB"/>
        </w:rPr>
        <w:t>must</w:t>
      </w:r>
      <w:r w:rsidR="00D27915" w:rsidRPr="003E3613">
        <w:rPr>
          <w:rFonts w:ascii="Book Antiqua" w:hAnsi="Book Antiqua"/>
          <w:bCs/>
          <w:iCs/>
          <w:sz w:val="23"/>
          <w:szCs w:val="23"/>
          <w:lang w:val="en-GB"/>
        </w:rPr>
        <w:t xml:space="preserve"> not be separated from </w:t>
      </w:r>
      <w:r w:rsidRPr="003E3613">
        <w:rPr>
          <w:rFonts w:ascii="Book Antiqua" w:hAnsi="Book Antiqua"/>
          <w:bCs/>
          <w:iCs/>
          <w:sz w:val="23"/>
          <w:szCs w:val="23"/>
          <w:lang w:val="en-GB"/>
        </w:rPr>
        <w:t>their</w:t>
      </w:r>
      <w:r w:rsidR="00D27915" w:rsidRPr="003E3613">
        <w:rPr>
          <w:rFonts w:ascii="Book Antiqua" w:hAnsi="Book Antiqua"/>
          <w:bCs/>
          <w:iCs/>
          <w:sz w:val="23"/>
          <w:szCs w:val="23"/>
          <w:lang w:val="en-GB"/>
        </w:rPr>
        <w:t xml:space="preserve"> family solely for financial reasons</w:t>
      </w:r>
      <w:r w:rsidR="00A03FEF" w:rsidRPr="003E3613">
        <w:rPr>
          <w:rFonts w:ascii="Book Antiqua" w:hAnsi="Book Antiqua"/>
          <w:bCs/>
          <w:iCs/>
          <w:sz w:val="23"/>
          <w:szCs w:val="23"/>
          <w:lang w:val="en-GB"/>
        </w:rPr>
        <w:t>;</w:t>
      </w:r>
      <w:r w:rsidRPr="003E3613">
        <w:rPr>
          <w:rFonts w:ascii="Book Antiqua" w:hAnsi="Book Antiqua"/>
          <w:bCs/>
          <w:iCs/>
          <w:sz w:val="23"/>
          <w:szCs w:val="23"/>
          <w:lang w:val="en-GB"/>
        </w:rPr>
        <w:t xml:space="preserve"> it wou</w:t>
      </w:r>
      <w:r w:rsidR="00FE237E" w:rsidRPr="003E3613">
        <w:rPr>
          <w:rFonts w:ascii="Book Antiqua" w:hAnsi="Book Antiqua"/>
          <w:bCs/>
          <w:iCs/>
          <w:sz w:val="23"/>
          <w:szCs w:val="23"/>
          <w:lang w:val="en-GB"/>
        </w:rPr>
        <w:t>l</w:t>
      </w:r>
      <w:r w:rsidRPr="003E3613">
        <w:rPr>
          <w:rFonts w:ascii="Book Antiqua" w:hAnsi="Book Antiqua"/>
          <w:bCs/>
          <w:iCs/>
          <w:sz w:val="23"/>
          <w:szCs w:val="23"/>
          <w:lang w:val="en-GB"/>
        </w:rPr>
        <w:t xml:space="preserve">d be a </w:t>
      </w:r>
      <w:r w:rsidR="00D27915" w:rsidRPr="003E3613">
        <w:rPr>
          <w:rFonts w:ascii="Book Antiqua" w:hAnsi="Book Antiqua"/>
          <w:bCs/>
          <w:iCs/>
          <w:sz w:val="23"/>
          <w:szCs w:val="23"/>
          <w:lang w:val="en-GB"/>
        </w:rPr>
        <w:t>clear violation of the law</w:t>
      </w:r>
      <w:r w:rsidRPr="003E3613">
        <w:rPr>
          <w:rFonts w:ascii="Book Antiqua" w:hAnsi="Book Antiqua"/>
          <w:bCs/>
          <w:iCs/>
          <w:sz w:val="23"/>
          <w:szCs w:val="23"/>
          <w:lang w:val="en-GB"/>
        </w:rPr>
        <w:t>.</w:t>
      </w:r>
      <w:r w:rsidR="00D27915" w:rsidRPr="003E3613">
        <w:rPr>
          <w:rFonts w:ascii="Book Antiqua" w:hAnsi="Book Antiqua"/>
          <w:iCs/>
          <w:sz w:val="23"/>
          <w:szCs w:val="23"/>
          <w:lang w:val="en-GB"/>
        </w:rPr>
        <w:t xml:space="preserve"> </w:t>
      </w:r>
      <w:r w:rsidRPr="003E3613">
        <w:rPr>
          <w:rFonts w:ascii="Book Antiqua" w:hAnsi="Book Antiqua"/>
          <w:iCs/>
          <w:sz w:val="23"/>
          <w:szCs w:val="23"/>
          <w:lang w:val="en-GB"/>
        </w:rPr>
        <w:t>Should the first ins</w:t>
      </w:r>
      <w:r w:rsidR="00201B1E" w:rsidRPr="003E3613">
        <w:rPr>
          <w:rFonts w:ascii="Book Antiqua" w:hAnsi="Book Antiqua"/>
          <w:iCs/>
          <w:sz w:val="23"/>
          <w:szCs w:val="23"/>
          <w:lang w:val="en-GB"/>
        </w:rPr>
        <w:t>tance guardian authority decide</w:t>
      </w:r>
      <w:r w:rsidRPr="003E3613">
        <w:rPr>
          <w:rFonts w:ascii="Book Antiqua" w:hAnsi="Book Antiqua"/>
          <w:iCs/>
          <w:sz w:val="23"/>
          <w:szCs w:val="23"/>
          <w:lang w:val="en-GB"/>
        </w:rPr>
        <w:t xml:space="preserve"> to do so, </w:t>
      </w:r>
      <w:r w:rsidR="00201B1E" w:rsidRPr="003E3613">
        <w:rPr>
          <w:rFonts w:ascii="Book Antiqua" w:hAnsi="Book Antiqua"/>
          <w:iCs/>
          <w:sz w:val="23"/>
          <w:szCs w:val="23"/>
          <w:lang w:val="en-GB"/>
        </w:rPr>
        <w:t>the client may file an appeal</w:t>
      </w:r>
      <w:r w:rsidRPr="003E3613">
        <w:rPr>
          <w:rFonts w:ascii="Book Antiqua" w:hAnsi="Book Antiqua"/>
          <w:iCs/>
          <w:sz w:val="23"/>
          <w:szCs w:val="23"/>
          <w:lang w:val="en-GB"/>
        </w:rPr>
        <w:t>, and then a review of the second instance decision can be initiated at the court by referring to an infringement of law.</w:t>
      </w:r>
      <w:r w:rsidR="00201B1E" w:rsidRPr="003E3613">
        <w:rPr>
          <w:rFonts w:ascii="Book Antiqua" w:eastAsia="Times New Roman" w:hAnsi="Book Antiqua" w:cs="Calibri"/>
          <w:iCs/>
          <w:color w:val="000000"/>
          <w:sz w:val="23"/>
          <w:szCs w:val="23"/>
          <w:lang w:val="en-GB" w:eastAsia="en-GB"/>
        </w:rPr>
        <w:t xml:space="preserve"> </w:t>
      </w:r>
      <w:r w:rsidR="00201B1E" w:rsidRPr="003E3613">
        <w:rPr>
          <w:rFonts w:ascii="Book Antiqua" w:hAnsi="Book Antiqua"/>
          <w:bCs/>
          <w:iCs/>
          <w:sz w:val="23"/>
          <w:szCs w:val="23"/>
          <w:lang w:val="en-GB"/>
        </w:rPr>
        <w:t xml:space="preserve">Based on </w:t>
      </w:r>
      <w:r w:rsidR="00D27915" w:rsidRPr="003E3613">
        <w:rPr>
          <w:rFonts w:ascii="Book Antiqua" w:hAnsi="Book Antiqua"/>
          <w:bCs/>
          <w:iCs/>
          <w:sz w:val="23"/>
          <w:szCs w:val="23"/>
          <w:lang w:val="en-GB"/>
        </w:rPr>
        <w:t>the information available, no change in the decision of the first instance authority of guardianship was made because the child was removed from the family only because of a threat on financial reasons.</w:t>
      </w:r>
      <w:r w:rsidR="00D27915" w:rsidRPr="003E3613">
        <w:rPr>
          <w:rFonts w:ascii="Book Antiqua" w:hAnsi="Book Antiqua"/>
          <w:iCs/>
          <w:sz w:val="23"/>
          <w:szCs w:val="23"/>
          <w:lang w:val="en-GB"/>
        </w:rPr>
        <w:t xml:space="preserve"> </w:t>
      </w:r>
      <w:r w:rsidR="00D27915" w:rsidRPr="003E3613">
        <w:rPr>
          <w:rFonts w:ascii="Book Antiqua" w:hAnsi="Book Antiqua"/>
          <w:bCs/>
          <w:iCs/>
          <w:sz w:val="23"/>
          <w:szCs w:val="23"/>
          <w:lang w:val="en-GB"/>
        </w:rPr>
        <w:t xml:space="preserve">The court did not, in </w:t>
      </w:r>
      <w:r w:rsidR="00D27915" w:rsidRPr="003E3613">
        <w:rPr>
          <w:rFonts w:ascii="Book Antiqua" w:hAnsi="Book Antiqua"/>
          <w:bCs/>
          <w:iCs/>
          <w:sz w:val="23"/>
          <w:szCs w:val="23"/>
          <w:lang w:val="en-GB"/>
        </w:rPr>
        <w:lastRenderedPageBreak/>
        <w:t xml:space="preserve">any case, annul the decision of the guardianship authority for the reason that it was </w:t>
      </w:r>
      <w:r w:rsidR="00D27915" w:rsidRPr="003E3613">
        <w:rPr>
          <w:rFonts w:ascii="Book Antiqua" w:hAnsi="Book Antiqua"/>
          <w:iCs/>
          <w:sz w:val="23"/>
          <w:szCs w:val="23"/>
          <w:lang w:val="en-GB"/>
        </w:rPr>
        <w:t xml:space="preserve">contrary to the Child Protection Act. </w:t>
      </w:r>
    </w:p>
    <w:p w14:paraId="21457ED2" w14:textId="77777777" w:rsidR="00D27915" w:rsidRPr="003E3613" w:rsidRDefault="00D27915" w:rsidP="00204696">
      <w:pPr>
        <w:spacing w:after="0"/>
        <w:jc w:val="both"/>
        <w:rPr>
          <w:rFonts w:ascii="Book Antiqua" w:hAnsi="Book Antiqua"/>
          <w:sz w:val="23"/>
          <w:szCs w:val="23"/>
          <w:lang w:val="en-GB"/>
        </w:rPr>
      </w:pPr>
      <w:r w:rsidRPr="003E3613">
        <w:rPr>
          <w:rFonts w:ascii="Book Antiqua" w:hAnsi="Book Antiqua"/>
          <w:iCs/>
          <w:sz w:val="23"/>
          <w:szCs w:val="23"/>
          <w:lang w:val="en-GB"/>
        </w:rPr>
        <w:t>The Child Protection Act guarantees that the temporary placement and the placement of the child should also be reviewed at a defined date which also serves the purpose of the child</w:t>
      </w:r>
      <w:r w:rsidR="00201B1E" w:rsidRPr="003E3613">
        <w:rPr>
          <w:rFonts w:ascii="Book Antiqua" w:hAnsi="Book Antiqua"/>
          <w:iCs/>
          <w:sz w:val="23"/>
          <w:szCs w:val="23"/>
          <w:lang w:val="en-GB"/>
        </w:rPr>
        <w:t>.</w:t>
      </w:r>
    </w:p>
    <w:p w14:paraId="021F10B7" w14:textId="77777777" w:rsidR="00873350" w:rsidRPr="003E3613" w:rsidRDefault="00873350" w:rsidP="00204696">
      <w:pPr>
        <w:spacing w:after="0"/>
        <w:jc w:val="both"/>
        <w:rPr>
          <w:rFonts w:ascii="Book Antiqua" w:hAnsi="Book Antiqua"/>
          <w:sz w:val="23"/>
          <w:szCs w:val="23"/>
          <w:lang w:val="en-GB"/>
        </w:rPr>
      </w:pPr>
    </w:p>
    <w:p w14:paraId="7CD0E876" w14:textId="77777777" w:rsidR="00D27915" w:rsidRPr="003E3613" w:rsidRDefault="00D27915" w:rsidP="00204696">
      <w:pPr>
        <w:spacing w:after="240"/>
        <w:jc w:val="both"/>
        <w:rPr>
          <w:rFonts w:ascii="Book Antiqua" w:hAnsi="Book Antiqua"/>
          <w:sz w:val="23"/>
          <w:szCs w:val="23"/>
          <w:lang w:val="en-GB"/>
        </w:rPr>
      </w:pPr>
      <w:r w:rsidRPr="003E3613">
        <w:rPr>
          <w:rFonts w:ascii="Book Antiqua" w:hAnsi="Book Antiqua"/>
          <w:bCs/>
          <w:iCs/>
          <w:sz w:val="23"/>
          <w:szCs w:val="23"/>
          <w:lang w:val="en-GB"/>
        </w:rPr>
        <w:t xml:space="preserve">The Ministry of Human Capacities as the supervisory body of the metropolitan and county government departments acting in the field of child protection and guardianship duties, initiates supervisory measure on the basis of petitions and the comprehensive and objective control of the metropolitan and county government offices, </w:t>
      </w:r>
      <w:r w:rsidR="00201B1E" w:rsidRPr="003E3613">
        <w:rPr>
          <w:rFonts w:ascii="Book Antiqua" w:hAnsi="Book Antiqua"/>
          <w:bCs/>
          <w:iCs/>
          <w:sz w:val="23"/>
          <w:szCs w:val="23"/>
          <w:lang w:val="en-GB"/>
        </w:rPr>
        <w:t xml:space="preserve">and </w:t>
      </w:r>
      <w:r w:rsidRPr="003E3613">
        <w:rPr>
          <w:rFonts w:ascii="Book Antiqua" w:hAnsi="Book Antiqua"/>
          <w:bCs/>
          <w:iCs/>
          <w:sz w:val="23"/>
          <w:szCs w:val="23"/>
          <w:lang w:val="en-GB"/>
        </w:rPr>
        <w:t xml:space="preserve">will take the necessary measures if it detects </w:t>
      </w:r>
      <w:r w:rsidR="00201B1E" w:rsidRPr="003E3613">
        <w:rPr>
          <w:rFonts w:ascii="Book Antiqua" w:hAnsi="Book Antiqua"/>
          <w:bCs/>
          <w:iCs/>
          <w:sz w:val="23"/>
          <w:szCs w:val="23"/>
          <w:lang w:val="en-GB"/>
        </w:rPr>
        <w:t xml:space="preserve">any </w:t>
      </w:r>
      <w:r w:rsidRPr="003E3613">
        <w:rPr>
          <w:rFonts w:ascii="Book Antiqua" w:hAnsi="Book Antiqua"/>
          <w:bCs/>
          <w:iCs/>
          <w:sz w:val="23"/>
          <w:szCs w:val="23"/>
          <w:lang w:val="en-GB"/>
        </w:rPr>
        <w:t>violation of law.</w:t>
      </w:r>
      <w:r w:rsidRPr="003E3613">
        <w:rPr>
          <w:rFonts w:ascii="Book Antiqua" w:hAnsi="Book Antiqua"/>
          <w:iCs/>
          <w:sz w:val="23"/>
          <w:szCs w:val="23"/>
          <w:lang w:val="en-GB"/>
        </w:rPr>
        <w:t xml:space="preserve"> </w:t>
      </w:r>
      <w:r w:rsidRPr="003E3613">
        <w:rPr>
          <w:rFonts w:ascii="Book Antiqua" w:hAnsi="Book Antiqua"/>
          <w:bCs/>
          <w:iCs/>
          <w:sz w:val="23"/>
          <w:szCs w:val="23"/>
          <w:lang w:val="en-GB"/>
        </w:rPr>
        <w:t>In addition, it establishes a system of child protection in the preparation of its legislative tasks and in the design and implementation of developments affecting this system to promote the best interests of children, promoting the rights of the child to both protection and the right to be brought up in a family.</w:t>
      </w:r>
      <w:r w:rsidRPr="003E3613">
        <w:rPr>
          <w:rFonts w:ascii="Book Antiqua" w:hAnsi="Book Antiqua"/>
          <w:iCs/>
          <w:sz w:val="23"/>
          <w:szCs w:val="23"/>
          <w:lang w:val="en-GB"/>
        </w:rPr>
        <w:t xml:space="preserve"> </w:t>
      </w:r>
    </w:p>
    <w:p w14:paraId="7572E89C" w14:textId="77777777" w:rsidR="00D27915" w:rsidRPr="003E3613" w:rsidRDefault="00D27915" w:rsidP="00204696">
      <w:pPr>
        <w:spacing w:after="240"/>
        <w:jc w:val="both"/>
        <w:rPr>
          <w:rFonts w:ascii="Book Antiqua" w:hAnsi="Book Antiqua"/>
          <w:sz w:val="23"/>
          <w:szCs w:val="23"/>
          <w:lang w:val="en-GB"/>
        </w:rPr>
      </w:pPr>
      <w:r w:rsidRPr="003E3613">
        <w:rPr>
          <w:rFonts w:ascii="Book Antiqua" w:hAnsi="Book Antiqua"/>
          <w:iCs/>
          <w:sz w:val="23"/>
          <w:szCs w:val="23"/>
          <w:lang w:val="en-GB"/>
        </w:rPr>
        <w:t>It is important to note that the decision-making process</w:t>
      </w:r>
      <w:r w:rsidR="00201B1E" w:rsidRPr="003E3613">
        <w:rPr>
          <w:rFonts w:ascii="Book Antiqua" w:hAnsi="Book Antiqua"/>
          <w:iCs/>
          <w:sz w:val="23"/>
          <w:szCs w:val="23"/>
          <w:lang w:val="en-GB"/>
        </w:rPr>
        <w:t xml:space="preserve"> of the guardianship authority</w:t>
      </w:r>
      <w:r w:rsidRPr="003E3613">
        <w:rPr>
          <w:rFonts w:ascii="Book Antiqua" w:hAnsi="Book Antiqua"/>
          <w:iCs/>
          <w:sz w:val="23"/>
          <w:szCs w:val="23"/>
          <w:lang w:val="en-GB"/>
        </w:rPr>
        <w:t xml:space="preserve"> is extremely complex and the existing legislation lays out a number of procedural safeguards to ensure that such incidents do not occur. </w:t>
      </w:r>
      <w:r w:rsidR="00201B1E" w:rsidRPr="003E3613">
        <w:rPr>
          <w:rFonts w:ascii="Book Antiqua" w:hAnsi="Book Antiqua"/>
          <w:iCs/>
          <w:sz w:val="23"/>
          <w:szCs w:val="23"/>
          <w:lang w:val="en-GB"/>
        </w:rPr>
        <w:t>I</w:t>
      </w:r>
      <w:r w:rsidRPr="003E3613">
        <w:rPr>
          <w:rFonts w:ascii="Book Antiqua" w:hAnsi="Book Antiqua"/>
          <w:iCs/>
          <w:sz w:val="23"/>
          <w:szCs w:val="23"/>
          <w:lang w:val="en-GB"/>
        </w:rPr>
        <w:t xml:space="preserve">t is of utmost importance that the guardianship authority, taking the current Child Protection Act into consideration, if the child should be removed from the family, they can be only placed in the system of child protection if there is no parent and other relative who is suitable to raise the child. The family placement under Civil Code also precedes the placement at the foster parent or in the children’s home. </w:t>
      </w:r>
    </w:p>
    <w:p w14:paraId="54528F3F" w14:textId="77777777" w:rsidR="00D27915" w:rsidRPr="003E3613" w:rsidRDefault="00D27915" w:rsidP="00204696">
      <w:pPr>
        <w:spacing w:after="0"/>
        <w:jc w:val="both"/>
        <w:rPr>
          <w:rFonts w:ascii="Book Antiqua" w:hAnsi="Book Antiqua"/>
          <w:iCs/>
          <w:sz w:val="23"/>
          <w:szCs w:val="23"/>
          <w:lang w:val="en-GB"/>
        </w:rPr>
      </w:pPr>
      <w:r w:rsidRPr="003E3613">
        <w:rPr>
          <w:rFonts w:ascii="Book Antiqua" w:hAnsi="Book Antiqua"/>
          <w:bCs/>
          <w:iCs/>
          <w:sz w:val="23"/>
          <w:szCs w:val="23"/>
          <w:lang w:val="en-GB"/>
        </w:rPr>
        <w:t>Removing child</w:t>
      </w:r>
      <w:r w:rsidR="007F3463" w:rsidRPr="003E3613">
        <w:rPr>
          <w:rFonts w:ascii="Book Antiqua" w:hAnsi="Book Antiqua"/>
          <w:bCs/>
          <w:iCs/>
          <w:sz w:val="23"/>
          <w:szCs w:val="23"/>
          <w:lang w:val="en-GB"/>
        </w:rPr>
        <w:t>ren</w:t>
      </w:r>
      <w:r w:rsidRPr="003E3613">
        <w:rPr>
          <w:rFonts w:ascii="Book Antiqua" w:hAnsi="Book Antiqua"/>
          <w:bCs/>
          <w:iCs/>
          <w:sz w:val="23"/>
          <w:szCs w:val="23"/>
          <w:lang w:val="en-GB"/>
        </w:rPr>
        <w:t xml:space="preserve"> from a family is therefore the ultimate tool to protect </w:t>
      </w:r>
      <w:r w:rsidR="000B63C2" w:rsidRPr="003E3613">
        <w:rPr>
          <w:rFonts w:ascii="Book Antiqua" w:hAnsi="Book Antiqua"/>
          <w:bCs/>
          <w:iCs/>
          <w:sz w:val="23"/>
          <w:szCs w:val="23"/>
          <w:lang w:val="en-GB"/>
        </w:rPr>
        <w:t>them</w:t>
      </w:r>
      <w:r w:rsidRPr="003E3613">
        <w:rPr>
          <w:rFonts w:ascii="Book Antiqua" w:hAnsi="Book Antiqua"/>
          <w:bCs/>
          <w:iCs/>
          <w:sz w:val="23"/>
          <w:szCs w:val="23"/>
          <w:lang w:val="en-GB"/>
        </w:rPr>
        <w:t>, with respecting graduation, if they cannot be raised in the family environment despite the assistance.</w:t>
      </w:r>
      <w:r w:rsidRPr="003E3613">
        <w:rPr>
          <w:rFonts w:ascii="Book Antiqua" w:hAnsi="Book Antiqua"/>
          <w:iCs/>
          <w:sz w:val="23"/>
          <w:szCs w:val="23"/>
          <w:lang w:val="en-GB"/>
        </w:rPr>
        <w:t xml:space="preserve"> The child’s upbringing in</w:t>
      </w:r>
      <w:r w:rsidR="00FF063F" w:rsidRPr="003E3613">
        <w:rPr>
          <w:rFonts w:ascii="Book Antiqua" w:hAnsi="Book Antiqua"/>
          <w:iCs/>
          <w:sz w:val="23"/>
          <w:szCs w:val="23"/>
          <w:lang w:val="en-GB"/>
        </w:rPr>
        <w:t xml:space="preserve"> </w:t>
      </w:r>
      <w:r w:rsidR="007F3463" w:rsidRPr="003E3613">
        <w:rPr>
          <w:rFonts w:ascii="Book Antiqua" w:hAnsi="Book Antiqua"/>
          <w:iCs/>
          <w:sz w:val="23"/>
          <w:szCs w:val="23"/>
          <w:lang w:val="en-GB"/>
        </w:rPr>
        <w:t xml:space="preserve">his/her </w:t>
      </w:r>
      <w:r w:rsidRPr="003E3613">
        <w:rPr>
          <w:rFonts w:ascii="Book Antiqua" w:hAnsi="Book Antiqua"/>
          <w:iCs/>
          <w:sz w:val="23"/>
          <w:szCs w:val="23"/>
          <w:lang w:val="en-GB"/>
        </w:rPr>
        <w:t xml:space="preserve">own family is also supported by special benefits, services and measures specified in the law. In cases where a child is removed from </w:t>
      </w:r>
      <w:r w:rsidR="007F3463" w:rsidRPr="003E3613">
        <w:rPr>
          <w:rFonts w:ascii="Book Antiqua" w:hAnsi="Book Antiqua"/>
          <w:iCs/>
          <w:sz w:val="23"/>
          <w:szCs w:val="23"/>
          <w:lang w:val="en-GB"/>
        </w:rPr>
        <w:t xml:space="preserve">his/her </w:t>
      </w:r>
      <w:r w:rsidRPr="003E3613">
        <w:rPr>
          <w:rFonts w:ascii="Book Antiqua" w:hAnsi="Book Antiqua"/>
          <w:iCs/>
          <w:sz w:val="23"/>
          <w:szCs w:val="23"/>
          <w:lang w:val="en-GB"/>
        </w:rPr>
        <w:t xml:space="preserve">family, </w:t>
      </w:r>
      <w:r w:rsidRPr="003E3613">
        <w:rPr>
          <w:rFonts w:ascii="Book Antiqua" w:hAnsi="Book Antiqua"/>
          <w:bCs/>
          <w:iCs/>
          <w:sz w:val="23"/>
          <w:szCs w:val="23"/>
          <w:lang w:val="en-GB"/>
        </w:rPr>
        <w:t>he/she is already at risk of being vulnerable</w:t>
      </w:r>
      <w:r w:rsidRPr="003E3613">
        <w:rPr>
          <w:rFonts w:ascii="Book Antiqua" w:hAnsi="Book Antiqua"/>
          <w:iCs/>
          <w:sz w:val="23"/>
          <w:szCs w:val="23"/>
          <w:lang w:val="en-GB"/>
        </w:rPr>
        <w:t xml:space="preserve"> and not primarily based on the income situation and the poverty of </w:t>
      </w:r>
      <w:r w:rsidR="008B1C18" w:rsidRPr="003E3613">
        <w:rPr>
          <w:rFonts w:ascii="Book Antiqua" w:hAnsi="Book Antiqua"/>
          <w:iCs/>
          <w:sz w:val="23"/>
          <w:szCs w:val="23"/>
          <w:lang w:val="en-GB"/>
        </w:rPr>
        <w:t>the</w:t>
      </w:r>
      <w:r w:rsidRPr="003E3613">
        <w:rPr>
          <w:rFonts w:ascii="Book Antiqua" w:hAnsi="Book Antiqua"/>
          <w:iCs/>
          <w:sz w:val="23"/>
          <w:szCs w:val="23"/>
          <w:lang w:val="en-GB"/>
        </w:rPr>
        <w:t xml:space="preserve"> parents, but </w:t>
      </w:r>
      <w:r w:rsidR="008B1C18" w:rsidRPr="003E3613">
        <w:rPr>
          <w:rFonts w:ascii="Book Antiqua" w:hAnsi="Book Antiqua"/>
          <w:iCs/>
          <w:sz w:val="23"/>
          <w:szCs w:val="23"/>
          <w:lang w:val="en-GB"/>
        </w:rPr>
        <w:t xml:space="preserve">because of </w:t>
      </w:r>
      <w:r w:rsidRPr="003E3613">
        <w:rPr>
          <w:rFonts w:ascii="Book Antiqua" w:hAnsi="Book Antiqua"/>
          <w:iCs/>
          <w:sz w:val="23"/>
          <w:szCs w:val="23"/>
          <w:lang w:val="en-GB"/>
        </w:rPr>
        <w:t xml:space="preserve">abuse or </w:t>
      </w:r>
      <w:r w:rsidR="006E499B" w:rsidRPr="003E3613">
        <w:rPr>
          <w:rFonts w:ascii="Book Antiqua" w:hAnsi="Book Antiqua"/>
          <w:iCs/>
          <w:sz w:val="23"/>
          <w:szCs w:val="23"/>
          <w:lang w:val="en-GB"/>
        </w:rPr>
        <w:t>negligence</w:t>
      </w:r>
      <w:r w:rsidRPr="003E3613">
        <w:rPr>
          <w:rFonts w:ascii="Book Antiqua" w:hAnsi="Book Antiqua"/>
          <w:iCs/>
          <w:sz w:val="23"/>
          <w:szCs w:val="23"/>
          <w:lang w:val="en-GB"/>
        </w:rPr>
        <w:t xml:space="preserve">. When removing children from a family, financial endures </w:t>
      </w:r>
      <w:r w:rsidR="008B1C18" w:rsidRPr="003E3613">
        <w:rPr>
          <w:rFonts w:ascii="Book Antiqua" w:hAnsi="Book Antiqua"/>
          <w:iCs/>
          <w:sz w:val="23"/>
          <w:szCs w:val="23"/>
          <w:lang w:val="en-GB"/>
        </w:rPr>
        <w:t xml:space="preserve">together </w:t>
      </w:r>
      <w:r w:rsidRPr="003E3613">
        <w:rPr>
          <w:rFonts w:ascii="Book Antiqua" w:hAnsi="Book Antiqua"/>
          <w:iCs/>
          <w:sz w:val="23"/>
          <w:szCs w:val="23"/>
          <w:lang w:val="en-GB"/>
        </w:rPr>
        <w:t xml:space="preserve">with other problems – </w:t>
      </w:r>
      <w:r w:rsidR="008B1C18" w:rsidRPr="003E3613">
        <w:rPr>
          <w:rFonts w:ascii="Book Antiqua" w:hAnsi="Book Antiqua"/>
          <w:i/>
          <w:iCs/>
          <w:sz w:val="23"/>
          <w:szCs w:val="23"/>
          <w:lang w:val="en-GB"/>
        </w:rPr>
        <w:t>e.g.</w:t>
      </w:r>
      <w:r w:rsidR="008B1C18" w:rsidRPr="003E3613">
        <w:rPr>
          <w:rFonts w:ascii="Book Antiqua" w:hAnsi="Book Antiqua"/>
          <w:iCs/>
          <w:sz w:val="23"/>
          <w:szCs w:val="23"/>
          <w:lang w:val="en-GB"/>
        </w:rPr>
        <w:t xml:space="preserve"> </w:t>
      </w:r>
      <w:r w:rsidR="009D063D" w:rsidRPr="003E3613">
        <w:rPr>
          <w:rFonts w:ascii="Book Antiqua" w:hAnsi="Book Antiqua"/>
          <w:iCs/>
          <w:sz w:val="23"/>
          <w:szCs w:val="23"/>
          <w:lang w:val="en-GB"/>
        </w:rPr>
        <w:t xml:space="preserve">the </w:t>
      </w:r>
      <w:r w:rsidRPr="003E3613">
        <w:rPr>
          <w:rFonts w:ascii="Book Antiqua" w:hAnsi="Book Antiqua"/>
          <w:iCs/>
          <w:sz w:val="23"/>
          <w:szCs w:val="23"/>
          <w:lang w:val="en-GB"/>
        </w:rPr>
        <w:t>parents’ lifestyle</w:t>
      </w:r>
      <w:r w:rsidR="009D063D" w:rsidRPr="003E3613">
        <w:rPr>
          <w:rFonts w:ascii="Book Antiqua" w:hAnsi="Book Antiqua"/>
          <w:iCs/>
          <w:sz w:val="23"/>
          <w:szCs w:val="23"/>
          <w:lang w:val="en-GB"/>
        </w:rPr>
        <w:t xml:space="preserve"> causing the </w:t>
      </w:r>
      <w:r w:rsidR="006E499B" w:rsidRPr="003E3613">
        <w:rPr>
          <w:rFonts w:ascii="Book Antiqua" w:hAnsi="Book Antiqua"/>
          <w:iCs/>
          <w:sz w:val="23"/>
          <w:szCs w:val="23"/>
          <w:lang w:val="en-GB"/>
        </w:rPr>
        <w:t>neglect</w:t>
      </w:r>
      <w:r w:rsidR="009D063D" w:rsidRPr="003E3613">
        <w:rPr>
          <w:rFonts w:ascii="Book Antiqua" w:hAnsi="Book Antiqua"/>
          <w:iCs/>
          <w:sz w:val="23"/>
          <w:szCs w:val="23"/>
          <w:lang w:val="en-GB"/>
        </w:rPr>
        <w:t xml:space="preserve"> of </w:t>
      </w:r>
      <w:r w:rsidRPr="003E3613">
        <w:rPr>
          <w:rFonts w:ascii="Book Antiqua" w:hAnsi="Book Antiqua"/>
          <w:iCs/>
          <w:sz w:val="23"/>
          <w:szCs w:val="23"/>
          <w:lang w:val="en-GB"/>
        </w:rPr>
        <w:t xml:space="preserve">their children, keeping minimal </w:t>
      </w:r>
      <w:r w:rsidR="000B63C2" w:rsidRPr="003E3613">
        <w:rPr>
          <w:rFonts w:ascii="Book Antiqua" w:hAnsi="Book Antiqua"/>
          <w:iCs/>
          <w:sz w:val="23"/>
          <w:szCs w:val="23"/>
          <w:lang w:val="en-GB"/>
        </w:rPr>
        <w:t>conditions</w:t>
      </w:r>
      <w:r w:rsidRPr="003E3613">
        <w:rPr>
          <w:rFonts w:ascii="Book Antiqua" w:hAnsi="Book Antiqua"/>
          <w:iCs/>
          <w:sz w:val="23"/>
          <w:szCs w:val="23"/>
          <w:lang w:val="en-GB"/>
        </w:rPr>
        <w:t xml:space="preserve"> </w:t>
      </w:r>
      <w:r w:rsidR="009D063D" w:rsidRPr="003E3613">
        <w:rPr>
          <w:rFonts w:ascii="Book Antiqua" w:hAnsi="Book Antiqua"/>
          <w:iCs/>
          <w:sz w:val="23"/>
          <w:szCs w:val="23"/>
          <w:lang w:val="en-GB"/>
        </w:rPr>
        <w:t>causing</w:t>
      </w:r>
      <w:r w:rsidRPr="003E3613">
        <w:rPr>
          <w:rFonts w:ascii="Book Antiqua" w:hAnsi="Book Antiqua"/>
          <w:iCs/>
          <w:sz w:val="23"/>
          <w:szCs w:val="23"/>
          <w:lang w:val="en-GB"/>
        </w:rPr>
        <w:t xml:space="preserve"> ineffective family care</w:t>
      </w:r>
      <w:r w:rsidR="0066436F" w:rsidRPr="003E3613">
        <w:rPr>
          <w:rFonts w:ascii="Book Antiqua" w:hAnsi="Book Antiqua"/>
          <w:iCs/>
          <w:sz w:val="23"/>
          <w:szCs w:val="23"/>
          <w:lang w:val="en-GB"/>
        </w:rPr>
        <w:t xml:space="preserve"> (</w:t>
      </w:r>
      <w:r w:rsidR="0066436F" w:rsidRPr="003E3613">
        <w:rPr>
          <w:rFonts w:ascii="Book Antiqua" w:hAnsi="Book Antiqua"/>
          <w:i/>
          <w:iCs/>
          <w:sz w:val="23"/>
          <w:szCs w:val="23"/>
          <w:lang w:val="en-GB"/>
        </w:rPr>
        <w:t>e.g.</w:t>
      </w:r>
      <w:r w:rsidR="0066436F" w:rsidRPr="003E3613">
        <w:rPr>
          <w:rFonts w:ascii="Book Antiqua" w:hAnsi="Book Antiqua"/>
          <w:iCs/>
          <w:sz w:val="23"/>
          <w:szCs w:val="23"/>
          <w:lang w:val="en-GB"/>
        </w:rPr>
        <w:t xml:space="preserve"> if hygiene rules are not respected to the health of their children being compromised or if they do not feed them properly, etc.)</w:t>
      </w:r>
      <w:r w:rsidRPr="003E3613">
        <w:rPr>
          <w:rFonts w:ascii="Book Antiqua" w:hAnsi="Book Antiqua"/>
          <w:iCs/>
          <w:sz w:val="23"/>
          <w:szCs w:val="23"/>
          <w:lang w:val="en-GB"/>
        </w:rPr>
        <w:t xml:space="preserve"> </w:t>
      </w:r>
      <w:r w:rsidR="00FF063F" w:rsidRPr="003E3613">
        <w:rPr>
          <w:rFonts w:ascii="Book Antiqua" w:hAnsi="Book Antiqua"/>
          <w:iCs/>
          <w:sz w:val="23"/>
          <w:szCs w:val="23"/>
          <w:lang w:val="en-GB"/>
        </w:rPr>
        <w:t xml:space="preserve">– </w:t>
      </w:r>
      <w:r w:rsidRPr="003E3613">
        <w:rPr>
          <w:rFonts w:ascii="Book Antiqua" w:hAnsi="Book Antiqua"/>
          <w:iCs/>
          <w:sz w:val="23"/>
          <w:szCs w:val="23"/>
          <w:lang w:val="en-GB"/>
        </w:rPr>
        <w:t>may indeed lead to the</w:t>
      </w:r>
      <w:r w:rsidR="009D063D" w:rsidRPr="003E3613">
        <w:rPr>
          <w:rFonts w:ascii="Book Antiqua" w:hAnsi="Book Antiqua"/>
          <w:iCs/>
          <w:sz w:val="23"/>
          <w:szCs w:val="23"/>
          <w:lang w:val="en-GB"/>
        </w:rPr>
        <w:t xml:space="preserve"> decision that the</w:t>
      </w:r>
      <w:r w:rsidRPr="003E3613">
        <w:rPr>
          <w:rFonts w:ascii="Book Antiqua" w:hAnsi="Book Antiqua"/>
          <w:iCs/>
          <w:sz w:val="23"/>
          <w:szCs w:val="23"/>
          <w:lang w:val="en-GB"/>
        </w:rPr>
        <w:t xml:space="preserve"> child</w:t>
      </w:r>
      <w:r w:rsidR="009D063D" w:rsidRPr="003E3613">
        <w:rPr>
          <w:rFonts w:ascii="Book Antiqua" w:hAnsi="Book Antiqua"/>
          <w:iCs/>
          <w:sz w:val="23"/>
          <w:szCs w:val="23"/>
          <w:lang w:val="en-GB"/>
        </w:rPr>
        <w:t xml:space="preserve"> </w:t>
      </w:r>
      <w:r w:rsidR="00AC6807" w:rsidRPr="003E3613">
        <w:rPr>
          <w:rFonts w:ascii="Book Antiqua" w:hAnsi="Book Antiqua"/>
          <w:iCs/>
          <w:sz w:val="23"/>
          <w:szCs w:val="23"/>
          <w:lang w:val="en-GB"/>
        </w:rPr>
        <w:t xml:space="preserve">is </w:t>
      </w:r>
      <w:r w:rsidR="009D063D" w:rsidRPr="003E3613">
        <w:rPr>
          <w:rFonts w:ascii="Book Antiqua" w:hAnsi="Book Antiqua"/>
          <w:iCs/>
          <w:sz w:val="23"/>
          <w:szCs w:val="23"/>
          <w:lang w:val="en-GB"/>
        </w:rPr>
        <w:t>finally</w:t>
      </w:r>
      <w:r w:rsidRPr="003E3613">
        <w:rPr>
          <w:rFonts w:ascii="Book Antiqua" w:hAnsi="Book Antiqua"/>
          <w:iCs/>
          <w:sz w:val="23"/>
          <w:szCs w:val="23"/>
          <w:lang w:val="en-GB"/>
        </w:rPr>
        <w:t xml:space="preserve"> removed. </w:t>
      </w:r>
    </w:p>
    <w:p w14:paraId="7E4E5759" w14:textId="77777777" w:rsidR="00BF3B9E" w:rsidRPr="003E3613" w:rsidRDefault="00BF3B9E" w:rsidP="00204696">
      <w:pPr>
        <w:spacing w:after="0"/>
        <w:jc w:val="both"/>
        <w:rPr>
          <w:rFonts w:ascii="Book Antiqua" w:hAnsi="Book Antiqua"/>
          <w:sz w:val="23"/>
          <w:szCs w:val="23"/>
          <w:lang w:val="en-GB"/>
        </w:rPr>
      </w:pPr>
    </w:p>
    <w:p w14:paraId="1E79EE04" w14:textId="77777777" w:rsidR="00D27915" w:rsidRPr="003E3613" w:rsidRDefault="00D27915" w:rsidP="00204696">
      <w:pPr>
        <w:spacing w:after="0"/>
        <w:jc w:val="both"/>
        <w:rPr>
          <w:rFonts w:ascii="Book Antiqua" w:eastAsia="Times New Roman" w:hAnsi="Book Antiqua" w:cs="Calibri"/>
          <w:iCs/>
          <w:color w:val="000000"/>
          <w:sz w:val="23"/>
          <w:szCs w:val="23"/>
          <w:lang w:val="en-GB" w:eastAsia="en-GB"/>
        </w:rPr>
      </w:pPr>
      <w:r w:rsidRPr="003E3613">
        <w:rPr>
          <w:rFonts w:ascii="Book Antiqua" w:hAnsi="Book Antiqua"/>
          <w:iCs/>
          <w:sz w:val="23"/>
          <w:szCs w:val="23"/>
          <w:lang w:val="en-GB"/>
        </w:rPr>
        <w:t xml:space="preserve">Therefore, in each case, the uniqueness of these cases </w:t>
      </w:r>
      <w:r w:rsidR="006045BE" w:rsidRPr="003E3613">
        <w:rPr>
          <w:rFonts w:ascii="Book Antiqua" w:hAnsi="Book Antiqua"/>
          <w:iCs/>
          <w:sz w:val="23"/>
          <w:szCs w:val="23"/>
          <w:lang w:val="en-GB"/>
        </w:rPr>
        <w:t xml:space="preserve">has to be taken </w:t>
      </w:r>
      <w:r w:rsidRPr="003E3613">
        <w:rPr>
          <w:rFonts w:ascii="Book Antiqua" w:hAnsi="Book Antiqua"/>
          <w:iCs/>
          <w:sz w:val="23"/>
          <w:szCs w:val="23"/>
          <w:lang w:val="en-GB"/>
        </w:rPr>
        <w:t>into consideration.</w:t>
      </w:r>
      <w:r w:rsidR="00554D9C" w:rsidRPr="003E3613">
        <w:rPr>
          <w:rFonts w:ascii="Book Antiqua" w:hAnsi="Book Antiqua"/>
          <w:iCs/>
          <w:sz w:val="23"/>
          <w:szCs w:val="23"/>
          <w:lang w:val="en-GB"/>
        </w:rPr>
        <w:t xml:space="preserve"> </w:t>
      </w:r>
      <w:r w:rsidRPr="003E3613">
        <w:rPr>
          <w:rFonts w:ascii="Book Antiqua" w:hAnsi="Book Antiqua"/>
          <w:iCs/>
          <w:sz w:val="23"/>
          <w:szCs w:val="23"/>
          <w:lang w:val="en-GB"/>
        </w:rPr>
        <w:t>It is merely an examination of whether there are any material reasons for the grounds for removal, but it is not enough to judge individual cases or characterize</w:t>
      </w:r>
      <w:r w:rsidR="006F0EFD" w:rsidRPr="003E3613">
        <w:rPr>
          <w:rFonts w:ascii="Book Antiqua" w:hAnsi="Book Antiqua"/>
          <w:iCs/>
          <w:sz w:val="23"/>
          <w:szCs w:val="23"/>
          <w:lang w:val="en-GB"/>
        </w:rPr>
        <w:t xml:space="preserve"> tendencies.</w:t>
      </w:r>
      <w:r w:rsidRPr="003E3613">
        <w:rPr>
          <w:rFonts w:ascii="Book Antiqua" w:hAnsi="Book Antiqua"/>
          <w:iCs/>
          <w:sz w:val="23"/>
          <w:szCs w:val="23"/>
          <w:lang w:val="en-GB"/>
        </w:rPr>
        <w:t xml:space="preserve"> </w:t>
      </w:r>
    </w:p>
    <w:p w14:paraId="46ACCC85" w14:textId="77777777" w:rsidR="00AF665C" w:rsidRPr="003E3613" w:rsidRDefault="00AF665C" w:rsidP="00204696">
      <w:pPr>
        <w:spacing w:after="0"/>
        <w:jc w:val="both"/>
        <w:rPr>
          <w:rFonts w:ascii="Book Antiqua" w:hAnsi="Book Antiqua"/>
          <w:sz w:val="23"/>
          <w:szCs w:val="23"/>
          <w:lang w:val="en-GB"/>
        </w:rPr>
      </w:pPr>
    </w:p>
    <w:p w14:paraId="6E2EE594" w14:textId="77777777" w:rsidR="00090557" w:rsidRPr="003E3613" w:rsidRDefault="00090557" w:rsidP="00204696">
      <w:pPr>
        <w:pStyle w:val="Heading2"/>
        <w:keepNext w:val="0"/>
        <w:keepLines w:val="0"/>
        <w:spacing w:before="0"/>
        <w:rPr>
          <w:rFonts w:ascii="Book Antiqua" w:hAnsi="Book Antiqua"/>
          <w:color w:val="auto"/>
          <w:sz w:val="23"/>
          <w:szCs w:val="23"/>
          <w:lang w:val="en-GB"/>
        </w:rPr>
      </w:pPr>
      <w:bookmarkStart w:id="79" w:name="_Toc19120836"/>
      <w:r w:rsidRPr="003E3613">
        <w:rPr>
          <w:rFonts w:ascii="Book Antiqua" w:hAnsi="Book Antiqua"/>
          <w:color w:val="auto"/>
          <w:sz w:val="23"/>
          <w:szCs w:val="23"/>
          <w:lang w:val="en-GB"/>
        </w:rPr>
        <w:t>Adequacy and coverage of social assistance and unemployment benefits</w:t>
      </w:r>
      <w:bookmarkEnd w:id="79"/>
    </w:p>
    <w:p w14:paraId="182A41C0" w14:textId="77777777" w:rsidR="00090557" w:rsidRPr="003E3613" w:rsidRDefault="00090557" w:rsidP="00204696">
      <w:pPr>
        <w:spacing w:after="0"/>
        <w:jc w:val="both"/>
        <w:rPr>
          <w:rFonts w:ascii="Book Antiqua" w:hAnsi="Book Antiqua"/>
          <w:i/>
          <w:sz w:val="23"/>
          <w:szCs w:val="23"/>
          <w:lang w:val="en-GB"/>
        </w:rPr>
      </w:pPr>
    </w:p>
    <w:p w14:paraId="28291448" w14:textId="77777777" w:rsidR="000C03EC" w:rsidRPr="003E3613" w:rsidRDefault="000C03EC" w:rsidP="00204696">
      <w:pPr>
        <w:spacing w:after="0"/>
        <w:jc w:val="both"/>
        <w:rPr>
          <w:rFonts w:ascii="Book Antiqua" w:hAnsi="Book Antiqua"/>
          <w:i/>
          <w:sz w:val="23"/>
          <w:szCs w:val="23"/>
          <w:lang w:val="en-GB"/>
        </w:rPr>
      </w:pPr>
      <w:r w:rsidRPr="003E3613">
        <w:rPr>
          <w:rFonts w:ascii="Book Antiqua" w:hAnsi="Book Antiqua"/>
          <w:i/>
          <w:sz w:val="23"/>
          <w:szCs w:val="23"/>
          <w:lang w:val="en-GB"/>
        </w:rPr>
        <w:t>(</w:t>
      </w:r>
      <w:r w:rsidR="00640E71" w:rsidRPr="003E3613">
        <w:rPr>
          <w:rFonts w:ascii="Book Antiqua" w:hAnsi="Book Antiqua"/>
          <w:i/>
          <w:sz w:val="23"/>
          <w:szCs w:val="23"/>
          <w:lang w:val="en-GB"/>
        </w:rPr>
        <w:t>7</w:t>
      </w:r>
      <w:r w:rsidR="006045BE" w:rsidRPr="003E3613">
        <w:rPr>
          <w:rFonts w:ascii="Book Antiqua" w:hAnsi="Book Antiqua"/>
          <w:i/>
          <w:sz w:val="23"/>
          <w:szCs w:val="23"/>
          <w:lang w:val="en-GB"/>
        </w:rPr>
        <w:t>7</w:t>
      </w:r>
      <w:r w:rsidRPr="003E3613">
        <w:rPr>
          <w:rFonts w:ascii="Book Antiqua" w:hAnsi="Book Antiqua"/>
          <w:i/>
          <w:sz w:val="23"/>
          <w:szCs w:val="23"/>
          <w:lang w:val="en-GB"/>
        </w:rPr>
        <w:t>) In its Recommendation of</w:t>
      </w:r>
      <w:r w:rsidR="00640E71" w:rsidRPr="003E3613">
        <w:rPr>
          <w:rFonts w:ascii="Book Antiqua" w:hAnsi="Book Antiqua"/>
          <w:i/>
          <w:sz w:val="23"/>
          <w:szCs w:val="23"/>
          <w:lang w:val="en-GB"/>
        </w:rPr>
        <w:t xml:space="preserve"> 23 May 2018 for a Council Recommendation </w:t>
      </w:r>
      <w:r w:rsidRPr="003E3613">
        <w:rPr>
          <w:rFonts w:ascii="Book Antiqua" w:hAnsi="Book Antiqua"/>
          <w:i/>
          <w:sz w:val="23"/>
          <w:szCs w:val="23"/>
          <w:lang w:val="en-GB"/>
        </w:rPr>
        <w:t xml:space="preserve">on the </w:t>
      </w:r>
      <w:r w:rsidR="00640E71" w:rsidRPr="003E3613">
        <w:rPr>
          <w:rFonts w:ascii="Book Antiqua" w:hAnsi="Book Antiqua"/>
          <w:i/>
          <w:sz w:val="23"/>
          <w:szCs w:val="23"/>
          <w:lang w:val="en-GB"/>
        </w:rPr>
        <w:t xml:space="preserve">2018 </w:t>
      </w:r>
      <w:r w:rsidRPr="003E3613">
        <w:rPr>
          <w:rFonts w:ascii="Book Antiqua" w:hAnsi="Book Antiqua"/>
          <w:i/>
          <w:sz w:val="23"/>
          <w:szCs w:val="23"/>
          <w:lang w:val="en-GB"/>
        </w:rPr>
        <w:t xml:space="preserve">National Reform Programme of Hungary and delivering a Council opinion on the </w:t>
      </w:r>
      <w:r w:rsidR="00640E71" w:rsidRPr="003E3613">
        <w:rPr>
          <w:rFonts w:ascii="Book Antiqua" w:hAnsi="Book Antiqua"/>
          <w:i/>
          <w:sz w:val="23"/>
          <w:szCs w:val="23"/>
          <w:lang w:val="en-GB"/>
        </w:rPr>
        <w:t xml:space="preserve">2018 </w:t>
      </w:r>
      <w:r w:rsidRPr="003E3613">
        <w:rPr>
          <w:rFonts w:ascii="Book Antiqua" w:hAnsi="Book Antiqua"/>
          <w:i/>
          <w:sz w:val="23"/>
          <w:szCs w:val="23"/>
          <w:lang w:val="en-GB"/>
        </w:rPr>
        <w:t xml:space="preserve">Convergence Programme of Hungary, the </w:t>
      </w:r>
      <w:r w:rsidR="00640E71" w:rsidRPr="003E3613">
        <w:rPr>
          <w:rFonts w:ascii="Book Antiqua" w:hAnsi="Book Antiqua"/>
          <w:i/>
          <w:sz w:val="23"/>
          <w:szCs w:val="23"/>
          <w:lang w:val="en-GB"/>
        </w:rPr>
        <w:t xml:space="preserve">Commission </w:t>
      </w:r>
      <w:r w:rsidRPr="003E3613">
        <w:rPr>
          <w:rFonts w:ascii="Book Antiqua" w:hAnsi="Book Antiqua"/>
          <w:i/>
          <w:sz w:val="23"/>
          <w:szCs w:val="23"/>
          <w:lang w:val="en-GB"/>
        </w:rPr>
        <w:t xml:space="preserve">indicated that the </w:t>
      </w:r>
      <w:r w:rsidR="00640E71" w:rsidRPr="003E3613">
        <w:rPr>
          <w:rFonts w:ascii="Book Antiqua" w:hAnsi="Book Antiqua"/>
          <w:i/>
          <w:sz w:val="23"/>
          <w:szCs w:val="23"/>
          <w:lang w:val="en-GB"/>
        </w:rPr>
        <w:t xml:space="preserve">proportion of people at risk of poverty and social </w:t>
      </w:r>
      <w:r w:rsidR="00640E71" w:rsidRPr="003E3613">
        <w:rPr>
          <w:rFonts w:ascii="Book Antiqua" w:hAnsi="Book Antiqua"/>
          <w:i/>
          <w:sz w:val="23"/>
          <w:szCs w:val="23"/>
          <w:lang w:val="en-GB"/>
        </w:rPr>
        <w:lastRenderedPageBreak/>
        <w:t xml:space="preserve">exclusion has decreased to 26,3 % in 2016 but remains above the Union average; children in general are more exposed to poverty than other age groups. The level of minimum income benefits is below 50 % of the poverty threshold for a single household, making it among the lowest in the Union. The adequacy of unemployment benefits is very low: the maximum duration of 3 months ranks as the shortest in the Union and represents only around a quarter of the average time required by job seekers to find employment. In addition, the levels of payment are among the lowest in the Union. The Commission recommended that the </w:t>
      </w:r>
      <w:r w:rsidRPr="003E3613">
        <w:rPr>
          <w:rFonts w:ascii="Book Antiqua" w:hAnsi="Book Antiqua"/>
          <w:i/>
          <w:sz w:val="23"/>
          <w:szCs w:val="23"/>
          <w:lang w:val="en-GB"/>
        </w:rPr>
        <w:t xml:space="preserve">adequacy and coverage of social assistance and unemployment benefits </w:t>
      </w:r>
      <w:r w:rsidR="00640E71" w:rsidRPr="003E3613">
        <w:rPr>
          <w:rFonts w:ascii="Book Antiqua" w:hAnsi="Book Antiqua"/>
          <w:i/>
          <w:sz w:val="23"/>
          <w:szCs w:val="23"/>
          <w:lang w:val="en-GB"/>
        </w:rPr>
        <w:t>be improved</w:t>
      </w:r>
      <w:r w:rsidRPr="003E3613">
        <w:rPr>
          <w:rFonts w:ascii="Book Antiqua" w:hAnsi="Book Antiqua"/>
          <w:i/>
          <w:sz w:val="23"/>
          <w:szCs w:val="23"/>
          <w:lang w:val="en-GB"/>
        </w:rPr>
        <w:t>.</w:t>
      </w:r>
    </w:p>
    <w:p w14:paraId="4AFBC41B" w14:textId="77777777" w:rsidR="00BB4C0B" w:rsidRPr="003E3613" w:rsidRDefault="00BB4C0B" w:rsidP="00204696">
      <w:pPr>
        <w:spacing w:after="0"/>
        <w:jc w:val="both"/>
        <w:rPr>
          <w:rFonts w:ascii="Book Antiqua" w:hAnsi="Book Antiqua"/>
          <w:sz w:val="23"/>
          <w:szCs w:val="23"/>
          <w:lang w:val="en-GB"/>
        </w:rPr>
      </w:pPr>
    </w:p>
    <w:p w14:paraId="379F1142" w14:textId="77777777" w:rsidR="004E162D" w:rsidRPr="003E3613" w:rsidRDefault="004E162D" w:rsidP="00204696">
      <w:pPr>
        <w:spacing w:after="240"/>
        <w:jc w:val="both"/>
        <w:rPr>
          <w:rFonts w:ascii="Book Antiqua" w:hAnsi="Book Antiqua"/>
          <w:sz w:val="23"/>
          <w:szCs w:val="23"/>
          <w:lang w:val="en-GB"/>
        </w:rPr>
      </w:pPr>
      <w:r w:rsidRPr="003E3613">
        <w:rPr>
          <w:rFonts w:ascii="Book Antiqua" w:hAnsi="Book Antiqua"/>
          <w:sz w:val="23"/>
          <w:szCs w:val="23"/>
          <w:lang w:val="en-GB"/>
        </w:rPr>
        <w:t xml:space="preserve">A key general priority </w:t>
      </w:r>
      <w:r w:rsidR="006045BE" w:rsidRPr="003E3613">
        <w:rPr>
          <w:rFonts w:ascii="Book Antiqua" w:hAnsi="Book Antiqua"/>
          <w:sz w:val="23"/>
          <w:szCs w:val="23"/>
          <w:lang w:val="en-GB"/>
        </w:rPr>
        <w:t xml:space="preserve">of </w:t>
      </w:r>
      <w:r w:rsidRPr="003E3613">
        <w:rPr>
          <w:rFonts w:ascii="Book Antiqua" w:hAnsi="Book Antiqua"/>
          <w:sz w:val="23"/>
          <w:szCs w:val="23"/>
          <w:lang w:val="en-GB"/>
        </w:rPr>
        <w:t>the Hungarian Government is increasing economic growth and employment, in addition to strengthening competitiveness. We believe that sustainable economic growth contributes to the a</w:t>
      </w:r>
      <w:r w:rsidR="00511D37" w:rsidRPr="003E3613">
        <w:rPr>
          <w:rFonts w:ascii="Book Antiqua" w:hAnsi="Book Antiqua"/>
          <w:sz w:val="23"/>
          <w:szCs w:val="23"/>
          <w:lang w:val="en-GB"/>
        </w:rPr>
        <w:t>chievement of social well-being</w:t>
      </w:r>
      <w:r w:rsidRPr="003E3613">
        <w:rPr>
          <w:rFonts w:ascii="Book Antiqua" w:hAnsi="Book Antiqua"/>
          <w:sz w:val="23"/>
          <w:szCs w:val="23"/>
          <w:lang w:val="en-GB"/>
        </w:rPr>
        <w:t xml:space="preserve">. The Hungarian Government has set the establishment of a work-based society as an objective; </w:t>
      </w:r>
      <w:r w:rsidR="00511D37" w:rsidRPr="003E3613">
        <w:rPr>
          <w:rFonts w:ascii="Book Antiqua" w:hAnsi="Book Antiqua"/>
          <w:sz w:val="23"/>
          <w:szCs w:val="23"/>
          <w:lang w:val="en-GB"/>
        </w:rPr>
        <w:t>meaning</w:t>
      </w:r>
      <w:r w:rsidRPr="003E3613">
        <w:rPr>
          <w:rFonts w:ascii="Book Antiqua" w:hAnsi="Book Antiqua"/>
          <w:sz w:val="23"/>
          <w:szCs w:val="23"/>
          <w:lang w:val="en-GB"/>
        </w:rPr>
        <w:t xml:space="preserve"> that the primary source of living of the working age population should be earned from work instead of social assistance.</w:t>
      </w:r>
      <w:r w:rsidR="00346EB3" w:rsidRPr="003E3613">
        <w:rPr>
          <w:rFonts w:ascii="Book Antiqua" w:hAnsi="Book Antiqua"/>
          <w:sz w:val="23"/>
          <w:szCs w:val="23"/>
          <w:lang w:val="en-GB"/>
        </w:rPr>
        <w:t xml:space="preserve"> </w:t>
      </w:r>
      <w:r w:rsidR="00940CD0" w:rsidRPr="003E3613">
        <w:rPr>
          <w:rFonts w:ascii="Book Antiqua" w:hAnsi="Book Antiqua"/>
          <w:sz w:val="23"/>
          <w:szCs w:val="23"/>
          <w:lang w:val="en-GB"/>
        </w:rPr>
        <w:t xml:space="preserve">One of the decisive aspects of employment policy measures is the enforcement of the "work instead of </w:t>
      </w:r>
      <w:r w:rsidR="006045BE" w:rsidRPr="003E3613">
        <w:rPr>
          <w:rFonts w:ascii="Book Antiqua" w:hAnsi="Book Antiqua"/>
          <w:sz w:val="23"/>
          <w:szCs w:val="23"/>
          <w:lang w:val="en-GB"/>
        </w:rPr>
        <w:t>social assistance</w:t>
      </w:r>
      <w:r w:rsidR="00940CD0" w:rsidRPr="003E3613">
        <w:rPr>
          <w:rFonts w:ascii="Book Antiqua" w:hAnsi="Book Antiqua"/>
          <w:sz w:val="23"/>
          <w:szCs w:val="23"/>
          <w:lang w:val="en-GB"/>
        </w:rPr>
        <w:t xml:space="preserve">" principle, which has resulted in a fundamental transformation of the social </w:t>
      </w:r>
      <w:r w:rsidR="006045BE" w:rsidRPr="003E3613">
        <w:rPr>
          <w:rFonts w:ascii="Book Antiqua" w:hAnsi="Book Antiqua"/>
          <w:sz w:val="23"/>
          <w:szCs w:val="23"/>
          <w:lang w:val="en-GB"/>
        </w:rPr>
        <w:t>sec</w:t>
      </w:r>
      <w:r w:rsidR="00AC6807" w:rsidRPr="003E3613">
        <w:rPr>
          <w:rFonts w:ascii="Book Antiqua" w:hAnsi="Book Antiqua"/>
          <w:sz w:val="23"/>
          <w:szCs w:val="23"/>
          <w:lang w:val="en-GB"/>
        </w:rPr>
        <w:t>u</w:t>
      </w:r>
      <w:r w:rsidR="006045BE" w:rsidRPr="003E3613">
        <w:rPr>
          <w:rFonts w:ascii="Book Antiqua" w:hAnsi="Book Antiqua"/>
          <w:sz w:val="23"/>
          <w:szCs w:val="23"/>
          <w:lang w:val="en-GB"/>
        </w:rPr>
        <w:t xml:space="preserve">rity </w:t>
      </w:r>
      <w:r w:rsidR="00940CD0" w:rsidRPr="003E3613">
        <w:rPr>
          <w:rFonts w:ascii="Book Antiqua" w:hAnsi="Book Antiqua"/>
          <w:sz w:val="23"/>
          <w:szCs w:val="23"/>
          <w:lang w:val="en-GB"/>
        </w:rPr>
        <w:t>system of Hungary. The main feature of the changes is that the emphasis on passive care (and social assistance) has shifted to the support of employment. The proportion of passive expenditure has fallen from 0</w:t>
      </w:r>
      <w:r w:rsidR="00010AA7" w:rsidRPr="003E3613">
        <w:rPr>
          <w:rFonts w:ascii="Book Antiqua" w:hAnsi="Book Antiqua"/>
          <w:sz w:val="23"/>
          <w:szCs w:val="23"/>
          <w:lang w:val="en-GB"/>
        </w:rPr>
        <w:t>.</w:t>
      </w:r>
      <w:r w:rsidR="00940CD0" w:rsidRPr="003E3613">
        <w:rPr>
          <w:rFonts w:ascii="Book Antiqua" w:hAnsi="Book Antiqua"/>
          <w:sz w:val="23"/>
          <w:szCs w:val="23"/>
          <w:lang w:val="en-GB"/>
        </w:rPr>
        <w:t>7% of the GDP to 0</w:t>
      </w:r>
      <w:r w:rsidR="00010AA7" w:rsidRPr="003E3613">
        <w:rPr>
          <w:rFonts w:ascii="Book Antiqua" w:hAnsi="Book Antiqua"/>
          <w:sz w:val="23"/>
          <w:szCs w:val="23"/>
          <w:lang w:val="en-GB"/>
        </w:rPr>
        <w:t>.</w:t>
      </w:r>
      <w:r w:rsidR="00940CD0" w:rsidRPr="003E3613">
        <w:rPr>
          <w:rFonts w:ascii="Book Antiqua" w:hAnsi="Book Antiqua"/>
          <w:sz w:val="23"/>
          <w:szCs w:val="23"/>
          <w:lang w:val="en-GB"/>
        </w:rPr>
        <w:t xml:space="preserve">2%, while the </w:t>
      </w:r>
      <w:r w:rsidR="00137144" w:rsidRPr="003E3613">
        <w:rPr>
          <w:rFonts w:ascii="Book Antiqua" w:hAnsi="Book Antiqua"/>
          <w:sz w:val="23"/>
          <w:szCs w:val="23"/>
          <w:lang w:val="en-GB"/>
        </w:rPr>
        <w:t xml:space="preserve">benefit supporting </w:t>
      </w:r>
      <w:r w:rsidR="00940CD0" w:rsidRPr="003E3613">
        <w:rPr>
          <w:rFonts w:ascii="Book Antiqua" w:hAnsi="Book Antiqua"/>
          <w:sz w:val="23"/>
          <w:szCs w:val="23"/>
          <w:lang w:val="en-GB"/>
        </w:rPr>
        <w:t>active employment has increased from 0</w:t>
      </w:r>
      <w:r w:rsidR="00010AA7" w:rsidRPr="003E3613">
        <w:rPr>
          <w:rFonts w:ascii="Book Antiqua" w:hAnsi="Book Antiqua"/>
          <w:sz w:val="23"/>
          <w:szCs w:val="23"/>
          <w:lang w:val="en-GB"/>
        </w:rPr>
        <w:t>.</w:t>
      </w:r>
      <w:r w:rsidR="00940CD0" w:rsidRPr="003E3613">
        <w:rPr>
          <w:rFonts w:ascii="Book Antiqua" w:hAnsi="Book Antiqua"/>
          <w:sz w:val="23"/>
          <w:szCs w:val="23"/>
          <w:lang w:val="en-GB"/>
        </w:rPr>
        <w:t>3% to 0</w:t>
      </w:r>
      <w:r w:rsidR="00010AA7" w:rsidRPr="003E3613">
        <w:rPr>
          <w:rFonts w:ascii="Book Antiqua" w:hAnsi="Book Antiqua"/>
          <w:sz w:val="23"/>
          <w:szCs w:val="23"/>
          <w:lang w:val="en-GB"/>
        </w:rPr>
        <w:t>.</w:t>
      </w:r>
      <w:r w:rsidR="00940CD0" w:rsidRPr="003E3613">
        <w:rPr>
          <w:rFonts w:ascii="Book Antiqua" w:hAnsi="Book Antiqua"/>
          <w:sz w:val="23"/>
          <w:szCs w:val="23"/>
          <w:lang w:val="en-GB"/>
        </w:rPr>
        <w:t xml:space="preserve">8% of GDP, and this is one of the highest number in the EU. </w:t>
      </w:r>
    </w:p>
    <w:p w14:paraId="6C65D575" w14:textId="77777777" w:rsidR="00346EB3" w:rsidRPr="003E3613" w:rsidRDefault="00BB4C0B" w:rsidP="00204696">
      <w:pPr>
        <w:spacing w:after="240"/>
        <w:jc w:val="both"/>
        <w:rPr>
          <w:rFonts w:ascii="Book Antiqua" w:hAnsi="Book Antiqua"/>
          <w:sz w:val="23"/>
          <w:szCs w:val="23"/>
          <w:lang w:val="en-GB"/>
        </w:rPr>
      </w:pPr>
      <w:r w:rsidRPr="003E3613">
        <w:rPr>
          <w:rFonts w:ascii="Book Antiqua" w:hAnsi="Book Antiqua"/>
          <w:sz w:val="23"/>
          <w:szCs w:val="23"/>
          <w:lang w:val="en-GB"/>
        </w:rPr>
        <w:t xml:space="preserve">It is a positive development that </w:t>
      </w:r>
      <w:r w:rsidRPr="003E3613">
        <w:rPr>
          <w:rFonts w:ascii="Book Antiqua" w:hAnsi="Book Antiqua"/>
          <w:bCs/>
          <w:sz w:val="23"/>
          <w:szCs w:val="23"/>
          <w:lang w:val="en-GB"/>
        </w:rPr>
        <w:t xml:space="preserve">for the first time the </w:t>
      </w:r>
      <w:r w:rsidR="004E162D" w:rsidRPr="003E3613">
        <w:rPr>
          <w:rFonts w:ascii="Book Antiqua" w:hAnsi="Book Antiqua"/>
          <w:bCs/>
          <w:sz w:val="23"/>
          <w:szCs w:val="23"/>
          <w:lang w:val="en-GB"/>
        </w:rPr>
        <w:t xml:space="preserve">European </w:t>
      </w:r>
      <w:r w:rsidRPr="003E3613">
        <w:rPr>
          <w:rFonts w:ascii="Book Antiqua" w:hAnsi="Book Antiqua"/>
          <w:bCs/>
          <w:sz w:val="23"/>
          <w:szCs w:val="23"/>
          <w:lang w:val="en-GB"/>
        </w:rPr>
        <w:t xml:space="preserve">Commission </w:t>
      </w:r>
      <w:r w:rsidR="004E162D" w:rsidRPr="003E3613">
        <w:rPr>
          <w:rFonts w:ascii="Book Antiqua" w:hAnsi="Book Antiqua"/>
          <w:bCs/>
          <w:sz w:val="23"/>
          <w:szCs w:val="23"/>
          <w:lang w:val="en-GB"/>
        </w:rPr>
        <w:t>recogni</w:t>
      </w:r>
      <w:r w:rsidR="00E7059E" w:rsidRPr="003E3613">
        <w:rPr>
          <w:rFonts w:ascii="Book Antiqua" w:hAnsi="Book Antiqua"/>
          <w:bCs/>
          <w:sz w:val="23"/>
          <w:szCs w:val="23"/>
          <w:lang w:val="en-GB"/>
        </w:rPr>
        <w:t>s</w:t>
      </w:r>
      <w:r w:rsidR="004E162D" w:rsidRPr="003E3613">
        <w:rPr>
          <w:rFonts w:ascii="Book Antiqua" w:hAnsi="Book Antiqua"/>
          <w:bCs/>
          <w:sz w:val="23"/>
          <w:szCs w:val="23"/>
          <w:lang w:val="en-GB"/>
        </w:rPr>
        <w:t>ed</w:t>
      </w:r>
      <w:r w:rsidR="004A16CD" w:rsidRPr="003E3613">
        <w:rPr>
          <w:rStyle w:val="FootnoteReference"/>
          <w:rFonts w:ascii="Book Antiqua" w:hAnsi="Book Antiqua"/>
          <w:bCs/>
          <w:sz w:val="23"/>
          <w:szCs w:val="23"/>
          <w:lang w:val="en-GB"/>
        </w:rPr>
        <w:footnoteReference w:id="45"/>
      </w:r>
      <w:r w:rsidR="004E162D" w:rsidRPr="003E3613">
        <w:rPr>
          <w:rFonts w:ascii="Book Antiqua" w:hAnsi="Book Antiqua"/>
          <w:bCs/>
          <w:sz w:val="23"/>
          <w:szCs w:val="23"/>
          <w:lang w:val="en-GB"/>
        </w:rPr>
        <w:t xml:space="preserve"> that</w:t>
      </w:r>
      <w:r w:rsidRPr="003E3613">
        <w:rPr>
          <w:rFonts w:ascii="Book Antiqua" w:hAnsi="Book Antiqua"/>
          <w:bCs/>
          <w:sz w:val="23"/>
          <w:szCs w:val="23"/>
          <w:lang w:val="en-GB"/>
        </w:rPr>
        <w:t xml:space="preserve"> in the framework of public employment substantial steps have been taken to encourage a transition to the primary labour market</w:t>
      </w:r>
      <w:r w:rsidRPr="003E3613">
        <w:rPr>
          <w:rFonts w:ascii="Book Antiqua" w:hAnsi="Book Antiqua"/>
          <w:sz w:val="23"/>
          <w:szCs w:val="23"/>
          <w:lang w:val="en-GB"/>
        </w:rPr>
        <w:t>, furthermore public employment has a significant</w:t>
      </w:r>
      <w:r w:rsidR="004E162D" w:rsidRPr="003E3613">
        <w:rPr>
          <w:rFonts w:ascii="Book Antiqua" w:hAnsi="Book Antiqua"/>
          <w:sz w:val="23"/>
          <w:szCs w:val="23"/>
          <w:lang w:val="en-GB"/>
        </w:rPr>
        <w:t xml:space="preserve"> role in social policy as well. </w:t>
      </w:r>
      <w:r w:rsidRPr="003E3613">
        <w:rPr>
          <w:rFonts w:ascii="Book Antiqua" w:hAnsi="Book Antiqua"/>
          <w:bCs/>
          <w:sz w:val="23"/>
          <w:szCs w:val="23"/>
          <w:lang w:val="en-GB"/>
        </w:rPr>
        <w:t>Public employment plays an important role in social policy espe</w:t>
      </w:r>
      <w:r w:rsidR="00CD298F" w:rsidRPr="003E3613">
        <w:rPr>
          <w:rFonts w:ascii="Book Antiqua" w:hAnsi="Book Antiqua"/>
          <w:bCs/>
          <w:sz w:val="23"/>
          <w:szCs w:val="23"/>
          <w:lang w:val="en-GB"/>
        </w:rPr>
        <w:t>cially in the most disadvantageous</w:t>
      </w:r>
      <w:r w:rsidRPr="003E3613">
        <w:rPr>
          <w:rFonts w:ascii="Book Antiqua" w:hAnsi="Book Antiqua"/>
          <w:bCs/>
          <w:sz w:val="23"/>
          <w:szCs w:val="23"/>
          <w:lang w:val="en-GB"/>
        </w:rPr>
        <w:t xml:space="preserve"> areas.</w:t>
      </w:r>
      <w:r w:rsidRPr="003E3613">
        <w:rPr>
          <w:rFonts w:ascii="Book Antiqua" w:hAnsi="Book Antiqua"/>
          <w:sz w:val="23"/>
          <w:szCs w:val="23"/>
          <w:lang w:val="en-GB"/>
        </w:rPr>
        <w:t xml:space="preserve"> Hungary has implemented crucial acts to diminish the trap-like effect of the depend</w:t>
      </w:r>
      <w:r w:rsidR="00CD298F" w:rsidRPr="003E3613">
        <w:rPr>
          <w:rFonts w:ascii="Book Antiqua" w:hAnsi="Book Antiqua"/>
          <w:sz w:val="23"/>
          <w:szCs w:val="23"/>
          <w:lang w:val="en-GB"/>
        </w:rPr>
        <w:t xml:space="preserve">ence on </w:t>
      </w:r>
      <w:r w:rsidR="00FF063F" w:rsidRPr="003E3613">
        <w:rPr>
          <w:rFonts w:ascii="Book Antiqua" w:hAnsi="Book Antiqua"/>
          <w:sz w:val="23"/>
          <w:szCs w:val="23"/>
          <w:lang w:val="en-GB"/>
        </w:rPr>
        <w:t xml:space="preserve">social </w:t>
      </w:r>
      <w:r w:rsidR="00695C87" w:rsidRPr="003E3613">
        <w:rPr>
          <w:rFonts w:ascii="Book Antiqua" w:hAnsi="Book Antiqua"/>
          <w:sz w:val="23"/>
          <w:szCs w:val="23"/>
          <w:lang w:val="en-GB"/>
        </w:rPr>
        <w:t>benefit</w:t>
      </w:r>
      <w:r w:rsidR="00FF063F" w:rsidRPr="003E3613">
        <w:rPr>
          <w:rFonts w:ascii="Book Antiqua" w:hAnsi="Book Antiqua"/>
          <w:sz w:val="23"/>
          <w:szCs w:val="23"/>
          <w:lang w:val="en-GB"/>
        </w:rPr>
        <w:t>s</w:t>
      </w:r>
      <w:r w:rsidR="00695C87" w:rsidRPr="003E3613">
        <w:rPr>
          <w:rFonts w:ascii="Book Antiqua" w:hAnsi="Book Antiqua"/>
          <w:sz w:val="23"/>
          <w:szCs w:val="23"/>
          <w:lang w:val="en-GB"/>
        </w:rPr>
        <w:t xml:space="preserve"> </w:t>
      </w:r>
      <w:r w:rsidR="00CD298F" w:rsidRPr="003E3613">
        <w:rPr>
          <w:rFonts w:ascii="Book Antiqua" w:hAnsi="Book Antiqua"/>
          <w:sz w:val="23"/>
          <w:szCs w:val="23"/>
          <w:lang w:val="en-GB"/>
        </w:rPr>
        <w:t>in these areas.</w:t>
      </w:r>
      <w:r w:rsidR="00D227E3" w:rsidRPr="003E3613">
        <w:rPr>
          <w:rFonts w:ascii="Book Antiqua" w:hAnsi="Book Antiqua"/>
          <w:sz w:val="23"/>
          <w:szCs w:val="23"/>
          <w:lang w:val="en-GB"/>
        </w:rPr>
        <w:t xml:space="preserve"> </w:t>
      </w:r>
    </w:p>
    <w:p w14:paraId="19BAEA75" w14:textId="01693B5B" w:rsidR="0072083A" w:rsidRPr="003E3613" w:rsidRDefault="00D227E3" w:rsidP="00204696">
      <w:pPr>
        <w:spacing w:after="240"/>
        <w:jc w:val="both"/>
        <w:rPr>
          <w:rFonts w:ascii="Book Antiqua" w:hAnsi="Book Antiqua"/>
          <w:sz w:val="23"/>
          <w:szCs w:val="23"/>
          <w:lang w:val="en-GB"/>
        </w:rPr>
      </w:pPr>
      <w:r w:rsidRPr="003E3613">
        <w:rPr>
          <w:rFonts w:ascii="Book Antiqua" w:hAnsi="Book Antiqua"/>
          <w:sz w:val="23"/>
          <w:szCs w:val="23"/>
          <w:lang w:val="en-GB"/>
        </w:rPr>
        <w:t xml:space="preserve">Since 2010 several measures have been taken in order to reduce the number of people living at risk of poverty and social exclusion. As a result the number of people living at risk of poverty and social exclusion has decreased by </w:t>
      </w:r>
      <w:r w:rsidR="00A43461" w:rsidRPr="003E3613">
        <w:rPr>
          <w:rFonts w:ascii="Book Antiqua" w:hAnsi="Book Antiqua"/>
          <w:sz w:val="23"/>
          <w:szCs w:val="23"/>
          <w:lang w:val="en-GB"/>
        </w:rPr>
        <w:t>15</w:t>
      </w:r>
      <w:r w:rsidRPr="003E3613">
        <w:rPr>
          <w:rFonts w:ascii="Book Antiqua" w:hAnsi="Book Antiqua"/>
          <w:sz w:val="23"/>
          <w:szCs w:val="23"/>
          <w:lang w:val="en-GB"/>
        </w:rPr>
        <w:t xml:space="preserve">.2% </w:t>
      </w:r>
      <w:r w:rsidR="00A43461" w:rsidRPr="003E3613">
        <w:rPr>
          <w:rFonts w:ascii="Book Antiqua" w:hAnsi="Book Antiqua"/>
          <w:sz w:val="23"/>
          <w:szCs w:val="23"/>
          <w:lang w:val="en-GB"/>
        </w:rPr>
        <w:t xml:space="preserve">since 2013, </w:t>
      </w:r>
      <w:r w:rsidRPr="003E3613">
        <w:rPr>
          <w:rFonts w:ascii="Book Antiqua" w:hAnsi="Book Antiqua"/>
          <w:sz w:val="23"/>
          <w:szCs w:val="23"/>
          <w:lang w:val="en-GB"/>
        </w:rPr>
        <w:t xml:space="preserve">and the </w:t>
      </w:r>
      <w:r w:rsidR="00A43461" w:rsidRPr="003E3613">
        <w:rPr>
          <w:rFonts w:ascii="Book Antiqua" w:hAnsi="Book Antiqua"/>
          <w:sz w:val="23"/>
          <w:szCs w:val="23"/>
          <w:lang w:val="en-GB"/>
        </w:rPr>
        <w:t xml:space="preserve">rate </w:t>
      </w:r>
      <w:r w:rsidRPr="003E3613">
        <w:rPr>
          <w:rFonts w:ascii="Book Antiqua" w:hAnsi="Book Antiqua"/>
          <w:sz w:val="23"/>
          <w:szCs w:val="23"/>
          <w:lang w:val="en-GB"/>
        </w:rPr>
        <w:t xml:space="preserve">of children </w:t>
      </w:r>
      <w:r w:rsidR="00695C87" w:rsidRPr="003E3613">
        <w:rPr>
          <w:rFonts w:ascii="Book Antiqua" w:hAnsi="Book Antiqua"/>
          <w:sz w:val="23"/>
          <w:szCs w:val="23"/>
          <w:lang w:val="en-GB"/>
        </w:rPr>
        <w:t xml:space="preserve">from </w:t>
      </w:r>
      <w:r w:rsidRPr="003E3613">
        <w:rPr>
          <w:rFonts w:ascii="Book Antiqua" w:hAnsi="Book Antiqua"/>
          <w:sz w:val="23"/>
          <w:szCs w:val="23"/>
          <w:lang w:val="en-GB"/>
        </w:rPr>
        <w:t>43.</w:t>
      </w:r>
      <w:r w:rsidR="00346EB3" w:rsidRPr="003E3613">
        <w:rPr>
          <w:rFonts w:ascii="Book Antiqua" w:hAnsi="Book Antiqua"/>
          <w:sz w:val="23"/>
          <w:szCs w:val="23"/>
          <w:lang w:val="en-GB"/>
        </w:rPr>
        <w:t xml:space="preserve">9% </w:t>
      </w:r>
      <w:r w:rsidR="00AC0DAD" w:rsidRPr="003E3613">
        <w:rPr>
          <w:rFonts w:ascii="Book Antiqua" w:hAnsi="Book Antiqua"/>
          <w:sz w:val="23"/>
          <w:szCs w:val="23"/>
          <w:lang w:val="en-GB"/>
        </w:rPr>
        <w:t>(</w:t>
      </w:r>
      <w:r w:rsidR="00346EB3" w:rsidRPr="003E3613">
        <w:rPr>
          <w:rFonts w:ascii="Book Antiqua" w:hAnsi="Book Antiqua"/>
          <w:sz w:val="23"/>
          <w:szCs w:val="23"/>
          <w:lang w:val="en-GB"/>
        </w:rPr>
        <w:t>in 2013</w:t>
      </w:r>
      <w:r w:rsidR="00AC0DAD" w:rsidRPr="003E3613">
        <w:rPr>
          <w:rFonts w:ascii="Book Antiqua" w:hAnsi="Book Antiqua"/>
          <w:sz w:val="23"/>
          <w:szCs w:val="23"/>
          <w:lang w:val="en-GB"/>
        </w:rPr>
        <w:t>)</w:t>
      </w:r>
      <w:r w:rsidR="00346EB3" w:rsidRPr="003E3613">
        <w:rPr>
          <w:rFonts w:ascii="Book Antiqua" w:hAnsi="Book Antiqua"/>
          <w:sz w:val="23"/>
          <w:szCs w:val="23"/>
          <w:lang w:val="en-GB"/>
        </w:rPr>
        <w:t xml:space="preserve"> to </w:t>
      </w:r>
      <w:r w:rsidR="00492C79" w:rsidRPr="003E3613">
        <w:rPr>
          <w:rFonts w:ascii="Book Antiqua" w:hAnsi="Book Antiqua"/>
          <w:sz w:val="23"/>
          <w:szCs w:val="23"/>
          <w:lang w:val="en-GB"/>
        </w:rPr>
        <w:t>2</w:t>
      </w:r>
      <w:r w:rsidR="00346EB3" w:rsidRPr="003E3613">
        <w:rPr>
          <w:rFonts w:ascii="Book Antiqua" w:hAnsi="Book Antiqua"/>
          <w:sz w:val="23"/>
          <w:szCs w:val="23"/>
          <w:lang w:val="en-GB"/>
        </w:rPr>
        <w:t>3.</w:t>
      </w:r>
      <w:r w:rsidR="00492C79" w:rsidRPr="003E3613">
        <w:rPr>
          <w:rFonts w:ascii="Book Antiqua" w:hAnsi="Book Antiqua"/>
          <w:sz w:val="23"/>
          <w:szCs w:val="23"/>
          <w:lang w:val="en-GB"/>
        </w:rPr>
        <w:t>8</w:t>
      </w:r>
      <w:r w:rsidR="00346EB3" w:rsidRPr="003E3613">
        <w:rPr>
          <w:rFonts w:ascii="Book Antiqua" w:hAnsi="Book Antiqua"/>
          <w:sz w:val="23"/>
          <w:szCs w:val="23"/>
          <w:lang w:val="en-GB"/>
        </w:rPr>
        <w:t xml:space="preserve">% </w:t>
      </w:r>
      <w:r w:rsidR="00AC0DAD" w:rsidRPr="003E3613">
        <w:rPr>
          <w:rFonts w:ascii="Book Antiqua" w:hAnsi="Book Antiqua"/>
          <w:sz w:val="23"/>
          <w:szCs w:val="23"/>
          <w:lang w:val="en-GB"/>
        </w:rPr>
        <w:t>(</w:t>
      </w:r>
      <w:r w:rsidR="00346EB3" w:rsidRPr="003E3613">
        <w:rPr>
          <w:rFonts w:ascii="Book Antiqua" w:hAnsi="Book Antiqua"/>
          <w:sz w:val="23"/>
          <w:szCs w:val="23"/>
          <w:lang w:val="en-GB"/>
        </w:rPr>
        <w:t>in 201</w:t>
      </w:r>
      <w:r w:rsidR="00492C79" w:rsidRPr="003E3613">
        <w:rPr>
          <w:rFonts w:ascii="Book Antiqua" w:hAnsi="Book Antiqua"/>
          <w:sz w:val="23"/>
          <w:szCs w:val="23"/>
          <w:lang w:val="en-GB"/>
        </w:rPr>
        <w:t>8</w:t>
      </w:r>
      <w:r w:rsidR="00AC0DAD" w:rsidRPr="003E3613">
        <w:rPr>
          <w:rFonts w:ascii="Book Antiqua" w:hAnsi="Book Antiqua"/>
          <w:sz w:val="23"/>
          <w:szCs w:val="23"/>
          <w:lang w:val="en-GB"/>
        </w:rPr>
        <w:t>)</w:t>
      </w:r>
      <w:r w:rsidR="00346EB3" w:rsidRPr="003E3613">
        <w:rPr>
          <w:rFonts w:ascii="Book Antiqua" w:hAnsi="Book Antiqua"/>
          <w:sz w:val="23"/>
          <w:szCs w:val="23"/>
          <w:lang w:val="en-GB"/>
        </w:rPr>
        <w:t xml:space="preserve">, </w:t>
      </w:r>
      <w:r w:rsidRPr="003E3613">
        <w:rPr>
          <w:rFonts w:ascii="Book Antiqua" w:hAnsi="Book Antiqua"/>
          <w:sz w:val="23"/>
          <w:szCs w:val="23"/>
          <w:lang w:val="en-GB"/>
        </w:rPr>
        <w:t xml:space="preserve">which is one of the highest </w:t>
      </w:r>
      <w:r w:rsidR="00AC0DAD" w:rsidRPr="003E3613">
        <w:rPr>
          <w:rFonts w:ascii="Book Antiqua" w:hAnsi="Book Antiqua"/>
          <w:sz w:val="23"/>
          <w:szCs w:val="23"/>
          <w:lang w:val="en-GB"/>
        </w:rPr>
        <w:t xml:space="preserve">reduction </w:t>
      </w:r>
      <w:r w:rsidRPr="003E3613">
        <w:rPr>
          <w:rFonts w:ascii="Book Antiqua" w:hAnsi="Book Antiqua"/>
          <w:sz w:val="23"/>
          <w:szCs w:val="23"/>
          <w:lang w:val="en-GB"/>
        </w:rPr>
        <w:t xml:space="preserve">in comparison with other </w:t>
      </w:r>
      <w:r w:rsidR="007B606E" w:rsidRPr="003E3613">
        <w:rPr>
          <w:rFonts w:ascii="Book Antiqua" w:hAnsi="Book Antiqua"/>
          <w:sz w:val="23"/>
          <w:szCs w:val="23"/>
          <w:lang w:val="en-GB"/>
        </w:rPr>
        <w:t>M</w:t>
      </w:r>
      <w:r w:rsidRPr="003E3613">
        <w:rPr>
          <w:rFonts w:ascii="Book Antiqua" w:hAnsi="Book Antiqua"/>
          <w:sz w:val="23"/>
          <w:szCs w:val="23"/>
          <w:lang w:val="en-GB"/>
        </w:rPr>
        <w:t xml:space="preserve">ember </w:t>
      </w:r>
      <w:r w:rsidR="007B606E" w:rsidRPr="003E3613">
        <w:rPr>
          <w:rFonts w:ascii="Book Antiqua" w:hAnsi="Book Antiqua"/>
          <w:sz w:val="23"/>
          <w:szCs w:val="23"/>
          <w:lang w:val="en-GB"/>
        </w:rPr>
        <w:t>S</w:t>
      </w:r>
      <w:r w:rsidRPr="003E3613">
        <w:rPr>
          <w:rFonts w:ascii="Book Antiqua" w:hAnsi="Book Antiqua"/>
          <w:sz w:val="23"/>
          <w:szCs w:val="23"/>
          <w:lang w:val="en-GB"/>
        </w:rPr>
        <w:t>tates.</w:t>
      </w:r>
      <w:r w:rsidR="00554D9C" w:rsidRPr="003E3613">
        <w:rPr>
          <w:rFonts w:ascii="Book Antiqua" w:hAnsi="Book Antiqua"/>
          <w:sz w:val="23"/>
          <w:szCs w:val="23"/>
          <w:lang w:val="en-GB"/>
        </w:rPr>
        <w:t xml:space="preserve"> </w:t>
      </w:r>
      <w:r w:rsidR="0083040B" w:rsidRPr="003E3613">
        <w:rPr>
          <w:rFonts w:ascii="Book Antiqua" w:hAnsi="Book Antiqua"/>
          <w:sz w:val="23"/>
          <w:szCs w:val="23"/>
          <w:lang w:val="en-GB"/>
        </w:rPr>
        <w:t>According to Eurostat, Hungary is one of the three Member States that managed to reduce their poverty levels to the highest extent by lowering its „severe material deprivation rate” from 27.8% in 2013 to 10.1% in 2018.</w:t>
      </w:r>
      <w:r w:rsidR="0083040B" w:rsidRPr="003E3613">
        <w:rPr>
          <w:rStyle w:val="FootnoteReference"/>
          <w:rFonts w:ascii="Book Antiqua" w:hAnsi="Book Antiqua"/>
          <w:sz w:val="23"/>
          <w:szCs w:val="23"/>
          <w:lang w:val="en-GB"/>
        </w:rPr>
        <w:footnoteReference w:id="46"/>
      </w:r>
    </w:p>
    <w:p w14:paraId="32C15535" w14:textId="77777777" w:rsidR="000D0F81" w:rsidRPr="003E3613" w:rsidRDefault="000D0F81" w:rsidP="00204696">
      <w:pPr>
        <w:spacing w:after="240"/>
        <w:jc w:val="both"/>
        <w:rPr>
          <w:rFonts w:ascii="Book Antiqua" w:hAnsi="Book Antiqua"/>
          <w:b/>
          <w:sz w:val="23"/>
          <w:szCs w:val="23"/>
          <w:lang w:val="en-GB"/>
        </w:rPr>
      </w:pPr>
      <w:r w:rsidRPr="003E3613">
        <w:rPr>
          <w:rFonts w:ascii="Book Antiqua" w:hAnsi="Book Antiqua"/>
          <w:b/>
          <w:sz w:val="23"/>
          <w:szCs w:val="23"/>
          <w:lang w:val="en-GB"/>
        </w:rPr>
        <w:t xml:space="preserve">The Hungarian Government is committed to further developing the existing social standards in order to increase the well-being of Hungarian people and as a result of that, has gained the citizen’s trust to govern for the third term. Therefore and since economic and social policies are exclusive Member State competences, it is not justified to mention the </w:t>
      </w:r>
      <w:r w:rsidRPr="003E3613">
        <w:rPr>
          <w:rFonts w:ascii="Book Antiqua" w:hAnsi="Book Antiqua"/>
          <w:b/>
          <w:sz w:val="23"/>
          <w:szCs w:val="23"/>
          <w:lang w:val="en-GB"/>
        </w:rPr>
        <w:lastRenderedPageBreak/>
        <w:t>elements of recitals 73-77 in a reasoned proposal requesting the Council to determine, pursuant to Article 7(1) of the Treaty on European Union, the existence of a clear risk of a serious breach by Hungary of the values on which the Union is founded.</w:t>
      </w:r>
    </w:p>
    <w:p w14:paraId="24A9A85D" w14:textId="77777777" w:rsidR="00FB28B9" w:rsidRPr="003E3613" w:rsidRDefault="00FB28B9" w:rsidP="00204696">
      <w:pPr>
        <w:spacing w:after="0"/>
        <w:jc w:val="center"/>
        <w:rPr>
          <w:rFonts w:ascii="Book Antiqua" w:hAnsi="Book Antiqua"/>
          <w:b/>
          <w:sz w:val="23"/>
          <w:szCs w:val="23"/>
          <w:lang w:val="en-GB"/>
        </w:rPr>
      </w:pPr>
      <w:r w:rsidRPr="003E3613">
        <w:rPr>
          <w:rFonts w:ascii="Book Antiqua" w:hAnsi="Book Antiqua" w:cs="Times New Roman"/>
          <w:b/>
          <w:sz w:val="23"/>
          <w:szCs w:val="23"/>
          <w:lang w:val="en-GB"/>
        </w:rPr>
        <w:t>***</w:t>
      </w:r>
    </w:p>
    <w:sectPr w:rsidR="00FB28B9" w:rsidRPr="003E3613" w:rsidSect="00660031">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9F9FE" w14:textId="77777777" w:rsidR="0020718C" w:rsidRDefault="0020718C" w:rsidP="00507F12">
      <w:pPr>
        <w:spacing w:after="0" w:line="240" w:lineRule="auto"/>
      </w:pPr>
      <w:r>
        <w:separator/>
      </w:r>
    </w:p>
  </w:endnote>
  <w:endnote w:type="continuationSeparator" w:id="0">
    <w:p w14:paraId="3870A635" w14:textId="77777777" w:rsidR="0020718C" w:rsidRDefault="0020718C" w:rsidP="00507F12">
      <w:pPr>
        <w:spacing w:after="0" w:line="240" w:lineRule="auto"/>
      </w:pPr>
      <w:r>
        <w:continuationSeparator/>
      </w:r>
    </w:p>
  </w:endnote>
  <w:endnote w:type="continuationNotice" w:id="1">
    <w:p w14:paraId="5BC66AA4" w14:textId="77777777" w:rsidR="0020718C" w:rsidRDefault="002071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Melior">
    <w:altName w:val="Times New Roman"/>
    <w:panose1 w:val="00000000000000000000"/>
    <w:charset w:val="00"/>
    <w:family w:val="roman"/>
    <w:notTrueType/>
    <w:pitch w:val="default"/>
    <w:sig w:usb0="00000003" w:usb1="00000000" w:usb2="00000000" w:usb3="00000000" w:csb0="00000001" w:csb1="00000000"/>
  </w:font>
  <w:font w:name="EC Square Sans Pro">
    <w:altName w:val="Arial"/>
    <w:panose1 w:val="00000000000000000000"/>
    <w:charset w:val="00"/>
    <w:family w:val="swiss"/>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Droid Sans Fallback">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C724" w14:textId="77777777" w:rsidR="00660031" w:rsidRPr="00660031" w:rsidRDefault="00660031" w:rsidP="00660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660031" w:rsidRPr="00D94637" w14:paraId="34EB9218" w14:textId="77777777" w:rsidTr="00660031">
      <w:trPr>
        <w:jc w:val="center"/>
      </w:trPr>
      <w:tc>
        <w:tcPr>
          <w:tcW w:w="5000" w:type="pct"/>
          <w:gridSpan w:val="7"/>
          <w:shd w:val="clear" w:color="auto" w:fill="auto"/>
          <w:tcMar>
            <w:top w:w="57" w:type="dxa"/>
          </w:tcMar>
        </w:tcPr>
        <w:p w14:paraId="16A43756" w14:textId="77777777" w:rsidR="00660031" w:rsidRPr="00D94637" w:rsidRDefault="00660031" w:rsidP="00D94637">
          <w:pPr>
            <w:pStyle w:val="FooterText"/>
            <w:pBdr>
              <w:top w:val="single" w:sz="4" w:space="1" w:color="auto"/>
            </w:pBdr>
            <w:spacing w:before="200"/>
            <w:rPr>
              <w:sz w:val="2"/>
              <w:szCs w:val="2"/>
            </w:rPr>
          </w:pPr>
          <w:bookmarkStart w:id="2" w:name="FOOTER_STANDARD"/>
        </w:p>
      </w:tc>
    </w:tr>
    <w:tr w:rsidR="00660031" w:rsidRPr="00B310DC" w14:paraId="07844AE2" w14:textId="77777777" w:rsidTr="00660031">
      <w:trPr>
        <w:jc w:val="center"/>
      </w:trPr>
      <w:tc>
        <w:tcPr>
          <w:tcW w:w="2500" w:type="pct"/>
          <w:gridSpan w:val="2"/>
          <w:shd w:val="clear" w:color="auto" w:fill="auto"/>
          <w:tcMar>
            <w:top w:w="0" w:type="dxa"/>
          </w:tcMar>
        </w:tcPr>
        <w:p w14:paraId="4C5070DE" w14:textId="0AF74294" w:rsidR="00660031" w:rsidRPr="00AD7BF2" w:rsidRDefault="00660031" w:rsidP="004F54B2">
          <w:pPr>
            <w:pStyle w:val="FooterText"/>
          </w:pPr>
          <w:r>
            <w:t>12133/19</w:t>
          </w:r>
          <w:r w:rsidRPr="002511D8">
            <w:t xml:space="preserve"> </w:t>
          </w:r>
        </w:p>
      </w:tc>
      <w:tc>
        <w:tcPr>
          <w:tcW w:w="625" w:type="pct"/>
          <w:shd w:val="clear" w:color="auto" w:fill="auto"/>
          <w:tcMar>
            <w:top w:w="0" w:type="dxa"/>
          </w:tcMar>
        </w:tcPr>
        <w:p w14:paraId="4506DFCC" w14:textId="77777777" w:rsidR="00660031" w:rsidRPr="00AD7BF2" w:rsidRDefault="00660031" w:rsidP="00D94637">
          <w:pPr>
            <w:pStyle w:val="FooterText"/>
            <w:jc w:val="center"/>
          </w:pPr>
        </w:p>
      </w:tc>
      <w:tc>
        <w:tcPr>
          <w:tcW w:w="1286" w:type="pct"/>
          <w:gridSpan w:val="3"/>
          <w:shd w:val="clear" w:color="auto" w:fill="auto"/>
          <w:tcMar>
            <w:top w:w="0" w:type="dxa"/>
          </w:tcMar>
        </w:tcPr>
        <w:p w14:paraId="33C46535" w14:textId="3628814F" w:rsidR="00660031" w:rsidRPr="002511D8" w:rsidRDefault="00660031" w:rsidP="00D94637">
          <w:pPr>
            <w:pStyle w:val="FooterText"/>
            <w:jc w:val="center"/>
          </w:pPr>
          <w:r>
            <w:t>GSC/es</w:t>
          </w:r>
        </w:p>
      </w:tc>
      <w:tc>
        <w:tcPr>
          <w:tcW w:w="589" w:type="pct"/>
          <w:shd w:val="clear" w:color="auto" w:fill="auto"/>
          <w:tcMar>
            <w:top w:w="0" w:type="dxa"/>
          </w:tcMar>
        </w:tcPr>
        <w:p w14:paraId="106B82C4" w14:textId="065B0266" w:rsidR="00660031" w:rsidRPr="00B310DC" w:rsidRDefault="00660031" w:rsidP="00660031">
          <w:pPr>
            <w:pStyle w:val="FooterText"/>
            <w:jc w:val="right"/>
          </w:pPr>
          <w:r>
            <w:fldChar w:fldCharType="begin"/>
          </w:r>
          <w:r>
            <w:instrText xml:space="preserve"> PAGE  \* MERGEFORMAT </w:instrText>
          </w:r>
          <w:r>
            <w:fldChar w:fldCharType="separate"/>
          </w:r>
          <w:r w:rsidR="00676889">
            <w:rPr>
              <w:noProof/>
            </w:rPr>
            <w:t>60</w:t>
          </w:r>
          <w:r>
            <w:fldChar w:fldCharType="end"/>
          </w:r>
        </w:p>
      </w:tc>
    </w:tr>
    <w:tr w:rsidR="00660031" w:rsidRPr="00D94637" w14:paraId="6C1ADE39" w14:textId="77777777" w:rsidTr="00660031">
      <w:trPr>
        <w:jc w:val="center"/>
      </w:trPr>
      <w:tc>
        <w:tcPr>
          <w:tcW w:w="1774" w:type="pct"/>
          <w:shd w:val="clear" w:color="auto" w:fill="auto"/>
        </w:tcPr>
        <w:p w14:paraId="793983FC" w14:textId="2BD8E44A" w:rsidR="00660031" w:rsidRPr="00AD7BF2" w:rsidRDefault="00660031" w:rsidP="00D94637">
          <w:pPr>
            <w:pStyle w:val="FooterText"/>
            <w:spacing w:before="40"/>
          </w:pPr>
        </w:p>
      </w:tc>
      <w:tc>
        <w:tcPr>
          <w:tcW w:w="1455" w:type="pct"/>
          <w:gridSpan w:val="3"/>
          <w:shd w:val="clear" w:color="auto" w:fill="auto"/>
        </w:tcPr>
        <w:p w14:paraId="2E894A1E" w14:textId="5A74380A" w:rsidR="00660031" w:rsidRPr="00AD7BF2" w:rsidRDefault="00660031" w:rsidP="00D204D6">
          <w:pPr>
            <w:pStyle w:val="FooterText"/>
            <w:spacing w:before="40"/>
            <w:jc w:val="center"/>
          </w:pPr>
          <w:r>
            <w:t>JAI.A</w:t>
          </w:r>
        </w:p>
      </w:tc>
      <w:tc>
        <w:tcPr>
          <w:tcW w:w="742" w:type="pct"/>
          <w:shd w:val="clear" w:color="auto" w:fill="auto"/>
        </w:tcPr>
        <w:p w14:paraId="63ED2635" w14:textId="0627B520" w:rsidR="00660031" w:rsidRPr="00D94637" w:rsidRDefault="00660031" w:rsidP="002F0099">
          <w:pPr>
            <w:pStyle w:val="FooterText"/>
            <w:jc w:val="center"/>
            <w:rPr>
              <w:b/>
              <w:position w:val="-4"/>
              <w:sz w:val="36"/>
            </w:rPr>
          </w:pPr>
          <w:r>
            <w:rPr>
              <w:b/>
              <w:position w:val="-4"/>
              <w:sz w:val="36"/>
            </w:rPr>
            <w:t>LIMITE</w:t>
          </w:r>
        </w:p>
      </w:tc>
      <w:tc>
        <w:tcPr>
          <w:tcW w:w="1029" w:type="pct"/>
          <w:gridSpan w:val="2"/>
          <w:shd w:val="clear" w:color="auto" w:fill="auto"/>
        </w:tcPr>
        <w:p w14:paraId="1BDF99C5" w14:textId="36247182" w:rsidR="00660031" w:rsidRPr="000310C2" w:rsidRDefault="00660031" w:rsidP="00D94637">
          <w:pPr>
            <w:pStyle w:val="FooterText"/>
            <w:jc w:val="right"/>
            <w:rPr>
              <w:spacing w:val="-20"/>
              <w:sz w:val="16"/>
            </w:rPr>
          </w:pPr>
          <w:r>
            <w:rPr>
              <w:b/>
              <w:spacing w:val="-20"/>
              <w:position w:val="-4"/>
              <w:sz w:val="36"/>
            </w:rPr>
            <w:t>EN</w:t>
          </w:r>
        </w:p>
      </w:tc>
    </w:tr>
    <w:bookmarkEnd w:id="2"/>
  </w:tbl>
  <w:p w14:paraId="3A7A4762" w14:textId="77777777" w:rsidR="00B80293" w:rsidRPr="00660031" w:rsidRDefault="00B80293" w:rsidP="00660031">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660031" w:rsidRPr="00D94637" w14:paraId="29500D6D" w14:textId="77777777" w:rsidTr="00660031">
      <w:trPr>
        <w:jc w:val="center"/>
      </w:trPr>
      <w:tc>
        <w:tcPr>
          <w:tcW w:w="5000" w:type="pct"/>
          <w:gridSpan w:val="7"/>
          <w:shd w:val="clear" w:color="auto" w:fill="auto"/>
          <w:tcMar>
            <w:top w:w="57" w:type="dxa"/>
          </w:tcMar>
        </w:tcPr>
        <w:p w14:paraId="17A82996" w14:textId="77777777" w:rsidR="00660031" w:rsidRPr="00D94637" w:rsidRDefault="00660031" w:rsidP="00D94637">
          <w:pPr>
            <w:pStyle w:val="FooterText"/>
            <w:pBdr>
              <w:top w:val="single" w:sz="4" w:space="1" w:color="auto"/>
            </w:pBdr>
            <w:spacing w:before="200"/>
            <w:rPr>
              <w:sz w:val="2"/>
              <w:szCs w:val="2"/>
            </w:rPr>
          </w:pPr>
        </w:p>
      </w:tc>
    </w:tr>
    <w:tr w:rsidR="00660031" w:rsidRPr="00B310DC" w14:paraId="47B2CE69" w14:textId="77777777" w:rsidTr="00660031">
      <w:trPr>
        <w:jc w:val="center"/>
      </w:trPr>
      <w:tc>
        <w:tcPr>
          <w:tcW w:w="2500" w:type="pct"/>
          <w:gridSpan w:val="2"/>
          <w:shd w:val="clear" w:color="auto" w:fill="auto"/>
          <w:tcMar>
            <w:top w:w="0" w:type="dxa"/>
          </w:tcMar>
        </w:tcPr>
        <w:p w14:paraId="7F1FCF55" w14:textId="18404E70" w:rsidR="00660031" w:rsidRPr="00AD7BF2" w:rsidRDefault="00660031" w:rsidP="004F54B2">
          <w:pPr>
            <w:pStyle w:val="FooterText"/>
          </w:pPr>
          <w:r>
            <w:t>12133/19</w:t>
          </w:r>
          <w:r w:rsidRPr="002511D8">
            <w:t xml:space="preserve"> </w:t>
          </w:r>
        </w:p>
      </w:tc>
      <w:tc>
        <w:tcPr>
          <w:tcW w:w="625" w:type="pct"/>
          <w:shd w:val="clear" w:color="auto" w:fill="auto"/>
          <w:tcMar>
            <w:top w:w="0" w:type="dxa"/>
          </w:tcMar>
        </w:tcPr>
        <w:p w14:paraId="0261EDB0" w14:textId="77777777" w:rsidR="00660031" w:rsidRPr="00AD7BF2" w:rsidRDefault="00660031" w:rsidP="00D94637">
          <w:pPr>
            <w:pStyle w:val="FooterText"/>
            <w:jc w:val="center"/>
          </w:pPr>
        </w:p>
      </w:tc>
      <w:tc>
        <w:tcPr>
          <w:tcW w:w="1286" w:type="pct"/>
          <w:gridSpan w:val="3"/>
          <w:shd w:val="clear" w:color="auto" w:fill="auto"/>
          <w:tcMar>
            <w:top w:w="0" w:type="dxa"/>
          </w:tcMar>
        </w:tcPr>
        <w:p w14:paraId="01E82B85" w14:textId="6ACCCFCB" w:rsidR="00660031" w:rsidRPr="002511D8" w:rsidRDefault="00660031" w:rsidP="00D94637">
          <w:pPr>
            <w:pStyle w:val="FooterText"/>
            <w:jc w:val="center"/>
          </w:pPr>
          <w:r>
            <w:t>GSC/es</w:t>
          </w:r>
        </w:p>
      </w:tc>
      <w:tc>
        <w:tcPr>
          <w:tcW w:w="589" w:type="pct"/>
          <w:shd w:val="clear" w:color="auto" w:fill="auto"/>
          <w:tcMar>
            <w:top w:w="0" w:type="dxa"/>
          </w:tcMar>
        </w:tcPr>
        <w:p w14:paraId="42DA31BC" w14:textId="7EA79727" w:rsidR="00660031" w:rsidRPr="00B310DC" w:rsidRDefault="00660031" w:rsidP="00D94637">
          <w:pPr>
            <w:pStyle w:val="FooterText"/>
            <w:jc w:val="right"/>
          </w:pPr>
        </w:p>
      </w:tc>
    </w:tr>
    <w:tr w:rsidR="00660031" w:rsidRPr="00D94637" w14:paraId="3ED21CBD" w14:textId="77777777" w:rsidTr="00660031">
      <w:trPr>
        <w:jc w:val="center"/>
      </w:trPr>
      <w:tc>
        <w:tcPr>
          <w:tcW w:w="1774" w:type="pct"/>
          <w:shd w:val="clear" w:color="auto" w:fill="auto"/>
        </w:tcPr>
        <w:p w14:paraId="31A57188" w14:textId="52CBE134" w:rsidR="00660031" w:rsidRPr="00AD7BF2" w:rsidRDefault="00660031" w:rsidP="00D94637">
          <w:pPr>
            <w:pStyle w:val="FooterText"/>
            <w:spacing w:before="40"/>
          </w:pPr>
        </w:p>
      </w:tc>
      <w:tc>
        <w:tcPr>
          <w:tcW w:w="1455" w:type="pct"/>
          <w:gridSpan w:val="3"/>
          <w:shd w:val="clear" w:color="auto" w:fill="auto"/>
        </w:tcPr>
        <w:p w14:paraId="33012AA6" w14:textId="421597B7" w:rsidR="00660031" w:rsidRPr="00AD7BF2" w:rsidRDefault="00660031" w:rsidP="00D204D6">
          <w:pPr>
            <w:pStyle w:val="FooterText"/>
            <w:spacing w:before="40"/>
            <w:jc w:val="center"/>
          </w:pPr>
          <w:r>
            <w:t>JAI.A</w:t>
          </w:r>
        </w:p>
      </w:tc>
      <w:tc>
        <w:tcPr>
          <w:tcW w:w="742" w:type="pct"/>
          <w:shd w:val="clear" w:color="auto" w:fill="auto"/>
        </w:tcPr>
        <w:p w14:paraId="4ECDFDA4" w14:textId="5EF0D883" w:rsidR="00660031" w:rsidRPr="00D94637" w:rsidRDefault="00660031" w:rsidP="002F0099">
          <w:pPr>
            <w:pStyle w:val="FooterText"/>
            <w:jc w:val="center"/>
            <w:rPr>
              <w:b/>
              <w:position w:val="-4"/>
              <w:sz w:val="36"/>
            </w:rPr>
          </w:pPr>
          <w:r>
            <w:rPr>
              <w:b/>
              <w:position w:val="-4"/>
              <w:sz w:val="36"/>
            </w:rPr>
            <w:t>LIMITE</w:t>
          </w:r>
        </w:p>
      </w:tc>
      <w:tc>
        <w:tcPr>
          <w:tcW w:w="1029" w:type="pct"/>
          <w:gridSpan w:val="2"/>
          <w:shd w:val="clear" w:color="auto" w:fill="auto"/>
        </w:tcPr>
        <w:p w14:paraId="4F886687" w14:textId="38A2403D" w:rsidR="00660031" w:rsidRPr="000310C2" w:rsidRDefault="00660031" w:rsidP="00D94637">
          <w:pPr>
            <w:pStyle w:val="FooterText"/>
            <w:jc w:val="right"/>
            <w:rPr>
              <w:spacing w:val="-20"/>
              <w:sz w:val="16"/>
            </w:rPr>
          </w:pPr>
          <w:r>
            <w:rPr>
              <w:b/>
              <w:spacing w:val="-20"/>
              <w:position w:val="-4"/>
              <w:sz w:val="36"/>
            </w:rPr>
            <w:t>EN</w:t>
          </w:r>
        </w:p>
      </w:tc>
    </w:tr>
  </w:tbl>
  <w:p w14:paraId="3B3F4F5F" w14:textId="77777777" w:rsidR="00B80293" w:rsidRPr="00660031" w:rsidRDefault="00B80293" w:rsidP="00660031">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12C89" w14:textId="77777777" w:rsidR="0020718C" w:rsidRDefault="0020718C" w:rsidP="00507F12">
      <w:pPr>
        <w:spacing w:after="0" w:line="240" w:lineRule="auto"/>
      </w:pPr>
      <w:r>
        <w:separator/>
      </w:r>
    </w:p>
  </w:footnote>
  <w:footnote w:type="continuationSeparator" w:id="0">
    <w:p w14:paraId="290CB7FC" w14:textId="77777777" w:rsidR="0020718C" w:rsidRDefault="0020718C" w:rsidP="00507F12">
      <w:pPr>
        <w:spacing w:after="0" w:line="240" w:lineRule="auto"/>
      </w:pPr>
      <w:r>
        <w:continuationSeparator/>
      </w:r>
    </w:p>
  </w:footnote>
  <w:footnote w:type="continuationNotice" w:id="1">
    <w:p w14:paraId="224314EC" w14:textId="77777777" w:rsidR="0020718C" w:rsidRDefault="0020718C">
      <w:pPr>
        <w:spacing w:after="0" w:line="240" w:lineRule="auto"/>
      </w:pPr>
    </w:p>
  </w:footnote>
  <w:footnote w:id="2">
    <w:p w14:paraId="09ECCB50" w14:textId="77777777" w:rsidR="00B80293" w:rsidRPr="0050676E" w:rsidRDefault="00B80293" w:rsidP="0050676E">
      <w:pPr>
        <w:pStyle w:val="FootnoteText"/>
        <w:jc w:val="both"/>
        <w:rPr>
          <w:rFonts w:ascii="Book Antiqua" w:hAnsi="Book Antiqua"/>
          <w:sz w:val="18"/>
          <w:szCs w:val="18"/>
          <w:lang w:val="en-GB"/>
        </w:rPr>
      </w:pPr>
      <w:r w:rsidRPr="0050676E">
        <w:rPr>
          <w:rStyle w:val="FootnoteReference"/>
          <w:rFonts w:ascii="Book Antiqua" w:hAnsi="Book Antiqua"/>
          <w:sz w:val="18"/>
          <w:szCs w:val="18"/>
          <w:lang w:val="en-GB"/>
        </w:rPr>
        <w:footnoteRef/>
      </w:r>
      <w:r w:rsidRPr="0050676E">
        <w:rPr>
          <w:rFonts w:ascii="Book Antiqua" w:hAnsi="Book Antiqua"/>
          <w:sz w:val="18"/>
          <w:szCs w:val="18"/>
          <w:lang w:val="en-GB"/>
        </w:rPr>
        <w:t xml:space="preserve"> CDL-AD(2011)001- adopted by the Venice Commission at its 86th Plenary Session (Venice, 25-26 March 2011) </w:t>
      </w:r>
      <w:hyperlink r:id="rId1" w:history="1">
        <w:r w:rsidRPr="0050676E">
          <w:rPr>
            <w:rStyle w:val="Hyperlink"/>
            <w:rFonts w:ascii="Book Antiqua" w:hAnsi="Book Antiqua"/>
            <w:sz w:val="18"/>
            <w:szCs w:val="18"/>
            <w:lang w:val="en-GB"/>
          </w:rPr>
          <w:t>https://www.venice.coe.int/webforms/documents/default.aspx?pdffile=CDL-AD(2011)001-e</w:t>
        </w:r>
      </w:hyperlink>
    </w:p>
  </w:footnote>
  <w:footnote w:id="3">
    <w:p w14:paraId="5C40699E" w14:textId="77777777" w:rsidR="00B80293" w:rsidRPr="0050676E" w:rsidRDefault="00B80293" w:rsidP="0050676E">
      <w:pPr>
        <w:pStyle w:val="FootnoteText"/>
        <w:jc w:val="both"/>
        <w:rPr>
          <w:rFonts w:ascii="Book Antiqua" w:hAnsi="Book Antiqua"/>
          <w:sz w:val="18"/>
          <w:szCs w:val="18"/>
          <w:lang w:val="en-GB"/>
        </w:rPr>
      </w:pPr>
      <w:r w:rsidRPr="0050676E">
        <w:rPr>
          <w:rStyle w:val="FootnoteReference"/>
          <w:rFonts w:ascii="Book Antiqua" w:hAnsi="Book Antiqua"/>
          <w:sz w:val="18"/>
          <w:szCs w:val="18"/>
          <w:lang w:val="en-GB"/>
        </w:rPr>
        <w:footnoteRef/>
      </w:r>
      <w:r w:rsidRPr="0050676E">
        <w:rPr>
          <w:rFonts w:ascii="Book Antiqua" w:hAnsi="Book Antiqua"/>
          <w:sz w:val="18"/>
          <w:szCs w:val="18"/>
          <w:lang w:val="en-GB"/>
        </w:rPr>
        <w:t xml:space="preserve"> Paragraph 49 of Opinion No. 679/2012 on the Revision of the Constitution of Belgium, CDL(2012)031.</w:t>
      </w:r>
    </w:p>
    <w:p w14:paraId="2E20BD06" w14:textId="77777777" w:rsidR="00B80293" w:rsidRPr="0050676E" w:rsidRDefault="00B80293" w:rsidP="0050676E">
      <w:pPr>
        <w:pStyle w:val="FootnoteText"/>
        <w:jc w:val="both"/>
        <w:rPr>
          <w:rFonts w:ascii="Book Antiqua" w:hAnsi="Book Antiqua"/>
          <w:sz w:val="18"/>
          <w:szCs w:val="18"/>
          <w:lang w:val="en-GB"/>
        </w:rPr>
      </w:pPr>
    </w:p>
  </w:footnote>
  <w:footnote w:id="4">
    <w:p w14:paraId="390054DD" w14:textId="77777777" w:rsidR="00B80293" w:rsidRPr="0050676E" w:rsidRDefault="00B80293" w:rsidP="0050676E">
      <w:pPr>
        <w:pStyle w:val="FootnoteText"/>
        <w:jc w:val="both"/>
        <w:rPr>
          <w:rFonts w:ascii="Book Antiqua" w:hAnsi="Book Antiqua"/>
          <w:sz w:val="18"/>
          <w:szCs w:val="18"/>
          <w:lang w:val="en-GB"/>
        </w:rPr>
      </w:pPr>
      <w:r w:rsidRPr="0050676E">
        <w:rPr>
          <w:rStyle w:val="FootnoteReference"/>
          <w:rFonts w:ascii="Book Antiqua" w:hAnsi="Book Antiqua"/>
          <w:sz w:val="18"/>
          <w:szCs w:val="18"/>
          <w:lang w:val="en-GB"/>
        </w:rPr>
        <w:footnoteRef/>
      </w:r>
      <w:r w:rsidRPr="0050676E">
        <w:rPr>
          <w:rFonts w:ascii="Book Antiqua" w:hAnsi="Book Antiqua"/>
          <w:sz w:val="18"/>
          <w:szCs w:val="18"/>
          <w:lang w:val="en-GB"/>
        </w:rPr>
        <w:t xml:space="preserve"> 2013. évi XXXVI. törvény </w:t>
      </w:r>
      <w:hyperlink r:id="rId2" w:history="1">
        <w:r w:rsidRPr="0050676E">
          <w:rPr>
            <w:rStyle w:val="Hyperlink"/>
            <w:rFonts w:ascii="Book Antiqua" w:hAnsi="Book Antiqua"/>
            <w:sz w:val="18"/>
            <w:szCs w:val="18"/>
            <w:lang w:val="en-GB"/>
          </w:rPr>
          <w:t>https://net.jogtar.hu/jogszabaly?docid=A1300036.TV</w:t>
        </w:r>
      </w:hyperlink>
      <w:r w:rsidRPr="0050676E">
        <w:rPr>
          <w:rFonts w:ascii="Book Antiqua" w:hAnsi="Book Antiqua"/>
          <w:sz w:val="18"/>
          <w:szCs w:val="18"/>
          <w:lang w:val="en-GB"/>
        </w:rPr>
        <w:t xml:space="preserve"> </w:t>
      </w:r>
    </w:p>
  </w:footnote>
  <w:footnote w:id="5">
    <w:p w14:paraId="5CC47947" w14:textId="77777777" w:rsidR="00B80293" w:rsidRPr="0050676E" w:rsidRDefault="00B80293" w:rsidP="0050676E">
      <w:pPr>
        <w:pStyle w:val="FootnoteText"/>
        <w:jc w:val="both"/>
        <w:rPr>
          <w:rFonts w:ascii="Book Antiqua" w:hAnsi="Book Antiqua"/>
          <w:sz w:val="18"/>
          <w:szCs w:val="18"/>
          <w:lang w:val="en-GB"/>
        </w:rPr>
      </w:pPr>
      <w:r w:rsidRPr="0050676E">
        <w:rPr>
          <w:rStyle w:val="FootnoteReference"/>
          <w:rFonts w:ascii="Book Antiqua" w:hAnsi="Book Antiqua"/>
          <w:sz w:val="18"/>
          <w:szCs w:val="18"/>
          <w:lang w:val="en-GB"/>
        </w:rPr>
        <w:footnoteRef/>
      </w:r>
      <w:hyperlink r:id="rId3" w:history="1">
        <w:r w:rsidRPr="0050676E">
          <w:rPr>
            <w:rStyle w:val="Hyperlink"/>
            <w:rFonts w:ascii="Book Antiqua" w:hAnsi="Book Antiqua"/>
            <w:sz w:val="18"/>
            <w:szCs w:val="18"/>
            <w:lang w:val="en-GB"/>
          </w:rPr>
          <w:t>http://www.codices.coe.int/NXT/gateway.dll/CODICES/precis/eng/eur/hun/hun-2010-3-008?fn=document-frameset.htm$f=templates$3.0</w:t>
        </w:r>
      </w:hyperlink>
    </w:p>
  </w:footnote>
  <w:footnote w:id="6">
    <w:p w14:paraId="786D6E35" w14:textId="77777777" w:rsidR="00B80293" w:rsidRPr="0050676E" w:rsidRDefault="00B80293" w:rsidP="0050676E">
      <w:pPr>
        <w:spacing w:after="0" w:line="300" w:lineRule="exact"/>
        <w:jc w:val="both"/>
        <w:rPr>
          <w:rFonts w:ascii="Book Antiqua" w:eastAsia="Times New Roman" w:hAnsi="Book Antiqua"/>
          <w:bCs/>
          <w:sz w:val="18"/>
          <w:szCs w:val="18"/>
          <w:lang w:val="en-GB"/>
        </w:rPr>
      </w:pPr>
      <w:r w:rsidRPr="0050676E">
        <w:rPr>
          <w:rStyle w:val="FootnoteReference"/>
          <w:rFonts w:ascii="Book Antiqua" w:hAnsi="Book Antiqua"/>
          <w:sz w:val="18"/>
          <w:szCs w:val="18"/>
          <w:lang w:val="en-GB"/>
        </w:rPr>
        <w:footnoteRef/>
      </w:r>
      <w:r w:rsidRPr="0050676E">
        <w:rPr>
          <w:rFonts w:ascii="Book Antiqua" w:hAnsi="Book Antiqua"/>
          <w:sz w:val="18"/>
          <w:szCs w:val="18"/>
          <w:lang w:val="en-GB"/>
        </w:rPr>
        <w:t xml:space="preserve"> </w:t>
      </w:r>
      <w:hyperlink r:id="rId4" w:history="1">
        <w:r w:rsidRPr="0050676E">
          <w:rPr>
            <w:rStyle w:val="Hyperlink"/>
            <w:rFonts w:ascii="Book Antiqua" w:eastAsia="Times New Roman" w:hAnsi="Book Antiqua"/>
            <w:bCs/>
            <w:sz w:val="18"/>
            <w:szCs w:val="18"/>
            <w:lang w:val="en-GB"/>
          </w:rPr>
          <w:t>https://www.venice.coe.int/webforms/documents/default.aspx?pdffile=CDL-AD(2010)024-e</w:t>
        </w:r>
      </w:hyperlink>
    </w:p>
  </w:footnote>
  <w:footnote w:id="7">
    <w:p w14:paraId="1929EA28" w14:textId="77777777" w:rsidR="00B80293" w:rsidRPr="0050676E" w:rsidRDefault="00B80293" w:rsidP="0050676E">
      <w:pPr>
        <w:pStyle w:val="FootnoteText"/>
        <w:jc w:val="both"/>
        <w:rPr>
          <w:rFonts w:ascii="Book Antiqua" w:hAnsi="Book Antiqua"/>
          <w:sz w:val="18"/>
          <w:szCs w:val="18"/>
          <w:lang w:val="en-GB"/>
        </w:rPr>
      </w:pPr>
      <w:r w:rsidRPr="0050676E">
        <w:rPr>
          <w:rStyle w:val="FootnoteReference"/>
          <w:rFonts w:ascii="Book Antiqua" w:hAnsi="Book Antiqua"/>
          <w:sz w:val="18"/>
          <w:szCs w:val="18"/>
          <w:lang w:val="en-GB"/>
        </w:rPr>
        <w:footnoteRef/>
      </w:r>
      <w:r w:rsidRPr="0050676E">
        <w:rPr>
          <w:rFonts w:ascii="Book Antiqua" w:hAnsi="Book Antiqua"/>
          <w:sz w:val="18"/>
          <w:szCs w:val="18"/>
          <w:lang w:val="en-GB"/>
        </w:rPr>
        <w:t xml:space="preserve"> </w:t>
      </w:r>
      <w:hyperlink r:id="rId5" w:history="1">
        <w:r w:rsidRPr="0050676E">
          <w:rPr>
            <w:rStyle w:val="Hyperlink"/>
            <w:rFonts w:ascii="Book Antiqua" w:eastAsia="Times New Roman" w:hAnsi="Book Antiqua"/>
            <w:bCs/>
            <w:sz w:val="18"/>
            <w:szCs w:val="18"/>
            <w:lang w:val="en-GB"/>
          </w:rPr>
          <w:t>https://www.osce.org/odihr/77812?download=true</w:t>
        </w:r>
      </w:hyperlink>
    </w:p>
  </w:footnote>
  <w:footnote w:id="8">
    <w:p w14:paraId="7808C098"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 </w:t>
      </w:r>
      <w:r w:rsidRPr="0050676E">
        <w:rPr>
          <w:rStyle w:val="Hyperlink"/>
          <w:rFonts w:ascii="Book Antiqua" w:hAnsi="Book Antiqua"/>
          <w:sz w:val="18"/>
          <w:szCs w:val="18"/>
        </w:rPr>
        <w:t>https://ec.europa.eu/info/sites/info/files/eu28-factsheet-2018_en.pdf</w:t>
      </w:r>
    </w:p>
  </w:footnote>
  <w:footnote w:id="9">
    <w:p w14:paraId="02D16CAD"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 </w:t>
      </w:r>
      <w:r w:rsidRPr="0050676E">
        <w:rPr>
          <w:rFonts w:ascii="Book Antiqua" w:hAnsi="Book Antiqua" w:cstheme="minorBidi"/>
          <w:sz w:val="18"/>
          <w:szCs w:val="18"/>
        </w:rPr>
        <w:t>https://ec.europa.eu/info/sites/info/files/eu28-factsheet-2018_en.pdf</w:t>
      </w:r>
    </w:p>
  </w:footnote>
  <w:footnote w:id="10">
    <w:p w14:paraId="3742DA3A"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 </w:t>
      </w:r>
      <w:r w:rsidRPr="0050676E">
        <w:rPr>
          <w:rFonts w:ascii="Book Antiqua" w:hAnsi="Book Antiqua" w:cstheme="minorBidi"/>
          <w:sz w:val="18"/>
          <w:szCs w:val="18"/>
        </w:rPr>
        <w:t>https://ec.europa.eu/info/sites/info/files/report-2018-commission-staff-working-document-monitoring-application-eu-law-member-states-part3.pdf</w:t>
      </w:r>
    </w:p>
  </w:footnote>
  <w:footnote w:id="11">
    <w:p w14:paraId="1ABAB173"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http://ec.europa.eu/internal_market/scoreboard/_docs/2019/performance_by_governance_tool/infringements_en.pdf</w:t>
      </w:r>
    </w:p>
  </w:footnote>
  <w:footnote w:id="12">
    <w:p w14:paraId="0736531C"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 </w:t>
      </w:r>
      <w:r w:rsidRPr="0050676E">
        <w:rPr>
          <w:rFonts w:ascii="Book Antiqua" w:hAnsi="Book Antiqua" w:cstheme="minorBidi"/>
          <w:sz w:val="18"/>
          <w:szCs w:val="18"/>
        </w:rPr>
        <w:t>https://ec.europa.eu/info/sites/info/files/report-2018-commission-staff-working-document-monitoring-application-eu-law-member-states-part3.pdf</w:t>
      </w:r>
    </w:p>
  </w:footnote>
  <w:footnote w:id="13">
    <w:p w14:paraId="4A1F13D7" w14:textId="77777777" w:rsidR="00B80293" w:rsidRPr="0050676E" w:rsidRDefault="00B80293" w:rsidP="0050676E">
      <w:pPr>
        <w:autoSpaceDE w:val="0"/>
        <w:autoSpaceDN w:val="0"/>
        <w:adjustRightInd w:val="0"/>
        <w:spacing w:after="0" w:line="240" w:lineRule="auto"/>
        <w:jc w:val="both"/>
        <w:rPr>
          <w:rFonts w:ascii="Book Antiqua" w:eastAsiaTheme="minorHAnsi" w:hAnsi="Book Antiqua" w:cs="Tahoma"/>
          <w:sz w:val="18"/>
          <w:szCs w:val="18"/>
          <w:lang w:eastAsia="en-US"/>
        </w:rPr>
      </w:pPr>
      <w:r w:rsidRPr="0050676E">
        <w:rPr>
          <w:rStyle w:val="FootnoteReference"/>
          <w:rFonts w:ascii="Book Antiqua" w:hAnsi="Book Antiqua"/>
          <w:sz w:val="18"/>
          <w:szCs w:val="18"/>
        </w:rPr>
        <w:footnoteRef/>
      </w:r>
      <w:r w:rsidRPr="0050676E">
        <w:rPr>
          <w:rFonts w:ascii="Book Antiqua" w:hAnsi="Book Antiqua"/>
          <w:sz w:val="18"/>
          <w:szCs w:val="18"/>
        </w:rPr>
        <w:t xml:space="preserve"> https://ec.europa.eu/info/sites/info/files/justice_scoreboard_2019_en.pdf</w:t>
      </w:r>
    </w:p>
  </w:footnote>
  <w:footnote w:id="14">
    <w:p w14:paraId="25490190"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 </w:t>
      </w:r>
      <w:hyperlink r:id="rId6" w:history="1">
        <w:r w:rsidRPr="0050676E">
          <w:rPr>
            <w:rStyle w:val="Hyperlink"/>
            <w:rFonts w:ascii="Book Antiqua" w:hAnsi="Book Antiqua"/>
            <w:sz w:val="18"/>
            <w:szCs w:val="18"/>
          </w:rPr>
          <w:t>https://ec.europa.eu/commfrontoffice/publicopinion/index.cfm/survey/getsurveydetail/instruments/special/surveyky/2235</w:t>
        </w:r>
      </w:hyperlink>
      <w:r w:rsidRPr="0050676E">
        <w:rPr>
          <w:rFonts w:ascii="Book Antiqua" w:hAnsi="Book Antiqua"/>
          <w:sz w:val="18"/>
          <w:szCs w:val="18"/>
        </w:rPr>
        <w:t xml:space="preserve"> </w:t>
      </w:r>
    </w:p>
  </w:footnote>
  <w:footnote w:id="15">
    <w:p w14:paraId="7CCDBEB6" w14:textId="77777777" w:rsidR="00B80293" w:rsidRPr="0050676E" w:rsidRDefault="00B80293" w:rsidP="0050676E">
      <w:pPr>
        <w:autoSpaceDE w:val="0"/>
        <w:autoSpaceDN w:val="0"/>
        <w:adjustRightInd w:val="0"/>
        <w:spacing w:after="0" w:line="240" w:lineRule="auto"/>
        <w:jc w:val="both"/>
        <w:rPr>
          <w:rFonts w:ascii="Book Antiqua" w:eastAsiaTheme="minorHAnsi" w:hAnsi="Book Antiqua" w:cs="Tahoma"/>
          <w:sz w:val="18"/>
          <w:szCs w:val="18"/>
          <w:lang w:val="fr-FR" w:eastAsia="en-US"/>
        </w:rPr>
      </w:pPr>
      <w:r w:rsidRPr="0050676E">
        <w:rPr>
          <w:rStyle w:val="FootnoteReference"/>
          <w:rFonts w:ascii="Book Antiqua" w:hAnsi="Book Antiqua"/>
          <w:sz w:val="18"/>
          <w:szCs w:val="18"/>
        </w:rPr>
        <w:footnoteRef/>
      </w:r>
      <w:r w:rsidRPr="0050676E">
        <w:rPr>
          <w:rFonts w:ascii="Book Antiqua" w:hAnsi="Book Antiqua"/>
          <w:sz w:val="18"/>
          <w:szCs w:val="18"/>
        </w:rPr>
        <w:t xml:space="preserve"> </w:t>
      </w:r>
      <w:r w:rsidRPr="0050676E">
        <w:rPr>
          <w:rFonts w:ascii="Book Antiqua" w:eastAsiaTheme="minorHAnsi" w:hAnsi="Book Antiqua" w:cs="Tahoma"/>
          <w:color w:val="000000"/>
          <w:sz w:val="18"/>
          <w:szCs w:val="18"/>
          <w:lang w:val="fr-FR" w:eastAsia="en-US"/>
        </w:rPr>
        <w:t>Figure 5, https://ec.europa.eu/info/sites/info/files/justice_scoreboard_2019_en.pdf</w:t>
      </w:r>
    </w:p>
  </w:footnote>
  <w:footnote w:id="16">
    <w:p w14:paraId="7C1A3E4E" w14:textId="77777777" w:rsidR="00B80293" w:rsidRPr="0050676E" w:rsidRDefault="00B80293" w:rsidP="0050676E">
      <w:pPr>
        <w:pStyle w:val="FootnoteText"/>
        <w:jc w:val="both"/>
        <w:rPr>
          <w:rFonts w:ascii="Book Antiqua" w:hAnsi="Book Antiqua"/>
          <w:color w:val="000000" w:themeColor="text1"/>
          <w:sz w:val="18"/>
          <w:szCs w:val="18"/>
          <w:lang w:val="en-GB"/>
        </w:rPr>
      </w:pPr>
      <w:r w:rsidRPr="0050676E">
        <w:rPr>
          <w:rStyle w:val="FootnoteReference"/>
          <w:rFonts w:ascii="Book Antiqua" w:hAnsi="Book Antiqua"/>
          <w:color w:val="000000" w:themeColor="text1"/>
          <w:sz w:val="18"/>
          <w:szCs w:val="18"/>
          <w:lang w:val="en-GB"/>
        </w:rPr>
        <w:footnoteRef/>
      </w:r>
      <w:r w:rsidRPr="0050676E">
        <w:rPr>
          <w:rFonts w:ascii="Book Antiqua" w:hAnsi="Book Antiqua"/>
          <w:color w:val="000000" w:themeColor="text1"/>
          <w:sz w:val="18"/>
          <w:szCs w:val="18"/>
          <w:lang w:val="en-GB"/>
        </w:rPr>
        <w:t xml:space="preserve"> </w:t>
      </w:r>
      <w:r w:rsidRPr="0050676E">
        <w:rPr>
          <w:rStyle w:val="Emphasis"/>
          <w:rFonts w:ascii="Book Antiqua" w:hAnsi="Book Antiqua"/>
          <w:color w:val="000000" w:themeColor="text1"/>
          <w:sz w:val="18"/>
          <w:szCs w:val="18"/>
          <w:lang w:val="en-GB"/>
        </w:rPr>
        <w:t>Vilho Eskelinen &amp; Ors v Finland</w:t>
      </w:r>
      <w:r w:rsidRPr="0050676E">
        <w:rPr>
          <w:rFonts w:ascii="Book Antiqua" w:hAnsi="Book Antiqua"/>
          <w:color w:val="000000" w:themeColor="text1"/>
          <w:sz w:val="18"/>
          <w:szCs w:val="18"/>
          <w:lang w:val="en-GB"/>
        </w:rPr>
        <w:t xml:space="preserve"> [2007] ECHR [GC] 63235/00 (19 April 2007) at the European Court of Human Rights, where the Court considered the scope of the right to a fair hearing in the context of civil proceedings, with particular reference to the acceptable length of proceedings and the necessity of an oral hearing. See further: </w:t>
      </w:r>
    </w:p>
    <w:p w14:paraId="15D52FA6" w14:textId="77777777" w:rsidR="00B80293" w:rsidRPr="0050676E" w:rsidRDefault="00B80293" w:rsidP="0050676E">
      <w:pPr>
        <w:pStyle w:val="FootnoteText"/>
        <w:jc w:val="both"/>
        <w:rPr>
          <w:rFonts w:ascii="Book Antiqua" w:hAnsi="Book Antiqua"/>
          <w:sz w:val="18"/>
          <w:szCs w:val="18"/>
          <w:lang w:val="en-GB"/>
        </w:rPr>
      </w:pPr>
      <w:r w:rsidRPr="0050676E">
        <w:rPr>
          <w:rFonts w:ascii="Book Antiqua" w:hAnsi="Book Antiqua"/>
          <w:color w:val="000000" w:themeColor="text1"/>
          <w:sz w:val="18"/>
          <w:szCs w:val="18"/>
          <w:lang w:val="en-GB"/>
        </w:rPr>
        <w:t>https://hudoc.echr.coe.int/eng#{"languageisocode":["ENG"],"appno":["63235/00"],"documentcollectionid2":["GRANDCHAMBER"],"itemid":["001-80249"]}</w:t>
      </w:r>
    </w:p>
  </w:footnote>
  <w:footnote w:id="17">
    <w:p w14:paraId="2E91A9C7" w14:textId="77777777" w:rsidR="00B80293" w:rsidRPr="0050676E" w:rsidRDefault="00B80293" w:rsidP="0050676E">
      <w:pPr>
        <w:pStyle w:val="CommentText"/>
        <w:spacing w:after="0"/>
        <w:jc w:val="both"/>
        <w:rPr>
          <w:rFonts w:ascii="Book Antiqua" w:hAnsi="Book Antiqua"/>
          <w:sz w:val="18"/>
          <w:szCs w:val="18"/>
          <w:lang w:val="es-ES_tradnl"/>
        </w:rPr>
      </w:pPr>
      <w:r w:rsidRPr="0050676E">
        <w:rPr>
          <w:rStyle w:val="FootnoteReference"/>
          <w:rFonts w:ascii="Book Antiqua" w:hAnsi="Book Antiqua"/>
          <w:sz w:val="18"/>
          <w:szCs w:val="18"/>
          <w:lang w:val="en-GB"/>
        </w:rPr>
        <w:footnoteRef/>
      </w:r>
      <w:r w:rsidRPr="0050676E">
        <w:rPr>
          <w:rFonts w:ascii="Book Antiqua" w:hAnsi="Book Antiqua"/>
          <w:sz w:val="18"/>
          <w:szCs w:val="18"/>
          <w:lang w:val="es-ES_tradnl"/>
        </w:rPr>
        <w:t xml:space="preserve"> Opinion No. 668/2012, </w:t>
      </w:r>
      <w:hyperlink r:id="rId7" w:history="1">
        <w:r w:rsidRPr="0050676E">
          <w:rPr>
            <w:rStyle w:val="Hyperlink"/>
            <w:rFonts w:ascii="Book Antiqua" w:hAnsi="Book Antiqua"/>
            <w:sz w:val="18"/>
            <w:szCs w:val="18"/>
            <w:lang w:val="es-ES_tradnl"/>
          </w:rPr>
          <w:t>https://www.venice.coe.int/webforms/documents/default.aspx?pdffile=CDL-AD(2012)008-e</w:t>
        </w:r>
      </w:hyperlink>
    </w:p>
  </w:footnote>
  <w:footnote w:id="18">
    <w:p w14:paraId="252B1328" w14:textId="1E44C048" w:rsidR="00B80293" w:rsidRPr="0050676E" w:rsidRDefault="00B80293" w:rsidP="0050676E">
      <w:pPr>
        <w:pStyle w:val="FootnoteText"/>
        <w:jc w:val="both"/>
        <w:rPr>
          <w:rFonts w:ascii="Book Antiqua" w:hAnsi="Book Antiqua" w:cstheme="minorBidi"/>
          <w:sz w:val="18"/>
          <w:szCs w:val="18"/>
          <w:lang w:val="fr-FR"/>
        </w:rPr>
      </w:pPr>
      <w:r w:rsidRPr="0050676E">
        <w:rPr>
          <w:rFonts w:ascii="Book Antiqua" w:hAnsi="Book Antiqua" w:cstheme="minorBidi"/>
          <w:sz w:val="18"/>
          <w:szCs w:val="18"/>
          <w:vertAlign w:val="superscript"/>
          <w:lang w:val="en-GB"/>
        </w:rPr>
        <w:footnoteRef/>
      </w:r>
      <w:r>
        <w:rPr>
          <w:rFonts w:ascii="Book Antiqua" w:hAnsi="Book Antiqua" w:cstheme="minorBidi"/>
          <w:sz w:val="18"/>
          <w:szCs w:val="18"/>
          <w:vertAlign w:val="superscript"/>
          <w:lang w:val="fr-FR"/>
        </w:rPr>
        <w:t xml:space="preserve"> </w:t>
      </w:r>
      <w:r w:rsidRPr="0050676E">
        <w:rPr>
          <w:rFonts w:ascii="Book Antiqua" w:hAnsi="Book Antiqua" w:cstheme="minorBidi"/>
          <w:sz w:val="18"/>
          <w:szCs w:val="18"/>
          <w:lang w:val="fr-FR"/>
        </w:rPr>
        <w:t>Figure 55, https://ec.europa.eu/info/sites/info/files/justice_scoreboard_2019_en.pdf</w:t>
      </w:r>
    </w:p>
  </w:footnote>
  <w:footnote w:id="19">
    <w:p w14:paraId="008AB389"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 </w:t>
      </w:r>
      <w:hyperlink r:id="rId8" w:history="1">
        <w:r w:rsidRPr="0050676E">
          <w:rPr>
            <w:rStyle w:val="Hyperlink"/>
            <w:rFonts w:ascii="Book Antiqua" w:hAnsi="Book Antiqua"/>
            <w:sz w:val="18"/>
            <w:szCs w:val="18"/>
          </w:rPr>
          <w:t>https://www.asz.hu/storage/files/files/jelentes/2019/19030.pdf</w:t>
        </w:r>
      </w:hyperlink>
      <w:r w:rsidRPr="0050676E">
        <w:rPr>
          <w:rFonts w:ascii="Book Antiqua" w:hAnsi="Book Antiqua"/>
          <w:sz w:val="18"/>
          <w:szCs w:val="18"/>
        </w:rPr>
        <w:t xml:space="preserve"> </w:t>
      </w:r>
    </w:p>
  </w:footnote>
  <w:footnote w:id="20">
    <w:p w14:paraId="6416459D"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 </w:t>
      </w:r>
      <w:hyperlink r:id="rId9" w:history="1">
        <w:r w:rsidRPr="0050676E">
          <w:rPr>
            <w:rStyle w:val="Hyperlink"/>
            <w:rFonts w:ascii="Book Antiqua" w:hAnsi="Book Antiqua"/>
            <w:sz w:val="18"/>
            <w:szCs w:val="18"/>
          </w:rPr>
          <w:t>https://www.asz.hu/hu/sajtokozlemenyek/partoknak-es-partalapitvanyoknak-szervez-kepzest-az-asz</w:t>
        </w:r>
      </w:hyperlink>
    </w:p>
  </w:footnote>
  <w:footnote w:id="21">
    <w:p w14:paraId="457996BD"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 </w:t>
      </w:r>
      <w:hyperlink r:id="rId10" w:history="1">
        <w:r w:rsidRPr="0050676E">
          <w:rPr>
            <w:rStyle w:val="Hyperlink"/>
            <w:rFonts w:ascii="Book Antiqua" w:hAnsi="Book Antiqua"/>
            <w:sz w:val="18"/>
            <w:szCs w:val="18"/>
          </w:rPr>
          <w:t>https://ec.europa.eu/anti-fraud/sites/antifraud/files/olaf_report_2018_en.pdf</w:t>
        </w:r>
      </w:hyperlink>
      <w:r w:rsidRPr="0050676E">
        <w:rPr>
          <w:rFonts w:ascii="Book Antiqua" w:hAnsi="Book Antiqua"/>
          <w:sz w:val="18"/>
          <w:szCs w:val="18"/>
        </w:rPr>
        <w:t>, p. 41.</w:t>
      </w:r>
    </w:p>
  </w:footnote>
  <w:footnote w:id="22">
    <w:p w14:paraId="6498BBE1" w14:textId="77777777" w:rsidR="00B80293" w:rsidRPr="0050676E" w:rsidRDefault="00B80293" w:rsidP="0050676E">
      <w:pPr>
        <w:pStyle w:val="FootnoteText"/>
        <w:jc w:val="both"/>
        <w:rPr>
          <w:rFonts w:ascii="Book Antiqua" w:hAnsi="Book Antiqua"/>
          <w:sz w:val="18"/>
          <w:szCs w:val="18"/>
          <w:lang w:val="en-GB"/>
        </w:rPr>
      </w:pPr>
      <w:r w:rsidRPr="0050676E">
        <w:rPr>
          <w:rStyle w:val="FootnoteReference"/>
          <w:rFonts w:ascii="Book Antiqua" w:hAnsi="Book Antiqua"/>
          <w:sz w:val="18"/>
          <w:szCs w:val="18"/>
          <w:lang w:val="en-GB"/>
        </w:rPr>
        <w:footnoteRef/>
      </w:r>
      <w:r w:rsidRPr="0050676E">
        <w:rPr>
          <w:rFonts w:ascii="Book Antiqua" w:hAnsi="Book Antiqua"/>
          <w:sz w:val="18"/>
          <w:szCs w:val="18"/>
          <w:lang w:val="en-GB"/>
        </w:rPr>
        <w:t xml:space="preserve"> 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w:t>
      </w:r>
    </w:p>
  </w:footnote>
  <w:footnote w:id="23">
    <w:p w14:paraId="526CA42B"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https://ec.europa.eu/internal_market/scoreboard/performance_per_policy_area/public_procurement/index_en.htm </w:t>
      </w:r>
    </w:p>
  </w:footnote>
  <w:footnote w:id="24">
    <w:p w14:paraId="2CE2E202" w14:textId="77777777" w:rsidR="00B80293" w:rsidRPr="00B80293" w:rsidRDefault="00B80293" w:rsidP="0050676E">
      <w:pPr>
        <w:pStyle w:val="FootnoteText"/>
        <w:jc w:val="both"/>
        <w:rPr>
          <w:rFonts w:ascii="Book Antiqua" w:hAnsi="Book Antiqua"/>
          <w:sz w:val="18"/>
          <w:szCs w:val="18"/>
          <w:lang w:val="pt-PT"/>
        </w:rPr>
      </w:pPr>
      <w:r w:rsidRPr="0050676E">
        <w:rPr>
          <w:rStyle w:val="FootnoteReference"/>
          <w:rFonts w:ascii="Book Antiqua" w:hAnsi="Book Antiqua"/>
          <w:sz w:val="18"/>
          <w:szCs w:val="18"/>
          <w:lang w:val="en-GB"/>
        </w:rPr>
        <w:footnoteRef/>
      </w:r>
      <w:r w:rsidRPr="00B80293">
        <w:rPr>
          <w:rFonts w:ascii="Book Antiqua" w:hAnsi="Book Antiqua"/>
          <w:sz w:val="18"/>
          <w:szCs w:val="18"/>
          <w:lang w:val="pt-PT"/>
        </w:rPr>
        <w:t>COM(2014) 38 final; https://ec.europa.eu/home-affairs/sites/homeaffairs/files/e-library/documents/policies/organized-crime-and-human-trafficking/corruption/docs/acr_2014_en.pdf</w:t>
      </w:r>
    </w:p>
  </w:footnote>
  <w:footnote w:id="25">
    <w:p w14:paraId="17053F25"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 See EU Anti-Corruption Report 2014, COM(2014) 38 final (page 6) and the Special Eurobarometer 397 Survey (page 20, Table QB5)</w:t>
      </w:r>
    </w:p>
  </w:footnote>
  <w:footnote w:id="26">
    <w:p w14:paraId="3F542ECE"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lang w:val="en-GB"/>
        </w:rPr>
        <w:footnoteRef/>
      </w:r>
      <w:hyperlink r:id="rId11" w:history="1">
        <w:r w:rsidRPr="0050676E">
          <w:rPr>
            <w:rStyle w:val="Hyperlink"/>
            <w:rFonts w:ascii="Book Antiqua" w:hAnsi="Book Antiqua"/>
            <w:sz w:val="18"/>
            <w:szCs w:val="18"/>
          </w:rPr>
          <w:t>http://www3.weforum.org/docs/GCR2017-2018/05FullReport/TheGlobalCompetitivenessReport2017%E2%80%932018.pdf</w:t>
        </w:r>
      </w:hyperlink>
    </w:p>
  </w:footnote>
  <w:footnote w:id="27">
    <w:p w14:paraId="1B946FCD"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 </w:t>
      </w:r>
      <w:r w:rsidRPr="0050676E">
        <w:rPr>
          <w:rFonts w:ascii="Book Antiqua" w:hAnsi="Book Antiqua"/>
          <w:bCs/>
          <w:color w:val="333333"/>
          <w:sz w:val="18"/>
          <w:szCs w:val="18"/>
          <w:shd w:val="clear" w:color="auto" w:fill="FFFFFF"/>
        </w:rPr>
        <w:t>Commission Decision (EU) 2017/329 of 4 November 2016 on the measure SA.39235 (2015/C) (ex 2015/NN) implemented by Hungary on the taxation of advertisement turnover</w:t>
      </w:r>
    </w:p>
  </w:footnote>
  <w:footnote w:id="28">
    <w:p w14:paraId="2891D295" w14:textId="77777777" w:rsidR="00B80293" w:rsidRPr="0050676E" w:rsidRDefault="00B80293" w:rsidP="0050676E">
      <w:pPr>
        <w:pStyle w:val="FootnoteText"/>
        <w:jc w:val="both"/>
        <w:rPr>
          <w:rFonts w:ascii="Book Antiqua" w:hAnsi="Book Antiqua"/>
          <w:sz w:val="18"/>
          <w:szCs w:val="18"/>
          <w:lang w:val="fr-FR"/>
        </w:rPr>
      </w:pPr>
      <w:r w:rsidRPr="0050676E">
        <w:rPr>
          <w:rStyle w:val="FootnoteReference"/>
          <w:rFonts w:ascii="Book Antiqua" w:hAnsi="Book Antiqua"/>
          <w:sz w:val="18"/>
          <w:szCs w:val="18"/>
          <w:lang w:val="en-GB"/>
        </w:rPr>
        <w:footnoteRef/>
      </w:r>
      <w:r w:rsidRPr="0050676E">
        <w:rPr>
          <w:rFonts w:ascii="Book Antiqua" w:hAnsi="Book Antiqua"/>
          <w:sz w:val="18"/>
          <w:szCs w:val="18"/>
          <w:lang w:val="en-GB"/>
        </w:rPr>
        <w:t xml:space="preserve"> According to the ODIHR Limited Election Observation Mission Final Report (Warsaw, 27 June 2018), the legislation in question: (1) Act on Freedom of Information; (2) Act on Election Procedures, (3) Act on Campaign Finance. </w:t>
      </w:r>
      <w:r w:rsidRPr="0050676E">
        <w:rPr>
          <w:rFonts w:ascii="Book Antiqua" w:hAnsi="Book Antiqua"/>
          <w:sz w:val="18"/>
          <w:szCs w:val="18"/>
          <w:lang w:val="fr-FR"/>
        </w:rPr>
        <w:t xml:space="preserve">Source: </w:t>
      </w:r>
      <w:hyperlink r:id="rId12" w:history="1">
        <w:r w:rsidRPr="0050676E">
          <w:rPr>
            <w:rStyle w:val="Hyperlink"/>
            <w:rFonts w:ascii="Book Antiqua" w:hAnsi="Book Antiqua"/>
            <w:sz w:val="18"/>
            <w:szCs w:val="18"/>
            <w:lang w:val="fr-FR"/>
          </w:rPr>
          <w:t>https://www.osce.org/odihr/elections/hungary/385959?download=true</w:t>
        </w:r>
      </w:hyperlink>
    </w:p>
  </w:footnote>
  <w:footnote w:id="29">
    <w:p w14:paraId="7D486010" w14:textId="77777777" w:rsidR="00B80293" w:rsidRPr="0050676E" w:rsidRDefault="00B80293" w:rsidP="0050676E">
      <w:pPr>
        <w:pStyle w:val="FootnoteText"/>
        <w:jc w:val="both"/>
        <w:rPr>
          <w:rFonts w:ascii="Book Antiqua" w:hAnsi="Book Antiqua"/>
          <w:sz w:val="18"/>
          <w:szCs w:val="18"/>
          <w:lang w:val="fr-FR"/>
        </w:rPr>
      </w:pPr>
      <w:r w:rsidRPr="0050676E">
        <w:rPr>
          <w:rStyle w:val="FootnoteReference"/>
          <w:rFonts w:ascii="Book Antiqua" w:hAnsi="Book Antiqua"/>
          <w:sz w:val="18"/>
          <w:szCs w:val="18"/>
          <w:lang w:val="en-GB"/>
        </w:rPr>
        <w:footnoteRef/>
      </w:r>
      <w:r w:rsidRPr="0050676E">
        <w:rPr>
          <w:rFonts w:ascii="Book Antiqua" w:hAnsi="Book Antiqua"/>
          <w:sz w:val="18"/>
          <w:szCs w:val="18"/>
          <w:lang w:val="fr-FR"/>
        </w:rPr>
        <w:t>https://www.oktatas.hu/felsooktatas/kozerdeku_adatok/felsooktatasi_adatok_kozzetetele/felsooktatasi_intezmenyek/engedellyel_mukodo_kulfoldi_intezmenyek</w:t>
      </w:r>
    </w:p>
  </w:footnote>
  <w:footnote w:id="30">
    <w:p w14:paraId="5C9A4005"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 https://www.venice.coe.int/webforms/documents/default.aspx?pdffile=CDL-AD(2017)015-e</w:t>
      </w:r>
    </w:p>
  </w:footnote>
  <w:footnote w:id="31">
    <w:p w14:paraId="2496E38C" w14:textId="77777777" w:rsidR="00B80293" w:rsidRPr="0050676E" w:rsidRDefault="00B80293" w:rsidP="0050676E">
      <w:pPr>
        <w:pStyle w:val="FootnoteText"/>
        <w:jc w:val="both"/>
        <w:rPr>
          <w:rFonts w:ascii="Book Antiqua" w:hAnsi="Book Antiqua"/>
          <w:sz w:val="18"/>
          <w:szCs w:val="18"/>
          <w:lang w:val="en-GB"/>
        </w:rPr>
      </w:pPr>
      <w:r w:rsidRPr="0050676E">
        <w:rPr>
          <w:rStyle w:val="FootnoteReference"/>
          <w:rFonts w:ascii="Book Antiqua" w:hAnsi="Book Antiqua"/>
          <w:sz w:val="18"/>
          <w:szCs w:val="18"/>
          <w:lang w:val="en-GB"/>
        </w:rPr>
        <w:footnoteRef/>
      </w:r>
      <w:r w:rsidRPr="0050676E">
        <w:rPr>
          <w:rFonts w:ascii="Book Antiqua" w:hAnsi="Book Antiqua"/>
          <w:sz w:val="18"/>
          <w:szCs w:val="18"/>
          <w:lang w:val="en-GB"/>
        </w:rPr>
        <w:t xml:space="preserve"> Act CXXVI of 1996 on the Use of a Specified Portion of the Personal Income Tax </w:t>
      </w:r>
    </w:p>
  </w:footnote>
  <w:footnote w:id="32">
    <w:p w14:paraId="4BA442A2" w14:textId="77777777" w:rsidR="00B80293" w:rsidRPr="0050676E" w:rsidRDefault="00B80293" w:rsidP="0050676E">
      <w:pPr>
        <w:pStyle w:val="FootnoteText"/>
        <w:jc w:val="both"/>
        <w:rPr>
          <w:rFonts w:ascii="Book Antiqua" w:hAnsi="Book Antiqua"/>
          <w:sz w:val="18"/>
          <w:szCs w:val="18"/>
          <w:lang w:val="en-GB"/>
        </w:rPr>
      </w:pPr>
      <w:r w:rsidRPr="0050676E">
        <w:rPr>
          <w:rStyle w:val="FootnoteReference"/>
          <w:rFonts w:ascii="Book Antiqua" w:hAnsi="Book Antiqua"/>
          <w:sz w:val="18"/>
          <w:szCs w:val="18"/>
          <w:lang w:val="en-GB"/>
        </w:rPr>
        <w:footnoteRef/>
      </w:r>
      <w:r w:rsidRPr="0050676E">
        <w:rPr>
          <w:rFonts w:ascii="Book Antiqua" w:hAnsi="Book Antiqua"/>
          <w:sz w:val="18"/>
          <w:szCs w:val="18"/>
          <w:lang w:val="en-GB"/>
        </w:rPr>
        <w:t xml:space="preserve"> The glass-ceiling index is published by the Economist, is a yearly assessment of places where women have the best and worst differentiation in equal treatment at work, in countries part of the OECD. (http://business-review.eu/news/the-economists-top-best-and-worst-countries-to-be-a-working-woman-158494)</w:t>
      </w:r>
    </w:p>
  </w:footnote>
  <w:footnote w:id="33">
    <w:p w14:paraId="779D1358"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 </w:t>
      </w:r>
      <w:hyperlink r:id="rId13" w:history="1">
        <w:r w:rsidRPr="0050676E">
          <w:rPr>
            <w:rStyle w:val="Hyperlink"/>
            <w:rFonts w:ascii="Book Antiqua" w:hAnsi="Book Antiqua"/>
            <w:sz w:val="18"/>
            <w:szCs w:val="18"/>
          </w:rPr>
          <w:t>https://www.ksh.hu/docs/hun/eurostat_tablak/tabl/t2020_50.html</w:t>
        </w:r>
      </w:hyperlink>
    </w:p>
  </w:footnote>
  <w:footnote w:id="34">
    <w:p w14:paraId="64FDA58F"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 Commission Staff Wokring Document, Country Report Hungary 2019, p. 24. </w:t>
      </w:r>
    </w:p>
  </w:footnote>
  <w:footnote w:id="35">
    <w:p w14:paraId="71C5552F" w14:textId="77777777" w:rsidR="00B80293" w:rsidRPr="0050676E" w:rsidRDefault="00B80293" w:rsidP="0050676E">
      <w:pPr>
        <w:pStyle w:val="FootnoteText"/>
        <w:jc w:val="both"/>
        <w:rPr>
          <w:rFonts w:ascii="Book Antiqua" w:hAnsi="Book Antiqua"/>
          <w:sz w:val="18"/>
          <w:szCs w:val="18"/>
          <w:lang w:val="en-GB"/>
        </w:rPr>
      </w:pPr>
      <w:r w:rsidRPr="0050676E">
        <w:rPr>
          <w:rStyle w:val="FootnoteReference"/>
          <w:rFonts w:ascii="Book Antiqua" w:hAnsi="Book Antiqua"/>
          <w:sz w:val="18"/>
          <w:szCs w:val="18"/>
          <w:lang w:val="en-GB"/>
        </w:rPr>
        <w:footnoteRef/>
      </w:r>
      <w:r w:rsidRPr="0050676E">
        <w:rPr>
          <w:rFonts w:ascii="Book Antiqua" w:hAnsi="Book Antiqua"/>
          <w:sz w:val="18"/>
          <w:szCs w:val="18"/>
          <w:lang w:val="en-GB"/>
        </w:rPr>
        <w:t xml:space="preserve"> Source: Standard of living of households, CSO, 2017. In contrast to Eurostat, the CSO marks the data with the reference year of the data survey instead of the actual year when the data survey was done. I.e. The data published by CSO for 2017 are shown in the tables of Eurostat for the year 2018.</w:t>
      </w:r>
    </w:p>
  </w:footnote>
  <w:footnote w:id="36">
    <w:p w14:paraId="3A61DE0A" w14:textId="77777777" w:rsidR="00B80293" w:rsidRPr="0050676E" w:rsidRDefault="00B80293" w:rsidP="0050676E">
      <w:pPr>
        <w:pStyle w:val="FootnoteText"/>
        <w:jc w:val="both"/>
        <w:rPr>
          <w:rFonts w:ascii="Book Antiqua" w:hAnsi="Book Antiqua"/>
          <w:sz w:val="18"/>
          <w:szCs w:val="18"/>
          <w:lang w:val="en-GB"/>
        </w:rPr>
      </w:pPr>
      <w:r w:rsidRPr="0050676E">
        <w:rPr>
          <w:rStyle w:val="FootnoteReference"/>
          <w:rFonts w:ascii="Book Antiqua" w:hAnsi="Book Antiqua"/>
          <w:sz w:val="18"/>
          <w:szCs w:val="18"/>
          <w:lang w:val="en-GB"/>
        </w:rPr>
        <w:footnoteRef/>
      </w:r>
      <w:r w:rsidRPr="0050676E">
        <w:rPr>
          <w:rFonts w:ascii="Book Antiqua" w:hAnsi="Book Antiqua"/>
          <w:sz w:val="18"/>
          <w:szCs w:val="18"/>
          <w:lang w:val="en-GB"/>
        </w:rPr>
        <w:t xml:space="preserve"> EU-MIDIS II – Second European Union Minorities and Discrimination Survey, the Roma</w:t>
      </w:r>
    </w:p>
  </w:footnote>
  <w:footnote w:id="37">
    <w:p w14:paraId="57900A1C" w14:textId="77777777" w:rsidR="00B80293" w:rsidRPr="0050676E" w:rsidRDefault="00B80293" w:rsidP="0050676E">
      <w:pPr>
        <w:pStyle w:val="FootnoteText"/>
        <w:jc w:val="both"/>
        <w:rPr>
          <w:rFonts w:ascii="Book Antiqua" w:hAnsi="Book Antiqua"/>
          <w:sz w:val="18"/>
          <w:szCs w:val="18"/>
          <w:lang w:val="en-GB"/>
        </w:rPr>
      </w:pPr>
      <w:r w:rsidRPr="0050676E">
        <w:rPr>
          <w:rStyle w:val="FootnoteReference"/>
          <w:rFonts w:ascii="Book Antiqua" w:hAnsi="Book Antiqua"/>
          <w:sz w:val="18"/>
          <w:szCs w:val="18"/>
          <w:lang w:val="en-GB"/>
        </w:rPr>
        <w:footnoteRef/>
      </w:r>
      <w:r w:rsidRPr="0050676E">
        <w:rPr>
          <w:rFonts w:ascii="Book Antiqua" w:hAnsi="Book Antiqua"/>
          <w:sz w:val="18"/>
          <w:szCs w:val="18"/>
          <w:lang w:val="en-GB"/>
        </w:rPr>
        <w:t xml:space="preserve"> EU-MIDIS II, European Union Agency for Fundamental Rights, 2016</w:t>
      </w:r>
    </w:p>
  </w:footnote>
  <w:footnote w:id="38">
    <w:p w14:paraId="4BE0C444" w14:textId="77777777" w:rsidR="00B80293" w:rsidRPr="0050676E" w:rsidRDefault="00B80293" w:rsidP="0050676E">
      <w:pPr>
        <w:pStyle w:val="FootnoteText"/>
        <w:jc w:val="both"/>
        <w:rPr>
          <w:rFonts w:ascii="Book Antiqua" w:hAnsi="Book Antiqua"/>
          <w:sz w:val="18"/>
          <w:szCs w:val="18"/>
          <w:lang w:val="en-GB"/>
        </w:rPr>
      </w:pPr>
      <w:r w:rsidRPr="0050676E">
        <w:rPr>
          <w:rStyle w:val="FootnoteReference"/>
          <w:rFonts w:ascii="Book Antiqua" w:hAnsi="Book Antiqua"/>
          <w:sz w:val="18"/>
          <w:szCs w:val="18"/>
          <w:lang w:val="en-GB"/>
        </w:rPr>
        <w:footnoteRef/>
      </w:r>
      <w:r w:rsidRPr="0050676E">
        <w:rPr>
          <w:rFonts w:ascii="Book Antiqua" w:hAnsi="Book Antiqua"/>
          <w:sz w:val="18"/>
          <w:szCs w:val="18"/>
          <w:lang w:val="en-GB"/>
        </w:rPr>
        <w:t xml:space="preserve"> Government Decree No. 134/2016 of 6 October on organisations involved in the performance of state public education tasks as operators, and on the Klebelsberg Centre.</w:t>
      </w:r>
    </w:p>
  </w:footnote>
  <w:footnote w:id="39">
    <w:p w14:paraId="08D6345B"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 Indicator system of public education Hungarian Academy of Science, 2018</w:t>
      </w:r>
    </w:p>
  </w:footnote>
  <w:footnote w:id="40">
    <w:p w14:paraId="1CA33DC2" w14:textId="77777777" w:rsidR="00B80293" w:rsidRPr="0050676E" w:rsidRDefault="00B80293" w:rsidP="0050676E">
      <w:pPr>
        <w:autoSpaceDE w:val="0"/>
        <w:autoSpaceDN w:val="0"/>
        <w:adjustRightInd w:val="0"/>
        <w:spacing w:after="0" w:line="240" w:lineRule="auto"/>
        <w:jc w:val="both"/>
        <w:rPr>
          <w:rFonts w:ascii="Book Antiqua" w:hAnsi="Book Antiqua"/>
          <w:sz w:val="18"/>
          <w:szCs w:val="18"/>
          <w:lang w:val="en-GB"/>
        </w:rPr>
      </w:pPr>
      <w:r w:rsidRPr="0050676E">
        <w:rPr>
          <w:rStyle w:val="FootnoteReference"/>
          <w:rFonts w:ascii="Book Antiqua" w:hAnsi="Book Antiqua"/>
          <w:sz w:val="18"/>
          <w:szCs w:val="18"/>
          <w:lang w:val="en-GB"/>
        </w:rPr>
        <w:footnoteRef/>
      </w:r>
      <w:r w:rsidRPr="0050676E">
        <w:rPr>
          <w:rFonts w:ascii="Book Antiqua" w:hAnsi="Book Antiqua"/>
          <w:sz w:val="18"/>
          <w:szCs w:val="18"/>
          <w:lang w:val="en-GB"/>
        </w:rPr>
        <w:t xml:space="preserve"> </w:t>
      </w:r>
      <w:r w:rsidRPr="0050676E">
        <w:rPr>
          <w:rFonts w:ascii="Book Antiqua" w:hAnsi="Book Antiqua"/>
          <w:bCs/>
          <w:sz w:val="18"/>
          <w:szCs w:val="18"/>
          <w:lang w:val="en-GB"/>
        </w:rPr>
        <w:t>Council Framework Decision 2008/913/JHA of 28 November 2008 on combating certain forms and expressions of racism and xenophobia by means of criminal law (</w:t>
      </w:r>
      <w:r w:rsidRPr="0050676E">
        <w:rPr>
          <w:rFonts w:ascii="Book Antiqua" w:hAnsi="Book Antiqua"/>
          <w:iCs/>
          <w:sz w:val="18"/>
          <w:szCs w:val="18"/>
          <w:lang w:val="en-GB"/>
        </w:rPr>
        <w:t>OJ L 328, 6.12.2008, p. 55</w:t>
      </w:r>
      <w:r w:rsidRPr="0050676E">
        <w:rPr>
          <w:rFonts w:ascii="Book Antiqua" w:hAnsi="Book Antiqua"/>
          <w:bCs/>
          <w:sz w:val="18"/>
          <w:szCs w:val="18"/>
          <w:lang w:val="en-GB"/>
        </w:rPr>
        <w:t>).</w:t>
      </w:r>
    </w:p>
  </w:footnote>
  <w:footnote w:id="41">
    <w:p w14:paraId="3D8505E1" w14:textId="77777777" w:rsidR="00B80293" w:rsidRPr="0050676E" w:rsidRDefault="00B80293" w:rsidP="0050676E">
      <w:pPr>
        <w:pStyle w:val="FootnoteText"/>
        <w:jc w:val="both"/>
        <w:rPr>
          <w:rFonts w:ascii="Book Antiqua" w:hAnsi="Book Antiqua"/>
          <w:sz w:val="18"/>
          <w:szCs w:val="18"/>
          <w:lang w:val="en-GB"/>
        </w:rPr>
      </w:pPr>
      <w:r w:rsidRPr="0050676E">
        <w:rPr>
          <w:rStyle w:val="FootnoteReference"/>
          <w:rFonts w:ascii="Book Antiqua" w:hAnsi="Book Antiqua"/>
          <w:sz w:val="18"/>
          <w:szCs w:val="18"/>
          <w:lang w:val="en-GB"/>
        </w:rPr>
        <w:footnoteRef/>
      </w:r>
      <w:r w:rsidRPr="0050676E">
        <w:rPr>
          <w:rFonts w:ascii="Book Antiqua" w:hAnsi="Book Antiqua"/>
          <w:sz w:val="18"/>
          <w:szCs w:val="18"/>
          <w:lang w:val="en-GB"/>
        </w:rPr>
        <w:t xml:space="preserve"> https://www.politico.eu/article/eu-hungary-sanctions-witchhunt-budapest-viktor-orban/</w:t>
      </w:r>
    </w:p>
  </w:footnote>
  <w:footnote w:id="42">
    <w:p w14:paraId="333F70BD"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 https://rm.coe.int/special-report-further-to-a-visit-undertaken-by-a-delegation-of-the-la/1680784275</w:t>
      </w:r>
    </w:p>
  </w:footnote>
  <w:footnote w:id="43">
    <w:p w14:paraId="6B824184" w14:textId="638EFC7D" w:rsidR="00B80293" w:rsidRDefault="00B80293" w:rsidP="0050676E">
      <w:pPr>
        <w:pStyle w:val="FootnoteText"/>
        <w:jc w:val="both"/>
        <w:rPr>
          <w:rFonts w:ascii="Book Antiqua" w:hAnsi="Book Antiqua"/>
          <w:sz w:val="18"/>
          <w:szCs w:val="18"/>
          <w:lang w:val="en-GB"/>
        </w:rPr>
      </w:pPr>
      <w:r w:rsidRPr="0050676E">
        <w:rPr>
          <w:rStyle w:val="FootnoteReference"/>
          <w:rFonts w:ascii="Book Antiqua" w:hAnsi="Book Antiqua"/>
          <w:sz w:val="18"/>
          <w:szCs w:val="18"/>
          <w:lang w:val="en-GB"/>
        </w:rPr>
        <w:footnoteRef/>
      </w:r>
      <w:r w:rsidRPr="0050676E">
        <w:rPr>
          <w:rFonts w:ascii="Book Antiqua" w:hAnsi="Book Antiqua"/>
          <w:sz w:val="18"/>
          <w:szCs w:val="18"/>
          <w:lang w:val="en-GB"/>
        </w:rPr>
        <w:t>474,800 unemployed people in 2010</w:t>
      </w:r>
      <w:r>
        <w:rPr>
          <w:rFonts w:ascii="Book Antiqua" w:hAnsi="Book Antiqua"/>
          <w:sz w:val="18"/>
          <w:szCs w:val="18"/>
          <w:lang w:val="en-GB"/>
        </w:rPr>
        <w:t>:</w:t>
      </w:r>
    </w:p>
    <w:p w14:paraId="23D4E0FF" w14:textId="7F185558" w:rsidR="00B80293" w:rsidRPr="0050676E" w:rsidRDefault="00B80293" w:rsidP="0050676E">
      <w:pPr>
        <w:pStyle w:val="FootnoteText"/>
        <w:jc w:val="both"/>
        <w:rPr>
          <w:rFonts w:ascii="Book Antiqua" w:hAnsi="Book Antiqua"/>
          <w:sz w:val="18"/>
          <w:szCs w:val="18"/>
          <w:lang w:val="en-GB"/>
        </w:rPr>
      </w:pPr>
      <w:r w:rsidRPr="0050676E">
        <w:rPr>
          <w:rFonts w:ascii="Book Antiqua" w:hAnsi="Book Antiqua"/>
          <w:sz w:val="18"/>
          <w:szCs w:val="18"/>
          <w:lang w:val="en-GB"/>
        </w:rPr>
        <w:t xml:space="preserve"> </w:t>
      </w:r>
      <w:hyperlink r:id="rId14" w:history="1">
        <w:r w:rsidRPr="0050676E">
          <w:rPr>
            <w:rStyle w:val="Hyperlink"/>
            <w:rFonts w:ascii="Book Antiqua" w:hAnsi="Book Antiqua"/>
            <w:sz w:val="18"/>
            <w:szCs w:val="18"/>
            <w:lang w:val="en-GB"/>
          </w:rPr>
          <w:t>http://www.ksh.hu/docs/hun/xftp/idoszaki/munkerohelyz/munkerohelyz10.pdf</w:t>
        </w:r>
      </w:hyperlink>
    </w:p>
  </w:footnote>
  <w:footnote w:id="44">
    <w:p w14:paraId="38C8646A" w14:textId="77777777" w:rsidR="00B80293" w:rsidRPr="0050676E" w:rsidRDefault="00B80293" w:rsidP="0050676E">
      <w:pPr>
        <w:pStyle w:val="FootnoteText"/>
        <w:jc w:val="both"/>
        <w:rPr>
          <w:rFonts w:ascii="Book Antiqua" w:hAnsi="Book Antiqua"/>
          <w:sz w:val="18"/>
          <w:szCs w:val="18"/>
          <w:lang w:val="en-GB"/>
        </w:rPr>
      </w:pPr>
      <w:r w:rsidRPr="0050676E">
        <w:rPr>
          <w:rStyle w:val="FootnoteReference"/>
          <w:rFonts w:ascii="Book Antiqua" w:hAnsi="Book Antiqua"/>
          <w:sz w:val="18"/>
          <w:szCs w:val="18"/>
          <w:lang w:val="en-GB"/>
        </w:rPr>
        <w:footnoteRef/>
      </w:r>
      <w:r w:rsidRPr="0050676E">
        <w:rPr>
          <w:rFonts w:ascii="Book Antiqua" w:hAnsi="Book Antiqua"/>
          <w:sz w:val="18"/>
          <w:szCs w:val="18"/>
          <w:lang w:val="en-GB"/>
        </w:rPr>
        <w:t xml:space="preserve"> 178000 people in 2018 http://www.ksh.hu/docs/hun/xftp/idoszaki/munkerohelyz/munkerohelyz10.pdf</w:t>
      </w:r>
    </w:p>
  </w:footnote>
  <w:footnote w:id="45">
    <w:p w14:paraId="7AC0FECF"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 Country Report Hungary 2019</w:t>
      </w:r>
    </w:p>
  </w:footnote>
  <w:footnote w:id="46">
    <w:p w14:paraId="58FC5644" w14:textId="77777777" w:rsidR="00B80293" w:rsidRPr="0050676E" w:rsidRDefault="00B80293" w:rsidP="0050676E">
      <w:pPr>
        <w:pStyle w:val="FootnoteText"/>
        <w:jc w:val="both"/>
        <w:rPr>
          <w:rFonts w:ascii="Book Antiqua" w:hAnsi="Book Antiqua"/>
          <w:sz w:val="18"/>
          <w:szCs w:val="18"/>
        </w:rPr>
      </w:pPr>
      <w:r w:rsidRPr="0050676E">
        <w:rPr>
          <w:rStyle w:val="FootnoteReference"/>
          <w:rFonts w:ascii="Book Antiqua" w:hAnsi="Book Antiqua"/>
          <w:sz w:val="18"/>
          <w:szCs w:val="18"/>
        </w:rPr>
        <w:footnoteRef/>
      </w:r>
      <w:r w:rsidRPr="0050676E">
        <w:rPr>
          <w:rFonts w:ascii="Book Antiqua" w:hAnsi="Book Antiqua"/>
          <w:sz w:val="18"/>
          <w:szCs w:val="18"/>
        </w:rPr>
        <w:t xml:space="preserve"> </w:t>
      </w:r>
      <w:hyperlink r:id="rId15" w:history="1">
        <w:r w:rsidRPr="0050676E">
          <w:rPr>
            <w:rStyle w:val="Hyperlink"/>
            <w:rFonts w:ascii="Book Antiqua" w:hAnsi="Book Antiqua"/>
            <w:sz w:val="18"/>
            <w:szCs w:val="18"/>
          </w:rPr>
          <w:t>https://ec.europa.eu/eurostat/databrowser/view/tespm030/default/table?lang=en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839F" w14:textId="77777777" w:rsidR="00660031" w:rsidRPr="00660031" w:rsidRDefault="00660031" w:rsidP="00660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D985" w14:textId="5C4897E6" w:rsidR="00B80293" w:rsidRPr="00660031" w:rsidRDefault="00660031" w:rsidP="00660031">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D72B" w14:textId="760DEA70" w:rsidR="00B80293" w:rsidRPr="00660031" w:rsidRDefault="00660031" w:rsidP="00660031">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2A8E" w14:textId="77777777" w:rsidR="00B80293" w:rsidRPr="00660031" w:rsidRDefault="00B80293" w:rsidP="00660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3D4"/>
    <w:multiLevelType w:val="hybridMultilevel"/>
    <w:tmpl w:val="746CEAEE"/>
    <w:lvl w:ilvl="0" w:tplc="529E00A2">
      <w:start w:val="1"/>
      <w:numFmt w:val="bullet"/>
      <w:lvlText w:val="•"/>
      <w:lvlJc w:val="left"/>
      <w:pPr>
        <w:tabs>
          <w:tab w:val="num" w:pos="720"/>
        </w:tabs>
        <w:ind w:left="720" w:hanging="360"/>
      </w:pPr>
      <w:rPr>
        <w:rFonts w:ascii="Arial" w:hAnsi="Arial" w:hint="default"/>
      </w:rPr>
    </w:lvl>
    <w:lvl w:ilvl="1" w:tplc="80303240" w:tentative="1">
      <w:start w:val="1"/>
      <w:numFmt w:val="bullet"/>
      <w:lvlText w:val="•"/>
      <w:lvlJc w:val="left"/>
      <w:pPr>
        <w:tabs>
          <w:tab w:val="num" w:pos="1440"/>
        </w:tabs>
        <w:ind w:left="1440" w:hanging="360"/>
      </w:pPr>
      <w:rPr>
        <w:rFonts w:ascii="Arial" w:hAnsi="Arial" w:hint="default"/>
      </w:rPr>
    </w:lvl>
    <w:lvl w:ilvl="2" w:tplc="30847C9E" w:tentative="1">
      <w:start w:val="1"/>
      <w:numFmt w:val="bullet"/>
      <w:lvlText w:val="•"/>
      <w:lvlJc w:val="left"/>
      <w:pPr>
        <w:tabs>
          <w:tab w:val="num" w:pos="2160"/>
        </w:tabs>
        <w:ind w:left="2160" w:hanging="360"/>
      </w:pPr>
      <w:rPr>
        <w:rFonts w:ascii="Arial" w:hAnsi="Arial" w:hint="default"/>
      </w:rPr>
    </w:lvl>
    <w:lvl w:ilvl="3" w:tplc="536CA7EE" w:tentative="1">
      <w:start w:val="1"/>
      <w:numFmt w:val="bullet"/>
      <w:lvlText w:val="•"/>
      <w:lvlJc w:val="left"/>
      <w:pPr>
        <w:tabs>
          <w:tab w:val="num" w:pos="2880"/>
        </w:tabs>
        <w:ind w:left="2880" w:hanging="360"/>
      </w:pPr>
      <w:rPr>
        <w:rFonts w:ascii="Arial" w:hAnsi="Arial" w:hint="default"/>
      </w:rPr>
    </w:lvl>
    <w:lvl w:ilvl="4" w:tplc="F5F6617A" w:tentative="1">
      <w:start w:val="1"/>
      <w:numFmt w:val="bullet"/>
      <w:lvlText w:val="•"/>
      <w:lvlJc w:val="left"/>
      <w:pPr>
        <w:tabs>
          <w:tab w:val="num" w:pos="3600"/>
        </w:tabs>
        <w:ind w:left="3600" w:hanging="360"/>
      </w:pPr>
      <w:rPr>
        <w:rFonts w:ascii="Arial" w:hAnsi="Arial" w:hint="default"/>
      </w:rPr>
    </w:lvl>
    <w:lvl w:ilvl="5" w:tplc="159660DC" w:tentative="1">
      <w:start w:val="1"/>
      <w:numFmt w:val="bullet"/>
      <w:lvlText w:val="•"/>
      <w:lvlJc w:val="left"/>
      <w:pPr>
        <w:tabs>
          <w:tab w:val="num" w:pos="4320"/>
        </w:tabs>
        <w:ind w:left="4320" w:hanging="360"/>
      </w:pPr>
      <w:rPr>
        <w:rFonts w:ascii="Arial" w:hAnsi="Arial" w:hint="default"/>
      </w:rPr>
    </w:lvl>
    <w:lvl w:ilvl="6" w:tplc="4BF8C582" w:tentative="1">
      <w:start w:val="1"/>
      <w:numFmt w:val="bullet"/>
      <w:lvlText w:val="•"/>
      <w:lvlJc w:val="left"/>
      <w:pPr>
        <w:tabs>
          <w:tab w:val="num" w:pos="5040"/>
        </w:tabs>
        <w:ind w:left="5040" w:hanging="360"/>
      </w:pPr>
      <w:rPr>
        <w:rFonts w:ascii="Arial" w:hAnsi="Arial" w:hint="default"/>
      </w:rPr>
    </w:lvl>
    <w:lvl w:ilvl="7" w:tplc="A8AA36CC" w:tentative="1">
      <w:start w:val="1"/>
      <w:numFmt w:val="bullet"/>
      <w:lvlText w:val="•"/>
      <w:lvlJc w:val="left"/>
      <w:pPr>
        <w:tabs>
          <w:tab w:val="num" w:pos="5760"/>
        </w:tabs>
        <w:ind w:left="5760" w:hanging="360"/>
      </w:pPr>
      <w:rPr>
        <w:rFonts w:ascii="Arial" w:hAnsi="Arial" w:hint="default"/>
      </w:rPr>
    </w:lvl>
    <w:lvl w:ilvl="8" w:tplc="9B80F2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9D3F0B"/>
    <w:multiLevelType w:val="hybridMultilevel"/>
    <w:tmpl w:val="724C473E"/>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 w15:restartNumberingAfterBreak="0">
    <w:nsid w:val="19557A3C"/>
    <w:multiLevelType w:val="hybridMultilevel"/>
    <w:tmpl w:val="569C28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E3B7623"/>
    <w:multiLevelType w:val="hybridMultilevel"/>
    <w:tmpl w:val="4DB0E3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8092C63"/>
    <w:multiLevelType w:val="hybridMultilevel"/>
    <w:tmpl w:val="6E7E6F9A"/>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BF91B6E"/>
    <w:multiLevelType w:val="hybridMultilevel"/>
    <w:tmpl w:val="0D9EB69C"/>
    <w:lvl w:ilvl="0" w:tplc="96C6A810">
      <w:start w:val="1"/>
      <w:numFmt w:val="bullet"/>
      <w:lvlText w:val="-"/>
      <w:lvlJc w:val="left"/>
      <w:pPr>
        <w:tabs>
          <w:tab w:val="num" w:pos="720"/>
        </w:tabs>
        <w:ind w:left="720" w:hanging="360"/>
      </w:pPr>
      <w:rPr>
        <w:rFonts w:ascii="Times New Roman" w:eastAsiaTheme="minorEastAsia" w:hAnsi="Times New Roman" w:cs="Times New Roman" w:hint="default"/>
      </w:rPr>
    </w:lvl>
    <w:lvl w:ilvl="1" w:tplc="00E2366C" w:tentative="1">
      <w:start w:val="1"/>
      <w:numFmt w:val="bullet"/>
      <w:lvlText w:val="•"/>
      <w:lvlJc w:val="left"/>
      <w:pPr>
        <w:tabs>
          <w:tab w:val="num" w:pos="1440"/>
        </w:tabs>
        <w:ind w:left="1440" w:hanging="360"/>
      </w:pPr>
      <w:rPr>
        <w:rFonts w:ascii="Arial" w:hAnsi="Arial" w:hint="default"/>
      </w:rPr>
    </w:lvl>
    <w:lvl w:ilvl="2" w:tplc="1882B81E" w:tentative="1">
      <w:start w:val="1"/>
      <w:numFmt w:val="bullet"/>
      <w:lvlText w:val="•"/>
      <w:lvlJc w:val="left"/>
      <w:pPr>
        <w:tabs>
          <w:tab w:val="num" w:pos="2160"/>
        </w:tabs>
        <w:ind w:left="2160" w:hanging="360"/>
      </w:pPr>
      <w:rPr>
        <w:rFonts w:ascii="Arial" w:hAnsi="Arial" w:hint="default"/>
      </w:rPr>
    </w:lvl>
    <w:lvl w:ilvl="3" w:tplc="CB5E738C" w:tentative="1">
      <w:start w:val="1"/>
      <w:numFmt w:val="bullet"/>
      <w:lvlText w:val="•"/>
      <w:lvlJc w:val="left"/>
      <w:pPr>
        <w:tabs>
          <w:tab w:val="num" w:pos="2880"/>
        </w:tabs>
        <w:ind w:left="2880" w:hanging="360"/>
      </w:pPr>
      <w:rPr>
        <w:rFonts w:ascii="Arial" w:hAnsi="Arial" w:hint="default"/>
      </w:rPr>
    </w:lvl>
    <w:lvl w:ilvl="4" w:tplc="37EA72F4" w:tentative="1">
      <w:start w:val="1"/>
      <w:numFmt w:val="bullet"/>
      <w:lvlText w:val="•"/>
      <w:lvlJc w:val="left"/>
      <w:pPr>
        <w:tabs>
          <w:tab w:val="num" w:pos="3600"/>
        </w:tabs>
        <w:ind w:left="3600" w:hanging="360"/>
      </w:pPr>
      <w:rPr>
        <w:rFonts w:ascii="Arial" w:hAnsi="Arial" w:hint="default"/>
      </w:rPr>
    </w:lvl>
    <w:lvl w:ilvl="5" w:tplc="61F2F6EE" w:tentative="1">
      <w:start w:val="1"/>
      <w:numFmt w:val="bullet"/>
      <w:lvlText w:val="•"/>
      <w:lvlJc w:val="left"/>
      <w:pPr>
        <w:tabs>
          <w:tab w:val="num" w:pos="4320"/>
        </w:tabs>
        <w:ind w:left="4320" w:hanging="360"/>
      </w:pPr>
      <w:rPr>
        <w:rFonts w:ascii="Arial" w:hAnsi="Arial" w:hint="default"/>
      </w:rPr>
    </w:lvl>
    <w:lvl w:ilvl="6" w:tplc="C36469DE" w:tentative="1">
      <w:start w:val="1"/>
      <w:numFmt w:val="bullet"/>
      <w:lvlText w:val="•"/>
      <w:lvlJc w:val="left"/>
      <w:pPr>
        <w:tabs>
          <w:tab w:val="num" w:pos="5040"/>
        </w:tabs>
        <w:ind w:left="5040" w:hanging="360"/>
      </w:pPr>
      <w:rPr>
        <w:rFonts w:ascii="Arial" w:hAnsi="Arial" w:hint="default"/>
      </w:rPr>
    </w:lvl>
    <w:lvl w:ilvl="7" w:tplc="D5246D60" w:tentative="1">
      <w:start w:val="1"/>
      <w:numFmt w:val="bullet"/>
      <w:lvlText w:val="•"/>
      <w:lvlJc w:val="left"/>
      <w:pPr>
        <w:tabs>
          <w:tab w:val="num" w:pos="5760"/>
        </w:tabs>
        <w:ind w:left="5760" w:hanging="360"/>
      </w:pPr>
      <w:rPr>
        <w:rFonts w:ascii="Arial" w:hAnsi="Arial" w:hint="default"/>
      </w:rPr>
    </w:lvl>
    <w:lvl w:ilvl="8" w:tplc="7DE0A0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DE1DF5"/>
    <w:multiLevelType w:val="hybridMultilevel"/>
    <w:tmpl w:val="5D5AA3D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3186D24"/>
    <w:multiLevelType w:val="hybridMultilevel"/>
    <w:tmpl w:val="74484DEA"/>
    <w:lvl w:ilvl="0" w:tplc="040E000B">
      <w:start w:val="1"/>
      <w:numFmt w:val="bullet"/>
      <w:lvlText w:val=""/>
      <w:lvlJc w:val="left"/>
      <w:pPr>
        <w:ind w:left="720" w:hanging="360"/>
      </w:pPr>
      <w:rPr>
        <w:rFonts w:ascii="Wingdings" w:hAnsi="Wingdings" w:hint="default"/>
      </w:rPr>
    </w:lvl>
    <w:lvl w:ilvl="1" w:tplc="91584C16">
      <w:start w:val="1"/>
      <w:numFmt w:val="bullet"/>
      <w:lvlText w:val="o"/>
      <w:lvlJc w:val="left"/>
      <w:pPr>
        <w:ind w:left="1440" w:hanging="360"/>
      </w:pPr>
      <w:rPr>
        <w:rFonts w:ascii="Courier New" w:hAnsi="Courier New" w:cs="Courier New"/>
      </w:rPr>
    </w:lvl>
    <w:lvl w:ilvl="2" w:tplc="535C848E">
      <w:start w:val="1"/>
      <w:numFmt w:val="bullet"/>
      <w:lvlText w:val=""/>
      <w:lvlJc w:val="left"/>
      <w:pPr>
        <w:ind w:left="2160" w:hanging="360"/>
      </w:pPr>
      <w:rPr>
        <w:rFonts w:ascii="Wingdings" w:hAnsi="Wingdings"/>
      </w:rPr>
    </w:lvl>
    <w:lvl w:ilvl="3" w:tplc="B79C51DA">
      <w:start w:val="1"/>
      <w:numFmt w:val="bullet"/>
      <w:lvlText w:val=""/>
      <w:lvlJc w:val="left"/>
      <w:pPr>
        <w:ind w:left="2880" w:hanging="360"/>
      </w:pPr>
      <w:rPr>
        <w:rFonts w:ascii="Symbol" w:hAnsi="Symbol"/>
      </w:rPr>
    </w:lvl>
    <w:lvl w:ilvl="4" w:tplc="75ACB63C">
      <w:start w:val="1"/>
      <w:numFmt w:val="bullet"/>
      <w:lvlText w:val="o"/>
      <w:lvlJc w:val="left"/>
      <w:pPr>
        <w:ind w:left="3600" w:hanging="360"/>
      </w:pPr>
      <w:rPr>
        <w:rFonts w:ascii="Courier New" w:hAnsi="Courier New" w:cs="Courier New"/>
      </w:rPr>
    </w:lvl>
    <w:lvl w:ilvl="5" w:tplc="A42477BA">
      <w:start w:val="1"/>
      <w:numFmt w:val="bullet"/>
      <w:lvlText w:val=""/>
      <w:lvlJc w:val="left"/>
      <w:pPr>
        <w:ind w:left="4320" w:hanging="360"/>
      </w:pPr>
      <w:rPr>
        <w:rFonts w:ascii="Wingdings" w:hAnsi="Wingdings"/>
      </w:rPr>
    </w:lvl>
    <w:lvl w:ilvl="6" w:tplc="97DECC2C">
      <w:start w:val="1"/>
      <w:numFmt w:val="bullet"/>
      <w:lvlText w:val=""/>
      <w:lvlJc w:val="left"/>
      <w:pPr>
        <w:ind w:left="5040" w:hanging="360"/>
      </w:pPr>
      <w:rPr>
        <w:rFonts w:ascii="Symbol" w:hAnsi="Symbol"/>
      </w:rPr>
    </w:lvl>
    <w:lvl w:ilvl="7" w:tplc="466AC1F8">
      <w:start w:val="1"/>
      <w:numFmt w:val="bullet"/>
      <w:lvlText w:val="o"/>
      <w:lvlJc w:val="left"/>
      <w:pPr>
        <w:ind w:left="5760" w:hanging="360"/>
      </w:pPr>
      <w:rPr>
        <w:rFonts w:ascii="Courier New" w:hAnsi="Courier New" w:cs="Courier New"/>
      </w:rPr>
    </w:lvl>
    <w:lvl w:ilvl="8" w:tplc="ED905DFA">
      <w:start w:val="1"/>
      <w:numFmt w:val="bullet"/>
      <w:lvlText w:val=""/>
      <w:lvlJc w:val="left"/>
      <w:pPr>
        <w:ind w:left="6480" w:hanging="360"/>
      </w:pPr>
      <w:rPr>
        <w:rFonts w:ascii="Wingdings" w:hAnsi="Wingdings"/>
      </w:rPr>
    </w:lvl>
  </w:abstractNum>
  <w:abstractNum w:abstractNumId="8" w15:restartNumberingAfterBreak="0">
    <w:nsid w:val="34D05F9B"/>
    <w:multiLevelType w:val="hybridMultilevel"/>
    <w:tmpl w:val="26423DB6"/>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9" w15:restartNumberingAfterBreak="0">
    <w:nsid w:val="3BAF6F20"/>
    <w:multiLevelType w:val="hybridMultilevel"/>
    <w:tmpl w:val="1310BA5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463B0B93"/>
    <w:multiLevelType w:val="hybridMultilevel"/>
    <w:tmpl w:val="9B72FA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6671071"/>
    <w:multiLevelType w:val="hybridMultilevel"/>
    <w:tmpl w:val="E0AE2B44"/>
    <w:lvl w:ilvl="0" w:tplc="96C6A810">
      <w:start w:val="1"/>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ABC639D"/>
    <w:multiLevelType w:val="hybridMultilevel"/>
    <w:tmpl w:val="A61E5F30"/>
    <w:lvl w:ilvl="0" w:tplc="0538900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4DE76BE7"/>
    <w:multiLevelType w:val="hybridMultilevel"/>
    <w:tmpl w:val="0980F16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E67119C"/>
    <w:multiLevelType w:val="multilevel"/>
    <w:tmpl w:val="9BC69D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36A541A"/>
    <w:multiLevelType w:val="hybridMultilevel"/>
    <w:tmpl w:val="787A8120"/>
    <w:lvl w:ilvl="0" w:tplc="040E0001">
      <w:start w:val="1"/>
      <w:numFmt w:val="bullet"/>
      <w:lvlText w:val=""/>
      <w:lvlJc w:val="left"/>
      <w:pPr>
        <w:ind w:left="960" w:hanging="360"/>
      </w:pPr>
      <w:rPr>
        <w:rFonts w:ascii="Symbol" w:hAnsi="Symbol" w:hint="default"/>
      </w:rPr>
    </w:lvl>
    <w:lvl w:ilvl="1" w:tplc="040E0003">
      <w:start w:val="1"/>
      <w:numFmt w:val="bullet"/>
      <w:lvlText w:val="o"/>
      <w:lvlJc w:val="left"/>
      <w:pPr>
        <w:ind w:left="1680" w:hanging="360"/>
      </w:pPr>
      <w:rPr>
        <w:rFonts w:ascii="Courier New" w:hAnsi="Courier New" w:cs="Courier New" w:hint="default"/>
      </w:rPr>
    </w:lvl>
    <w:lvl w:ilvl="2" w:tplc="040E0005">
      <w:start w:val="1"/>
      <w:numFmt w:val="bullet"/>
      <w:lvlText w:val=""/>
      <w:lvlJc w:val="left"/>
      <w:pPr>
        <w:ind w:left="2400" w:hanging="360"/>
      </w:pPr>
      <w:rPr>
        <w:rFonts w:ascii="Wingdings" w:hAnsi="Wingdings" w:hint="default"/>
      </w:rPr>
    </w:lvl>
    <w:lvl w:ilvl="3" w:tplc="040E0001">
      <w:start w:val="1"/>
      <w:numFmt w:val="bullet"/>
      <w:lvlText w:val=""/>
      <w:lvlJc w:val="left"/>
      <w:pPr>
        <w:ind w:left="3120" w:hanging="360"/>
      </w:pPr>
      <w:rPr>
        <w:rFonts w:ascii="Symbol" w:hAnsi="Symbol" w:hint="default"/>
      </w:rPr>
    </w:lvl>
    <w:lvl w:ilvl="4" w:tplc="040E0003">
      <w:start w:val="1"/>
      <w:numFmt w:val="bullet"/>
      <w:lvlText w:val="o"/>
      <w:lvlJc w:val="left"/>
      <w:pPr>
        <w:ind w:left="3840" w:hanging="360"/>
      </w:pPr>
      <w:rPr>
        <w:rFonts w:ascii="Courier New" w:hAnsi="Courier New" w:cs="Courier New" w:hint="default"/>
      </w:rPr>
    </w:lvl>
    <w:lvl w:ilvl="5" w:tplc="040E0005">
      <w:start w:val="1"/>
      <w:numFmt w:val="bullet"/>
      <w:lvlText w:val=""/>
      <w:lvlJc w:val="left"/>
      <w:pPr>
        <w:ind w:left="4560" w:hanging="360"/>
      </w:pPr>
      <w:rPr>
        <w:rFonts w:ascii="Wingdings" w:hAnsi="Wingdings" w:hint="default"/>
      </w:rPr>
    </w:lvl>
    <w:lvl w:ilvl="6" w:tplc="040E0001">
      <w:start w:val="1"/>
      <w:numFmt w:val="bullet"/>
      <w:lvlText w:val=""/>
      <w:lvlJc w:val="left"/>
      <w:pPr>
        <w:ind w:left="5280" w:hanging="360"/>
      </w:pPr>
      <w:rPr>
        <w:rFonts w:ascii="Symbol" w:hAnsi="Symbol" w:hint="default"/>
      </w:rPr>
    </w:lvl>
    <w:lvl w:ilvl="7" w:tplc="040E0003">
      <w:start w:val="1"/>
      <w:numFmt w:val="bullet"/>
      <w:lvlText w:val="o"/>
      <w:lvlJc w:val="left"/>
      <w:pPr>
        <w:ind w:left="6000" w:hanging="360"/>
      </w:pPr>
      <w:rPr>
        <w:rFonts w:ascii="Courier New" w:hAnsi="Courier New" w:cs="Courier New" w:hint="default"/>
      </w:rPr>
    </w:lvl>
    <w:lvl w:ilvl="8" w:tplc="040E0005">
      <w:start w:val="1"/>
      <w:numFmt w:val="bullet"/>
      <w:lvlText w:val=""/>
      <w:lvlJc w:val="left"/>
      <w:pPr>
        <w:ind w:left="6720" w:hanging="360"/>
      </w:pPr>
      <w:rPr>
        <w:rFonts w:ascii="Wingdings" w:hAnsi="Wingdings" w:hint="default"/>
      </w:rPr>
    </w:lvl>
  </w:abstractNum>
  <w:abstractNum w:abstractNumId="16" w15:restartNumberingAfterBreak="0">
    <w:nsid w:val="53896738"/>
    <w:multiLevelType w:val="hybridMultilevel"/>
    <w:tmpl w:val="72243D26"/>
    <w:lvl w:ilvl="0" w:tplc="5500418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5D92AEC"/>
    <w:multiLevelType w:val="hybridMultilevel"/>
    <w:tmpl w:val="97FC237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58422FB2"/>
    <w:multiLevelType w:val="hybridMultilevel"/>
    <w:tmpl w:val="E38886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C807541"/>
    <w:multiLevelType w:val="hybridMultilevel"/>
    <w:tmpl w:val="3516E2B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5CDA6308"/>
    <w:multiLevelType w:val="hybridMultilevel"/>
    <w:tmpl w:val="47841B1A"/>
    <w:lvl w:ilvl="0" w:tplc="CFFEC1E6">
      <w:start w:val="1"/>
      <w:numFmt w:val="bullet"/>
      <w:lvlText w:val="•"/>
      <w:lvlJc w:val="left"/>
      <w:pPr>
        <w:tabs>
          <w:tab w:val="num" w:pos="720"/>
        </w:tabs>
        <w:ind w:left="720" w:hanging="360"/>
      </w:pPr>
      <w:rPr>
        <w:rFonts w:ascii="Arial" w:hAnsi="Arial" w:hint="default"/>
      </w:rPr>
    </w:lvl>
    <w:lvl w:ilvl="1" w:tplc="392CE012" w:tentative="1">
      <w:start w:val="1"/>
      <w:numFmt w:val="bullet"/>
      <w:lvlText w:val="•"/>
      <w:lvlJc w:val="left"/>
      <w:pPr>
        <w:tabs>
          <w:tab w:val="num" w:pos="1440"/>
        </w:tabs>
        <w:ind w:left="1440" w:hanging="360"/>
      </w:pPr>
      <w:rPr>
        <w:rFonts w:ascii="Arial" w:hAnsi="Arial" w:hint="default"/>
      </w:rPr>
    </w:lvl>
    <w:lvl w:ilvl="2" w:tplc="CC4E5730" w:tentative="1">
      <w:start w:val="1"/>
      <w:numFmt w:val="bullet"/>
      <w:lvlText w:val="•"/>
      <w:lvlJc w:val="left"/>
      <w:pPr>
        <w:tabs>
          <w:tab w:val="num" w:pos="2160"/>
        </w:tabs>
        <w:ind w:left="2160" w:hanging="360"/>
      </w:pPr>
      <w:rPr>
        <w:rFonts w:ascii="Arial" w:hAnsi="Arial" w:hint="default"/>
      </w:rPr>
    </w:lvl>
    <w:lvl w:ilvl="3" w:tplc="1FDED90C" w:tentative="1">
      <w:start w:val="1"/>
      <w:numFmt w:val="bullet"/>
      <w:lvlText w:val="•"/>
      <w:lvlJc w:val="left"/>
      <w:pPr>
        <w:tabs>
          <w:tab w:val="num" w:pos="2880"/>
        </w:tabs>
        <w:ind w:left="2880" w:hanging="360"/>
      </w:pPr>
      <w:rPr>
        <w:rFonts w:ascii="Arial" w:hAnsi="Arial" w:hint="default"/>
      </w:rPr>
    </w:lvl>
    <w:lvl w:ilvl="4" w:tplc="3662B1B8" w:tentative="1">
      <w:start w:val="1"/>
      <w:numFmt w:val="bullet"/>
      <w:lvlText w:val="•"/>
      <w:lvlJc w:val="left"/>
      <w:pPr>
        <w:tabs>
          <w:tab w:val="num" w:pos="3600"/>
        </w:tabs>
        <w:ind w:left="3600" w:hanging="360"/>
      </w:pPr>
      <w:rPr>
        <w:rFonts w:ascii="Arial" w:hAnsi="Arial" w:hint="default"/>
      </w:rPr>
    </w:lvl>
    <w:lvl w:ilvl="5" w:tplc="6B10CE32" w:tentative="1">
      <w:start w:val="1"/>
      <w:numFmt w:val="bullet"/>
      <w:lvlText w:val="•"/>
      <w:lvlJc w:val="left"/>
      <w:pPr>
        <w:tabs>
          <w:tab w:val="num" w:pos="4320"/>
        </w:tabs>
        <w:ind w:left="4320" w:hanging="360"/>
      </w:pPr>
      <w:rPr>
        <w:rFonts w:ascii="Arial" w:hAnsi="Arial" w:hint="default"/>
      </w:rPr>
    </w:lvl>
    <w:lvl w:ilvl="6" w:tplc="E220A3FE" w:tentative="1">
      <w:start w:val="1"/>
      <w:numFmt w:val="bullet"/>
      <w:lvlText w:val="•"/>
      <w:lvlJc w:val="left"/>
      <w:pPr>
        <w:tabs>
          <w:tab w:val="num" w:pos="5040"/>
        </w:tabs>
        <w:ind w:left="5040" w:hanging="360"/>
      </w:pPr>
      <w:rPr>
        <w:rFonts w:ascii="Arial" w:hAnsi="Arial" w:hint="default"/>
      </w:rPr>
    </w:lvl>
    <w:lvl w:ilvl="7" w:tplc="C0D0844C" w:tentative="1">
      <w:start w:val="1"/>
      <w:numFmt w:val="bullet"/>
      <w:lvlText w:val="•"/>
      <w:lvlJc w:val="left"/>
      <w:pPr>
        <w:tabs>
          <w:tab w:val="num" w:pos="5760"/>
        </w:tabs>
        <w:ind w:left="5760" w:hanging="360"/>
      </w:pPr>
      <w:rPr>
        <w:rFonts w:ascii="Arial" w:hAnsi="Arial" w:hint="default"/>
      </w:rPr>
    </w:lvl>
    <w:lvl w:ilvl="8" w:tplc="E24872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0F3AA6"/>
    <w:multiLevelType w:val="hybridMultilevel"/>
    <w:tmpl w:val="DBF01B3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2" w15:restartNumberingAfterBreak="0">
    <w:nsid w:val="5E594F6E"/>
    <w:multiLevelType w:val="hybridMultilevel"/>
    <w:tmpl w:val="03F29B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606D0B39"/>
    <w:multiLevelType w:val="hybridMultilevel"/>
    <w:tmpl w:val="EE3E8284"/>
    <w:lvl w:ilvl="0" w:tplc="844E4214">
      <w:start w:val="1"/>
      <w:numFmt w:val="decimal"/>
      <w:lvlText w:val="%1."/>
      <w:lvlJc w:val="left"/>
      <w:pPr>
        <w:ind w:left="360" w:hanging="360"/>
      </w:pPr>
      <w:rPr>
        <w:b w:val="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4" w15:restartNumberingAfterBreak="0">
    <w:nsid w:val="61B22E89"/>
    <w:multiLevelType w:val="hybridMultilevel"/>
    <w:tmpl w:val="0B5E72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5897C64"/>
    <w:multiLevelType w:val="hybridMultilevel"/>
    <w:tmpl w:val="347A7958"/>
    <w:lvl w:ilvl="0" w:tplc="882455EE">
      <w:start w:val="1"/>
      <w:numFmt w:val="bullet"/>
      <w:lvlText w:val="•"/>
      <w:lvlJc w:val="left"/>
      <w:pPr>
        <w:tabs>
          <w:tab w:val="num" w:pos="720"/>
        </w:tabs>
        <w:ind w:left="720" w:hanging="360"/>
      </w:pPr>
      <w:rPr>
        <w:rFonts w:ascii="Arial" w:hAnsi="Arial" w:hint="default"/>
      </w:rPr>
    </w:lvl>
    <w:lvl w:ilvl="1" w:tplc="00E2366C" w:tentative="1">
      <w:start w:val="1"/>
      <w:numFmt w:val="bullet"/>
      <w:lvlText w:val="•"/>
      <w:lvlJc w:val="left"/>
      <w:pPr>
        <w:tabs>
          <w:tab w:val="num" w:pos="1440"/>
        </w:tabs>
        <w:ind w:left="1440" w:hanging="360"/>
      </w:pPr>
      <w:rPr>
        <w:rFonts w:ascii="Arial" w:hAnsi="Arial" w:hint="default"/>
      </w:rPr>
    </w:lvl>
    <w:lvl w:ilvl="2" w:tplc="1882B81E" w:tentative="1">
      <w:start w:val="1"/>
      <w:numFmt w:val="bullet"/>
      <w:lvlText w:val="•"/>
      <w:lvlJc w:val="left"/>
      <w:pPr>
        <w:tabs>
          <w:tab w:val="num" w:pos="2160"/>
        </w:tabs>
        <w:ind w:left="2160" w:hanging="360"/>
      </w:pPr>
      <w:rPr>
        <w:rFonts w:ascii="Arial" w:hAnsi="Arial" w:hint="default"/>
      </w:rPr>
    </w:lvl>
    <w:lvl w:ilvl="3" w:tplc="CB5E738C" w:tentative="1">
      <w:start w:val="1"/>
      <w:numFmt w:val="bullet"/>
      <w:lvlText w:val="•"/>
      <w:lvlJc w:val="left"/>
      <w:pPr>
        <w:tabs>
          <w:tab w:val="num" w:pos="2880"/>
        </w:tabs>
        <w:ind w:left="2880" w:hanging="360"/>
      </w:pPr>
      <w:rPr>
        <w:rFonts w:ascii="Arial" w:hAnsi="Arial" w:hint="default"/>
      </w:rPr>
    </w:lvl>
    <w:lvl w:ilvl="4" w:tplc="37EA72F4" w:tentative="1">
      <w:start w:val="1"/>
      <w:numFmt w:val="bullet"/>
      <w:lvlText w:val="•"/>
      <w:lvlJc w:val="left"/>
      <w:pPr>
        <w:tabs>
          <w:tab w:val="num" w:pos="3600"/>
        </w:tabs>
        <w:ind w:left="3600" w:hanging="360"/>
      </w:pPr>
      <w:rPr>
        <w:rFonts w:ascii="Arial" w:hAnsi="Arial" w:hint="default"/>
      </w:rPr>
    </w:lvl>
    <w:lvl w:ilvl="5" w:tplc="61F2F6EE" w:tentative="1">
      <w:start w:val="1"/>
      <w:numFmt w:val="bullet"/>
      <w:lvlText w:val="•"/>
      <w:lvlJc w:val="left"/>
      <w:pPr>
        <w:tabs>
          <w:tab w:val="num" w:pos="4320"/>
        </w:tabs>
        <w:ind w:left="4320" w:hanging="360"/>
      </w:pPr>
      <w:rPr>
        <w:rFonts w:ascii="Arial" w:hAnsi="Arial" w:hint="default"/>
      </w:rPr>
    </w:lvl>
    <w:lvl w:ilvl="6" w:tplc="C36469DE" w:tentative="1">
      <w:start w:val="1"/>
      <w:numFmt w:val="bullet"/>
      <w:lvlText w:val="•"/>
      <w:lvlJc w:val="left"/>
      <w:pPr>
        <w:tabs>
          <w:tab w:val="num" w:pos="5040"/>
        </w:tabs>
        <w:ind w:left="5040" w:hanging="360"/>
      </w:pPr>
      <w:rPr>
        <w:rFonts w:ascii="Arial" w:hAnsi="Arial" w:hint="default"/>
      </w:rPr>
    </w:lvl>
    <w:lvl w:ilvl="7" w:tplc="D5246D60" w:tentative="1">
      <w:start w:val="1"/>
      <w:numFmt w:val="bullet"/>
      <w:lvlText w:val="•"/>
      <w:lvlJc w:val="left"/>
      <w:pPr>
        <w:tabs>
          <w:tab w:val="num" w:pos="5760"/>
        </w:tabs>
        <w:ind w:left="5760" w:hanging="360"/>
      </w:pPr>
      <w:rPr>
        <w:rFonts w:ascii="Arial" w:hAnsi="Arial" w:hint="default"/>
      </w:rPr>
    </w:lvl>
    <w:lvl w:ilvl="8" w:tplc="7DE0A06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E234AB"/>
    <w:multiLevelType w:val="hybridMultilevel"/>
    <w:tmpl w:val="84AE925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6CFD69DD"/>
    <w:multiLevelType w:val="hybridMultilevel"/>
    <w:tmpl w:val="48B23FC6"/>
    <w:lvl w:ilvl="0" w:tplc="FDAC544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71D07F94"/>
    <w:multiLevelType w:val="hybridMultilevel"/>
    <w:tmpl w:val="29D08E8E"/>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9" w15:restartNumberingAfterBreak="0">
    <w:nsid w:val="72851E6E"/>
    <w:multiLevelType w:val="hybridMultilevel"/>
    <w:tmpl w:val="58481E3E"/>
    <w:lvl w:ilvl="0" w:tplc="7034E93A">
      <w:start w:val="33"/>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C67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617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FE8B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10A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493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241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BA7E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76D7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8AC3C4F"/>
    <w:multiLevelType w:val="hybridMultilevel"/>
    <w:tmpl w:val="E260006E"/>
    <w:lvl w:ilvl="0" w:tplc="96C6A810">
      <w:start w:val="1"/>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B357BBD"/>
    <w:multiLevelType w:val="hybridMultilevel"/>
    <w:tmpl w:val="AF7CC204"/>
    <w:lvl w:ilvl="0" w:tplc="C3868AF0">
      <w:start w:val="1"/>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6"/>
  </w:num>
  <w:num w:numId="4">
    <w:abstractNumId w:val="28"/>
  </w:num>
  <w:num w:numId="5">
    <w:abstractNumId w:val="22"/>
  </w:num>
  <w:num w:numId="6">
    <w:abstractNumId w:val="14"/>
  </w:num>
  <w:num w:numId="7">
    <w:abstractNumId w:val="1"/>
  </w:num>
  <w:num w:numId="8">
    <w:abstractNumId w:val="21"/>
  </w:num>
  <w:num w:numId="9">
    <w:abstractNumId w:val="17"/>
  </w:num>
  <w:num w:numId="10">
    <w:abstractNumId w:val="17"/>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18"/>
  </w:num>
  <w:num w:numId="15">
    <w:abstractNumId w:val="29"/>
  </w:num>
  <w:num w:numId="16">
    <w:abstractNumId w:val="15"/>
  </w:num>
  <w:num w:numId="17">
    <w:abstractNumId w:val="9"/>
  </w:num>
  <w:num w:numId="18">
    <w:abstractNumId w:val="12"/>
  </w:num>
  <w:num w:numId="19">
    <w:abstractNumId w:val="31"/>
  </w:num>
  <w:num w:numId="20">
    <w:abstractNumId w:val="4"/>
  </w:num>
  <w:num w:numId="21">
    <w:abstractNumId w:val="19"/>
  </w:num>
  <w:num w:numId="22">
    <w:abstractNumId w:val="11"/>
  </w:num>
  <w:num w:numId="23">
    <w:abstractNumId w:val="16"/>
  </w:num>
  <w:num w:numId="24">
    <w:abstractNumId w:val="10"/>
  </w:num>
  <w:num w:numId="25">
    <w:abstractNumId w:val="7"/>
  </w:num>
  <w:num w:numId="26">
    <w:abstractNumId w:val="0"/>
  </w:num>
  <w:num w:numId="27">
    <w:abstractNumId w:val="2"/>
  </w:num>
  <w:num w:numId="28">
    <w:abstractNumId w:val="20"/>
  </w:num>
  <w:num w:numId="29">
    <w:abstractNumId w:val="25"/>
  </w:num>
  <w:num w:numId="30">
    <w:abstractNumId w:val="24"/>
  </w:num>
  <w:num w:numId="31">
    <w:abstractNumId w:val="5"/>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yMDMztzA3NzEytzRW0lEKTi0uzszPAykwrAUAzLMXbCwAAAA="/>
    <w:docVar w:name="Council" w:val="true"/>
    <w:docVar w:name="CoverPageOnWordDoc" w:val="true"/>
    <w:docVar w:name="DocuWriteMetaData" w:val="&lt;metadataset docuwriteversion=&quot;4.3.4&quot; technicalblockguid=&quot;5696374532535929176&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9-12&lt;/text&gt;_x000d__x000a_  &lt;/metadata&gt;_x000d__x000a_  &lt;metadata key=&quot;md_Prefix&quot;&gt;_x000d__x000a_    &lt;text&gt;&lt;/text&gt;_x000d__x000a_  &lt;/metadata&gt;_x000d__x000a_  &lt;metadata key=&quot;md_DocumentNumber&quot;&gt;_x000d__x000a_    &lt;text&gt;12133&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JAI 921&lt;/text&gt;_x000d__x000a_      &lt;text&gt;FREMP 116&lt;/text&gt;_x000d__x000a_      &lt;text&gt;POLGEN 155&lt;/text&gt;_x000d__x000a_      &lt;text&gt;AG 3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902(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xaml text=&quot;Hungarian Delagation&quot;&gt;&amp;lt;FlowDocument PagePadding=&quot;5,0,5,0&quot; AllowDrop=&quot;True&quot; xmlns=&quot;http://schemas.microsoft.com/winfx/2006/xaml/presentation&quot;&amp;gt;&amp;lt;Paragraph&amp;gt;Hungarian Delagation&amp;lt;/Paragraph&amp;gt;&amp;lt;/FlowDocument&amp;gt;&lt;/xaml&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Information Note to the General Affairs Council of the European Union by the Hungarian Government on the Resolution on Hungary adopted by the European Parliament on 12 September 2018&quot;&gt;&amp;lt;FlowDocument FontFamily=&quot;Segoe UI&quot; FontSize=&quot;12&quot; LineHeight=&quot;6&quot; PageWidth=&quot;329&quot; PagePadding=&quot;0,0,0,0&quot; AllowDrop=&quot;False&quot; xmlns=&quot;http://schemas.microsoft.com/winfx/2006/xaml/presentation&quot;&amp;gt;&amp;lt;Paragraph LineHeight=&quot;6&quot; FontFamily=&quot;Arial Unicode MS&quot; FontSize=&quot;12&quot;&amp;gt;&amp;lt;Run xml:lang=&quot;fr-be&quot;&amp;gt;I&amp;lt;/Run&amp;gt;nformation Note to the General Affairs Council of the European Union by the Hungarian Government on the Resolution on Hungary adopted by the European Parliament on 12 September 2018&amp;lt;/Paragraph&amp;gt;&amp;lt;/FlowDocument&amp;gt;&lt;/xaml&gt;_x000d__x000a_  &lt;/metadata&gt;_x000d__x000a_  &lt;metadata key=&quot;md_SubjectFootnote&quot; /&gt;_x000d__x000a_  &lt;metadata key=&quot;md_DG&quot;&gt;_x000d__x000a_    &lt;text&gt;JAI.A&lt;/text&gt;_x000d__x000a_  &lt;/metadata&gt;_x000d__x000a_  &lt;metadata key=&quot;md_Initials&quot;&gt;_x000d__x000a_    &lt;text&gt;GSC/e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true&lt;/text&gt;_x000d__x000a_  &lt;/metadata&gt;_x000d__x000a_  &lt;metadata key=&quot;md_SourceDocLanguage&quot;&gt;_x000d__x000a_    &lt;text&gt;HU&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DocType" w:val="Normal"/>
  </w:docVars>
  <w:rsids>
    <w:rsidRoot w:val="00507F12"/>
    <w:rsid w:val="00000B21"/>
    <w:rsid w:val="00001678"/>
    <w:rsid w:val="00001B16"/>
    <w:rsid w:val="000036F5"/>
    <w:rsid w:val="00003817"/>
    <w:rsid w:val="000046DA"/>
    <w:rsid w:val="000052D1"/>
    <w:rsid w:val="00005346"/>
    <w:rsid w:val="00005D76"/>
    <w:rsid w:val="000067E4"/>
    <w:rsid w:val="00006F80"/>
    <w:rsid w:val="00007744"/>
    <w:rsid w:val="00007AA2"/>
    <w:rsid w:val="00010AA7"/>
    <w:rsid w:val="00010DEA"/>
    <w:rsid w:val="00010E65"/>
    <w:rsid w:val="0001174F"/>
    <w:rsid w:val="0001271B"/>
    <w:rsid w:val="00012784"/>
    <w:rsid w:val="0001455F"/>
    <w:rsid w:val="000147B4"/>
    <w:rsid w:val="000148E7"/>
    <w:rsid w:val="000167E1"/>
    <w:rsid w:val="0001736D"/>
    <w:rsid w:val="00017A1D"/>
    <w:rsid w:val="000217B0"/>
    <w:rsid w:val="00022C36"/>
    <w:rsid w:val="00023453"/>
    <w:rsid w:val="0002371A"/>
    <w:rsid w:val="00023C41"/>
    <w:rsid w:val="00023DF0"/>
    <w:rsid w:val="0002402F"/>
    <w:rsid w:val="000244BF"/>
    <w:rsid w:val="000250CC"/>
    <w:rsid w:val="00025A08"/>
    <w:rsid w:val="00025DC2"/>
    <w:rsid w:val="00026012"/>
    <w:rsid w:val="000262F6"/>
    <w:rsid w:val="00026E5B"/>
    <w:rsid w:val="00030168"/>
    <w:rsid w:val="0003077F"/>
    <w:rsid w:val="00030DEA"/>
    <w:rsid w:val="00031001"/>
    <w:rsid w:val="00031CE0"/>
    <w:rsid w:val="0003276A"/>
    <w:rsid w:val="000332A4"/>
    <w:rsid w:val="000335DA"/>
    <w:rsid w:val="0003383B"/>
    <w:rsid w:val="000339C8"/>
    <w:rsid w:val="00033A5E"/>
    <w:rsid w:val="00033FDD"/>
    <w:rsid w:val="000342F3"/>
    <w:rsid w:val="00034CED"/>
    <w:rsid w:val="00034D2E"/>
    <w:rsid w:val="00035D7D"/>
    <w:rsid w:val="0003639A"/>
    <w:rsid w:val="00036CC2"/>
    <w:rsid w:val="00040B47"/>
    <w:rsid w:val="000419DE"/>
    <w:rsid w:val="000424EA"/>
    <w:rsid w:val="000430F4"/>
    <w:rsid w:val="00046CB7"/>
    <w:rsid w:val="000470D9"/>
    <w:rsid w:val="00047955"/>
    <w:rsid w:val="00047D64"/>
    <w:rsid w:val="000505B5"/>
    <w:rsid w:val="00050EAA"/>
    <w:rsid w:val="000525E1"/>
    <w:rsid w:val="00052B15"/>
    <w:rsid w:val="00053185"/>
    <w:rsid w:val="000537BF"/>
    <w:rsid w:val="00053E89"/>
    <w:rsid w:val="00054E22"/>
    <w:rsid w:val="000552F4"/>
    <w:rsid w:val="00055FC3"/>
    <w:rsid w:val="00056114"/>
    <w:rsid w:val="000564B3"/>
    <w:rsid w:val="00057BA9"/>
    <w:rsid w:val="00060055"/>
    <w:rsid w:val="000605E1"/>
    <w:rsid w:val="0006133D"/>
    <w:rsid w:val="00062299"/>
    <w:rsid w:val="00065234"/>
    <w:rsid w:val="000653A8"/>
    <w:rsid w:val="00066D73"/>
    <w:rsid w:val="000677CC"/>
    <w:rsid w:val="000717AE"/>
    <w:rsid w:val="000717C4"/>
    <w:rsid w:val="00071D11"/>
    <w:rsid w:val="0007258E"/>
    <w:rsid w:val="000725C2"/>
    <w:rsid w:val="00073FC0"/>
    <w:rsid w:val="00074021"/>
    <w:rsid w:val="00074D8C"/>
    <w:rsid w:val="00074FE4"/>
    <w:rsid w:val="000765E6"/>
    <w:rsid w:val="00076F8F"/>
    <w:rsid w:val="000807EF"/>
    <w:rsid w:val="00081695"/>
    <w:rsid w:val="00081DDB"/>
    <w:rsid w:val="00082D60"/>
    <w:rsid w:val="00083FC7"/>
    <w:rsid w:val="000843C9"/>
    <w:rsid w:val="00086753"/>
    <w:rsid w:val="00087605"/>
    <w:rsid w:val="00087E90"/>
    <w:rsid w:val="00090251"/>
    <w:rsid w:val="00090557"/>
    <w:rsid w:val="00090632"/>
    <w:rsid w:val="0009081D"/>
    <w:rsid w:val="00092208"/>
    <w:rsid w:val="000927CD"/>
    <w:rsid w:val="0009317C"/>
    <w:rsid w:val="000933C9"/>
    <w:rsid w:val="000939C9"/>
    <w:rsid w:val="00094FB8"/>
    <w:rsid w:val="000952CF"/>
    <w:rsid w:val="00096091"/>
    <w:rsid w:val="0009613F"/>
    <w:rsid w:val="00096192"/>
    <w:rsid w:val="0009670D"/>
    <w:rsid w:val="0009760A"/>
    <w:rsid w:val="00097BEF"/>
    <w:rsid w:val="00097E3D"/>
    <w:rsid w:val="000A0B76"/>
    <w:rsid w:val="000A177D"/>
    <w:rsid w:val="000A354E"/>
    <w:rsid w:val="000A464F"/>
    <w:rsid w:val="000A6F5F"/>
    <w:rsid w:val="000A706E"/>
    <w:rsid w:val="000B01D2"/>
    <w:rsid w:val="000B0C00"/>
    <w:rsid w:val="000B0EE8"/>
    <w:rsid w:val="000B2345"/>
    <w:rsid w:val="000B2C5D"/>
    <w:rsid w:val="000B3C6B"/>
    <w:rsid w:val="000B6036"/>
    <w:rsid w:val="000B63C2"/>
    <w:rsid w:val="000B6ED1"/>
    <w:rsid w:val="000B7351"/>
    <w:rsid w:val="000B7957"/>
    <w:rsid w:val="000C0096"/>
    <w:rsid w:val="000C02B9"/>
    <w:rsid w:val="000C03EC"/>
    <w:rsid w:val="000C0D6F"/>
    <w:rsid w:val="000C16E9"/>
    <w:rsid w:val="000C26E8"/>
    <w:rsid w:val="000C2BA7"/>
    <w:rsid w:val="000C2D40"/>
    <w:rsid w:val="000C37D4"/>
    <w:rsid w:val="000C580E"/>
    <w:rsid w:val="000C5B28"/>
    <w:rsid w:val="000C5EDA"/>
    <w:rsid w:val="000C737F"/>
    <w:rsid w:val="000C7B10"/>
    <w:rsid w:val="000D0D84"/>
    <w:rsid w:val="000D0F81"/>
    <w:rsid w:val="000D1286"/>
    <w:rsid w:val="000D1A69"/>
    <w:rsid w:val="000D303E"/>
    <w:rsid w:val="000D3A80"/>
    <w:rsid w:val="000D5308"/>
    <w:rsid w:val="000D56C7"/>
    <w:rsid w:val="000D719C"/>
    <w:rsid w:val="000D761E"/>
    <w:rsid w:val="000E01A6"/>
    <w:rsid w:val="000E01BB"/>
    <w:rsid w:val="000E0408"/>
    <w:rsid w:val="000E0795"/>
    <w:rsid w:val="000E08CB"/>
    <w:rsid w:val="000E137F"/>
    <w:rsid w:val="000E2069"/>
    <w:rsid w:val="000E2071"/>
    <w:rsid w:val="000E2951"/>
    <w:rsid w:val="000E2EE9"/>
    <w:rsid w:val="000E4E18"/>
    <w:rsid w:val="000E5B82"/>
    <w:rsid w:val="000E617E"/>
    <w:rsid w:val="000F232D"/>
    <w:rsid w:val="000F28DA"/>
    <w:rsid w:val="000F2BEC"/>
    <w:rsid w:val="000F2E30"/>
    <w:rsid w:val="000F458C"/>
    <w:rsid w:val="000F5E05"/>
    <w:rsid w:val="00100ACA"/>
    <w:rsid w:val="00102472"/>
    <w:rsid w:val="0010258D"/>
    <w:rsid w:val="00102A0B"/>
    <w:rsid w:val="00102CFB"/>
    <w:rsid w:val="00103484"/>
    <w:rsid w:val="001037D7"/>
    <w:rsid w:val="001043A5"/>
    <w:rsid w:val="00106710"/>
    <w:rsid w:val="00106B22"/>
    <w:rsid w:val="001071CB"/>
    <w:rsid w:val="00110265"/>
    <w:rsid w:val="00112516"/>
    <w:rsid w:val="00112A0E"/>
    <w:rsid w:val="00113E49"/>
    <w:rsid w:val="00114235"/>
    <w:rsid w:val="00115C26"/>
    <w:rsid w:val="00116688"/>
    <w:rsid w:val="001167C3"/>
    <w:rsid w:val="001175B3"/>
    <w:rsid w:val="00117B50"/>
    <w:rsid w:val="001209DB"/>
    <w:rsid w:val="00122101"/>
    <w:rsid w:val="00122113"/>
    <w:rsid w:val="001223F2"/>
    <w:rsid w:val="0012254F"/>
    <w:rsid w:val="00122D09"/>
    <w:rsid w:val="001264E0"/>
    <w:rsid w:val="001304C0"/>
    <w:rsid w:val="001330E6"/>
    <w:rsid w:val="00133B12"/>
    <w:rsid w:val="00133C4C"/>
    <w:rsid w:val="00133F1D"/>
    <w:rsid w:val="0013596B"/>
    <w:rsid w:val="001362CD"/>
    <w:rsid w:val="00137144"/>
    <w:rsid w:val="00141E71"/>
    <w:rsid w:val="001431F0"/>
    <w:rsid w:val="00143B11"/>
    <w:rsid w:val="00144313"/>
    <w:rsid w:val="00145B26"/>
    <w:rsid w:val="00146D77"/>
    <w:rsid w:val="00150220"/>
    <w:rsid w:val="0015055D"/>
    <w:rsid w:val="00150CA3"/>
    <w:rsid w:val="001517EA"/>
    <w:rsid w:val="00151B2E"/>
    <w:rsid w:val="00152424"/>
    <w:rsid w:val="00152E08"/>
    <w:rsid w:val="0015537D"/>
    <w:rsid w:val="00156698"/>
    <w:rsid w:val="001574BA"/>
    <w:rsid w:val="0015770E"/>
    <w:rsid w:val="0016053C"/>
    <w:rsid w:val="00160B66"/>
    <w:rsid w:val="00160B86"/>
    <w:rsid w:val="001643BD"/>
    <w:rsid w:val="00164405"/>
    <w:rsid w:val="00165351"/>
    <w:rsid w:val="0016567F"/>
    <w:rsid w:val="00165B16"/>
    <w:rsid w:val="00165C5F"/>
    <w:rsid w:val="00167196"/>
    <w:rsid w:val="001675D3"/>
    <w:rsid w:val="00167B65"/>
    <w:rsid w:val="00167DAB"/>
    <w:rsid w:val="00167F25"/>
    <w:rsid w:val="0017058A"/>
    <w:rsid w:val="00171BA4"/>
    <w:rsid w:val="00172B2C"/>
    <w:rsid w:val="00172C06"/>
    <w:rsid w:val="001744C2"/>
    <w:rsid w:val="00174AC8"/>
    <w:rsid w:val="00175BAC"/>
    <w:rsid w:val="00175F1E"/>
    <w:rsid w:val="001770E2"/>
    <w:rsid w:val="0017756F"/>
    <w:rsid w:val="001808E5"/>
    <w:rsid w:val="00181131"/>
    <w:rsid w:val="00181A3A"/>
    <w:rsid w:val="00181CEE"/>
    <w:rsid w:val="00182AC1"/>
    <w:rsid w:val="00183B0C"/>
    <w:rsid w:val="0018483E"/>
    <w:rsid w:val="00184C75"/>
    <w:rsid w:val="00185FE2"/>
    <w:rsid w:val="00186984"/>
    <w:rsid w:val="00190B26"/>
    <w:rsid w:val="0019115E"/>
    <w:rsid w:val="00192383"/>
    <w:rsid w:val="00192B43"/>
    <w:rsid w:val="00192CC1"/>
    <w:rsid w:val="00193D93"/>
    <w:rsid w:val="00194315"/>
    <w:rsid w:val="001946AE"/>
    <w:rsid w:val="0019476C"/>
    <w:rsid w:val="001947A0"/>
    <w:rsid w:val="001960CE"/>
    <w:rsid w:val="001964E3"/>
    <w:rsid w:val="001A207B"/>
    <w:rsid w:val="001A2731"/>
    <w:rsid w:val="001A36B1"/>
    <w:rsid w:val="001A3735"/>
    <w:rsid w:val="001A3D63"/>
    <w:rsid w:val="001A4F74"/>
    <w:rsid w:val="001A72A5"/>
    <w:rsid w:val="001B0340"/>
    <w:rsid w:val="001B063C"/>
    <w:rsid w:val="001B101F"/>
    <w:rsid w:val="001B1950"/>
    <w:rsid w:val="001B29A9"/>
    <w:rsid w:val="001B3775"/>
    <w:rsid w:val="001B3FB3"/>
    <w:rsid w:val="001B794E"/>
    <w:rsid w:val="001B7A03"/>
    <w:rsid w:val="001C0E44"/>
    <w:rsid w:val="001C2516"/>
    <w:rsid w:val="001C359F"/>
    <w:rsid w:val="001C35A1"/>
    <w:rsid w:val="001C3BD0"/>
    <w:rsid w:val="001C4E78"/>
    <w:rsid w:val="001C4F1E"/>
    <w:rsid w:val="001C5622"/>
    <w:rsid w:val="001C6203"/>
    <w:rsid w:val="001C6DB7"/>
    <w:rsid w:val="001C73C8"/>
    <w:rsid w:val="001D1440"/>
    <w:rsid w:val="001D176B"/>
    <w:rsid w:val="001D3D10"/>
    <w:rsid w:val="001D500E"/>
    <w:rsid w:val="001D61E1"/>
    <w:rsid w:val="001D6A74"/>
    <w:rsid w:val="001D7823"/>
    <w:rsid w:val="001E19B6"/>
    <w:rsid w:val="001E1A8F"/>
    <w:rsid w:val="001E1B59"/>
    <w:rsid w:val="001E3097"/>
    <w:rsid w:val="001E4E83"/>
    <w:rsid w:val="001E5425"/>
    <w:rsid w:val="001E551F"/>
    <w:rsid w:val="001E5BDC"/>
    <w:rsid w:val="001E61AE"/>
    <w:rsid w:val="001E7396"/>
    <w:rsid w:val="001E7D2B"/>
    <w:rsid w:val="001F071B"/>
    <w:rsid w:val="001F26E7"/>
    <w:rsid w:val="001F3318"/>
    <w:rsid w:val="001F4513"/>
    <w:rsid w:val="001F5E71"/>
    <w:rsid w:val="001F6F2B"/>
    <w:rsid w:val="001F70E6"/>
    <w:rsid w:val="002008E7"/>
    <w:rsid w:val="00201089"/>
    <w:rsid w:val="00201B1E"/>
    <w:rsid w:val="00202C9A"/>
    <w:rsid w:val="00203E19"/>
    <w:rsid w:val="00203FB8"/>
    <w:rsid w:val="00204696"/>
    <w:rsid w:val="00205DD3"/>
    <w:rsid w:val="00206CEC"/>
    <w:rsid w:val="00206D61"/>
    <w:rsid w:val="0020718C"/>
    <w:rsid w:val="00207D60"/>
    <w:rsid w:val="0021064C"/>
    <w:rsid w:val="00210BC0"/>
    <w:rsid w:val="00210F90"/>
    <w:rsid w:val="00212893"/>
    <w:rsid w:val="00213095"/>
    <w:rsid w:val="00213CD9"/>
    <w:rsid w:val="00213FD8"/>
    <w:rsid w:val="00214120"/>
    <w:rsid w:val="0021455B"/>
    <w:rsid w:val="0021562C"/>
    <w:rsid w:val="002160F6"/>
    <w:rsid w:val="0021687F"/>
    <w:rsid w:val="00217B74"/>
    <w:rsid w:val="00220F4B"/>
    <w:rsid w:val="00221CD2"/>
    <w:rsid w:val="00221EA4"/>
    <w:rsid w:val="0022210A"/>
    <w:rsid w:val="002227E1"/>
    <w:rsid w:val="0022333B"/>
    <w:rsid w:val="002233B1"/>
    <w:rsid w:val="002234EB"/>
    <w:rsid w:val="0022386E"/>
    <w:rsid w:val="00225A7A"/>
    <w:rsid w:val="00225F68"/>
    <w:rsid w:val="00226471"/>
    <w:rsid w:val="00226B17"/>
    <w:rsid w:val="002301D7"/>
    <w:rsid w:val="002308C1"/>
    <w:rsid w:val="00230B00"/>
    <w:rsid w:val="00230DCF"/>
    <w:rsid w:val="002329C4"/>
    <w:rsid w:val="0023301B"/>
    <w:rsid w:val="00234608"/>
    <w:rsid w:val="00234800"/>
    <w:rsid w:val="002363C0"/>
    <w:rsid w:val="0023658A"/>
    <w:rsid w:val="00237285"/>
    <w:rsid w:val="00237AE7"/>
    <w:rsid w:val="00240858"/>
    <w:rsid w:val="002419CC"/>
    <w:rsid w:val="00241AA1"/>
    <w:rsid w:val="00241F8A"/>
    <w:rsid w:val="002432C2"/>
    <w:rsid w:val="00243974"/>
    <w:rsid w:val="00243C66"/>
    <w:rsid w:val="0024489A"/>
    <w:rsid w:val="00246315"/>
    <w:rsid w:val="00246C00"/>
    <w:rsid w:val="00247399"/>
    <w:rsid w:val="00250574"/>
    <w:rsid w:val="00252518"/>
    <w:rsid w:val="002528EB"/>
    <w:rsid w:val="00253528"/>
    <w:rsid w:val="00253912"/>
    <w:rsid w:val="00253AD1"/>
    <w:rsid w:val="00254651"/>
    <w:rsid w:val="002568C5"/>
    <w:rsid w:val="00257BB1"/>
    <w:rsid w:val="00260569"/>
    <w:rsid w:val="002614FA"/>
    <w:rsid w:val="00261BA2"/>
    <w:rsid w:val="0026290D"/>
    <w:rsid w:val="00262C1E"/>
    <w:rsid w:val="0026438A"/>
    <w:rsid w:val="00264571"/>
    <w:rsid w:val="00264D89"/>
    <w:rsid w:val="002657BF"/>
    <w:rsid w:val="00266AE8"/>
    <w:rsid w:val="00267E74"/>
    <w:rsid w:val="00267EC3"/>
    <w:rsid w:val="00272313"/>
    <w:rsid w:val="00272530"/>
    <w:rsid w:val="00272696"/>
    <w:rsid w:val="00272F10"/>
    <w:rsid w:val="00273142"/>
    <w:rsid w:val="00273D89"/>
    <w:rsid w:val="002744E0"/>
    <w:rsid w:val="00274ABB"/>
    <w:rsid w:val="00275A85"/>
    <w:rsid w:val="00275B2B"/>
    <w:rsid w:val="00276C4D"/>
    <w:rsid w:val="00277232"/>
    <w:rsid w:val="002778C7"/>
    <w:rsid w:val="00280816"/>
    <w:rsid w:val="002811CC"/>
    <w:rsid w:val="002812BE"/>
    <w:rsid w:val="002813C6"/>
    <w:rsid w:val="0028181B"/>
    <w:rsid w:val="0028320F"/>
    <w:rsid w:val="002833D7"/>
    <w:rsid w:val="00284335"/>
    <w:rsid w:val="00284F54"/>
    <w:rsid w:val="00286687"/>
    <w:rsid w:val="0028728D"/>
    <w:rsid w:val="00290684"/>
    <w:rsid w:val="002906F5"/>
    <w:rsid w:val="00290B3E"/>
    <w:rsid w:val="00291D73"/>
    <w:rsid w:val="0029404A"/>
    <w:rsid w:val="002942CD"/>
    <w:rsid w:val="00295E92"/>
    <w:rsid w:val="00296BAF"/>
    <w:rsid w:val="002A1A47"/>
    <w:rsid w:val="002A3200"/>
    <w:rsid w:val="002A3BC3"/>
    <w:rsid w:val="002A3DFE"/>
    <w:rsid w:val="002A4189"/>
    <w:rsid w:val="002A561E"/>
    <w:rsid w:val="002A594B"/>
    <w:rsid w:val="002A690A"/>
    <w:rsid w:val="002A734E"/>
    <w:rsid w:val="002A7A2C"/>
    <w:rsid w:val="002A7C7C"/>
    <w:rsid w:val="002B15A4"/>
    <w:rsid w:val="002B2D37"/>
    <w:rsid w:val="002B3524"/>
    <w:rsid w:val="002B3E40"/>
    <w:rsid w:val="002B4922"/>
    <w:rsid w:val="002B62FB"/>
    <w:rsid w:val="002B6A68"/>
    <w:rsid w:val="002B7462"/>
    <w:rsid w:val="002B7B49"/>
    <w:rsid w:val="002C031B"/>
    <w:rsid w:val="002C1328"/>
    <w:rsid w:val="002C28D7"/>
    <w:rsid w:val="002C3A6F"/>
    <w:rsid w:val="002C3FF9"/>
    <w:rsid w:val="002C64B9"/>
    <w:rsid w:val="002D015B"/>
    <w:rsid w:val="002D3879"/>
    <w:rsid w:val="002D3E35"/>
    <w:rsid w:val="002D4072"/>
    <w:rsid w:val="002D480C"/>
    <w:rsid w:val="002D4F5E"/>
    <w:rsid w:val="002D6620"/>
    <w:rsid w:val="002D6C7E"/>
    <w:rsid w:val="002D73FB"/>
    <w:rsid w:val="002D7D59"/>
    <w:rsid w:val="002D7EB5"/>
    <w:rsid w:val="002E0484"/>
    <w:rsid w:val="002E06C0"/>
    <w:rsid w:val="002E0B34"/>
    <w:rsid w:val="002E0E89"/>
    <w:rsid w:val="002E10E8"/>
    <w:rsid w:val="002E1DB0"/>
    <w:rsid w:val="002E286D"/>
    <w:rsid w:val="002E3FB4"/>
    <w:rsid w:val="002E561C"/>
    <w:rsid w:val="002E77CD"/>
    <w:rsid w:val="002E7875"/>
    <w:rsid w:val="002E788C"/>
    <w:rsid w:val="002E7D2C"/>
    <w:rsid w:val="002F1670"/>
    <w:rsid w:val="002F1739"/>
    <w:rsid w:val="002F2E9B"/>
    <w:rsid w:val="002F3289"/>
    <w:rsid w:val="002F334B"/>
    <w:rsid w:val="002F41A1"/>
    <w:rsid w:val="002F4350"/>
    <w:rsid w:val="002F4FFE"/>
    <w:rsid w:val="002F563C"/>
    <w:rsid w:val="002F5CE1"/>
    <w:rsid w:val="002F5DD4"/>
    <w:rsid w:val="002F5F40"/>
    <w:rsid w:val="002F726B"/>
    <w:rsid w:val="002F7610"/>
    <w:rsid w:val="0030063D"/>
    <w:rsid w:val="0030136A"/>
    <w:rsid w:val="00301B11"/>
    <w:rsid w:val="00303326"/>
    <w:rsid w:val="003040BE"/>
    <w:rsid w:val="0030415A"/>
    <w:rsid w:val="003043F7"/>
    <w:rsid w:val="00306174"/>
    <w:rsid w:val="00306C68"/>
    <w:rsid w:val="00307D73"/>
    <w:rsid w:val="00311428"/>
    <w:rsid w:val="0031191B"/>
    <w:rsid w:val="0031243A"/>
    <w:rsid w:val="003127AD"/>
    <w:rsid w:val="00312892"/>
    <w:rsid w:val="00315399"/>
    <w:rsid w:val="00315BC4"/>
    <w:rsid w:val="003167D9"/>
    <w:rsid w:val="003176CA"/>
    <w:rsid w:val="0031770F"/>
    <w:rsid w:val="003178BE"/>
    <w:rsid w:val="00317F32"/>
    <w:rsid w:val="003217BF"/>
    <w:rsid w:val="003237B8"/>
    <w:rsid w:val="00324199"/>
    <w:rsid w:val="00324C5E"/>
    <w:rsid w:val="0032524B"/>
    <w:rsid w:val="003252BD"/>
    <w:rsid w:val="00326E03"/>
    <w:rsid w:val="00326E19"/>
    <w:rsid w:val="00327F33"/>
    <w:rsid w:val="00327F85"/>
    <w:rsid w:val="00330A1A"/>
    <w:rsid w:val="0033156D"/>
    <w:rsid w:val="00332871"/>
    <w:rsid w:val="00334568"/>
    <w:rsid w:val="00334CA0"/>
    <w:rsid w:val="00334F33"/>
    <w:rsid w:val="0033595B"/>
    <w:rsid w:val="0034001C"/>
    <w:rsid w:val="003404F2"/>
    <w:rsid w:val="0034170F"/>
    <w:rsid w:val="00341D03"/>
    <w:rsid w:val="003429B0"/>
    <w:rsid w:val="00342B12"/>
    <w:rsid w:val="00344E10"/>
    <w:rsid w:val="003453D8"/>
    <w:rsid w:val="00346481"/>
    <w:rsid w:val="00346EAE"/>
    <w:rsid w:val="00346EB3"/>
    <w:rsid w:val="00347B20"/>
    <w:rsid w:val="00350ED8"/>
    <w:rsid w:val="00351065"/>
    <w:rsid w:val="00351C5B"/>
    <w:rsid w:val="003528D2"/>
    <w:rsid w:val="0035386C"/>
    <w:rsid w:val="003546E7"/>
    <w:rsid w:val="00356945"/>
    <w:rsid w:val="00357B45"/>
    <w:rsid w:val="00357F81"/>
    <w:rsid w:val="0036045A"/>
    <w:rsid w:val="00361FFC"/>
    <w:rsid w:val="00363A79"/>
    <w:rsid w:val="00363CAB"/>
    <w:rsid w:val="003649A5"/>
    <w:rsid w:val="00365B80"/>
    <w:rsid w:val="00366F3E"/>
    <w:rsid w:val="00371648"/>
    <w:rsid w:val="00372AAD"/>
    <w:rsid w:val="00374386"/>
    <w:rsid w:val="00374A2E"/>
    <w:rsid w:val="003758E5"/>
    <w:rsid w:val="00375A0A"/>
    <w:rsid w:val="00377047"/>
    <w:rsid w:val="003806EC"/>
    <w:rsid w:val="0038087F"/>
    <w:rsid w:val="0038150D"/>
    <w:rsid w:val="0038184D"/>
    <w:rsid w:val="00381D75"/>
    <w:rsid w:val="00381EF2"/>
    <w:rsid w:val="00382418"/>
    <w:rsid w:val="00382455"/>
    <w:rsid w:val="00383840"/>
    <w:rsid w:val="00383FE0"/>
    <w:rsid w:val="003845D0"/>
    <w:rsid w:val="00385967"/>
    <w:rsid w:val="003919DF"/>
    <w:rsid w:val="00394122"/>
    <w:rsid w:val="00394BEB"/>
    <w:rsid w:val="003963DD"/>
    <w:rsid w:val="0039664D"/>
    <w:rsid w:val="00396BD6"/>
    <w:rsid w:val="00396CA9"/>
    <w:rsid w:val="0039779D"/>
    <w:rsid w:val="00397D84"/>
    <w:rsid w:val="003A1B94"/>
    <w:rsid w:val="003A2422"/>
    <w:rsid w:val="003A306E"/>
    <w:rsid w:val="003A32D6"/>
    <w:rsid w:val="003A35DA"/>
    <w:rsid w:val="003A4078"/>
    <w:rsid w:val="003A469B"/>
    <w:rsid w:val="003A5187"/>
    <w:rsid w:val="003A60E9"/>
    <w:rsid w:val="003A6DF3"/>
    <w:rsid w:val="003A7FCC"/>
    <w:rsid w:val="003B1EFB"/>
    <w:rsid w:val="003B2107"/>
    <w:rsid w:val="003B2711"/>
    <w:rsid w:val="003B30F1"/>
    <w:rsid w:val="003B3F86"/>
    <w:rsid w:val="003B4C7E"/>
    <w:rsid w:val="003C0E12"/>
    <w:rsid w:val="003C1608"/>
    <w:rsid w:val="003C1747"/>
    <w:rsid w:val="003C216E"/>
    <w:rsid w:val="003C31D8"/>
    <w:rsid w:val="003C3698"/>
    <w:rsid w:val="003C4C76"/>
    <w:rsid w:val="003C6124"/>
    <w:rsid w:val="003C6D0A"/>
    <w:rsid w:val="003C6D80"/>
    <w:rsid w:val="003C7873"/>
    <w:rsid w:val="003D02B4"/>
    <w:rsid w:val="003D1029"/>
    <w:rsid w:val="003D13D1"/>
    <w:rsid w:val="003D31AC"/>
    <w:rsid w:val="003D379A"/>
    <w:rsid w:val="003D518C"/>
    <w:rsid w:val="003D525E"/>
    <w:rsid w:val="003D5A13"/>
    <w:rsid w:val="003D5E90"/>
    <w:rsid w:val="003D5E91"/>
    <w:rsid w:val="003D6105"/>
    <w:rsid w:val="003D68B8"/>
    <w:rsid w:val="003D7E35"/>
    <w:rsid w:val="003D7F47"/>
    <w:rsid w:val="003E1568"/>
    <w:rsid w:val="003E21E2"/>
    <w:rsid w:val="003E3613"/>
    <w:rsid w:val="003E37E1"/>
    <w:rsid w:val="003E3E0C"/>
    <w:rsid w:val="003E4DB5"/>
    <w:rsid w:val="003E5D20"/>
    <w:rsid w:val="003E6443"/>
    <w:rsid w:val="003E654A"/>
    <w:rsid w:val="003E7622"/>
    <w:rsid w:val="003E771B"/>
    <w:rsid w:val="003E7C02"/>
    <w:rsid w:val="003F0BC5"/>
    <w:rsid w:val="003F1912"/>
    <w:rsid w:val="003F243E"/>
    <w:rsid w:val="003F2D11"/>
    <w:rsid w:val="003F40A5"/>
    <w:rsid w:val="003F67AA"/>
    <w:rsid w:val="003F683B"/>
    <w:rsid w:val="003F6C0B"/>
    <w:rsid w:val="003F6C16"/>
    <w:rsid w:val="003F720E"/>
    <w:rsid w:val="003F7D00"/>
    <w:rsid w:val="004003C3"/>
    <w:rsid w:val="00402D90"/>
    <w:rsid w:val="004032F2"/>
    <w:rsid w:val="00404D52"/>
    <w:rsid w:val="0040560D"/>
    <w:rsid w:val="004065C7"/>
    <w:rsid w:val="0040752B"/>
    <w:rsid w:val="004102CA"/>
    <w:rsid w:val="00412142"/>
    <w:rsid w:val="00412380"/>
    <w:rsid w:val="00412679"/>
    <w:rsid w:val="00412739"/>
    <w:rsid w:val="004140E7"/>
    <w:rsid w:val="0041479B"/>
    <w:rsid w:val="00414C05"/>
    <w:rsid w:val="00414CC3"/>
    <w:rsid w:val="00415688"/>
    <w:rsid w:val="004159A1"/>
    <w:rsid w:val="00415B01"/>
    <w:rsid w:val="00416D29"/>
    <w:rsid w:val="004174CA"/>
    <w:rsid w:val="00417976"/>
    <w:rsid w:val="00417F76"/>
    <w:rsid w:val="00420498"/>
    <w:rsid w:val="00420505"/>
    <w:rsid w:val="0042169A"/>
    <w:rsid w:val="00421892"/>
    <w:rsid w:val="00421C3C"/>
    <w:rsid w:val="00423865"/>
    <w:rsid w:val="00423A8E"/>
    <w:rsid w:val="00423B27"/>
    <w:rsid w:val="00423D80"/>
    <w:rsid w:val="004247F4"/>
    <w:rsid w:val="00424CBB"/>
    <w:rsid w:val="00424DEB"/>
    <w:rsid w:val="004256C4"/>
    <w:rsid w:val="0042580F"/>
    <w:rsid w:val="004258F3"/>
    <w:rsid w:val="00425C73"/>
    <w:rsid w:val="00425FD0"/>
    <w:rsid w:val="004262B2"/>
    <w:rsid w:val="00426DD2"/>
    <w:rsid w:val="0042759C"/>
    <w:rsid w:val="00430C9B"/>
    <w:rsid w:val="00430EB8"/>
    <w:rsid w:val="0043152B"/>
    <w:rsid w:val="00431A83"/>
    <w:rsid w:val="004323E9"/>
    <w:rsid w:val="00432671"/>
    <w:rsid w:val="004333BC"/>
    <w:rsid w:val="00433856"/>
    <w:rsid w:val="00434EFC"/>
    <w:rsid w:val="004359F4"/>
    <w:rsid w:val="004366B7"/>
    <w:rsid w:val="00436EDC"/>
    <w:rsid w:val="00437951"/>
    <w:rsid w:val="00440D2E"/>
    <w:rsid w:val="00441580"/>
    <w:rsid w:val="0044167B"/>
    <w:rsid w:val="00441805"/>
    <w:rsid w:val="004424E3"/>
    <w:rsid w:val="00444373"/>
    <w:rsid w:val="004444E4"/>
    <w:rsid w:val="00444C25"/>
    <w:rsid w:val="004452EC"/>
    <w:rsid w:val="004453E2"/>
    <w:rsid w:val="0044552A"/>
    <w:rsid w:val="00446277"/>
    <w:rsid w:val="004463B0"/>
    <w:rsid w:val="0044658E"/>
    <w:rsid w:val="00446967"/>
    <w:rsid w:val="00446AE6"/>
    <w:rsid w:val="00446D9C"/>
    <w:rsid w:val="0044796B"/>
    <w:rsid w:val="00450061"/>
    <w:rsid w:val="004501DB"/>
    <w:rsid w:val="004502EA"/>
    <w:rsid w:val="00451B7A"/>
    <w:rsid w:val="00452BA0"/>
    <w:rsid w:val="0045310B"/>
    <w:rsid w:val="004538D7"/>
    <w:rsid w:val="0045488F"/>
    <w:rsid w:val="0045572B"/>
    <w:rsid w:val="00456DBA"/>
    <w:rsid w:val="004573A9"/>
    <w:rsid w:val="004575A1"/>
    <w:rsid w:val="0045792E"/>
    <w:rsid w:val="0046030E"/>
    <w:rsid w:val="00461AAA"/>
    <w:rsid w:val="00461ECF"/>
    <w:rsid w:val="004621F5"/>
    <w:rsid w:val="00462AAC"/>
    <w:rsid w:val="00463A8F"/>
    <w:rsid w:val="00470259"/>
    <w:rsid w:val="00470362"/>
    <w:rsid w:val="0047056F"/>
    <w:rsid w:val="004720C7"/>
    <w:rsid w:val="004725A5"/>
    <w:rsid w:val="00472BD5"/>
    <w:rsid w:val="00473451"/>
    <w:rsid w:val="004747C8"/>
    <w:rsid w:val="00474A43"/>
    <w:rsid w:val="00475658"/>
    <w:rsid w:val="0047622E"/>
    <w:rsid w:val="00476ACC"/>
    <w:rsid w:val="004809D4"/>
    <w:rsid w:val="00480A33"/>
    <w:rsid w:val="0048335A"/>
    <w:rsid w:val="0048337F"/>
    <w:rsid w:val="0048394B"/>
    <w:rsid w:val="00483BCA"/>
    <w:rsid w:val="00483E61"/>
    <w:rsid w:val="00484194"/>
    <w:rsid w:val="0048420C"/>
    <w:rsid w:val="00484712"/>
    <w:rsid w:val="00485583"/>
    <w:rsid w:val="00486120"/>
    <w:rsid w:val="00487134"/>
    <w:rsid w:val="00487F67"/>
    <w:rsid w:val="00487FD4"/>
    <w:rsid w:val="00492C79"/>
    <w:rsid w:val="00493953"/>
    <w:rsid w:val="00493A05"/>
    <w:rsid w:val="00494B99"/>
    <w:rsid w:val="00495D87"/>
    <w:rsid w:val="004A09E7"/>
    <w:rsid w:val="004A0EFC"/>
    <w:rsid w:val="004A16CD"/>
    <w:rsid w:val="004A20CE"/>
    <w:rsid w:val="004A23B4"/>
    <w:rsid w:val="004A2C37"/>
    <w:rsid w:val="004A2DD4"/>
    <w:rsid w:val="004A324B"/>
    <w:rsid w:val="004A342A"/>
    <w:rsid w:val="004A3B73"/>
    <w:rsid w:val="004A3ECD"/>
    <w:rsid w:val="004A51B6"/>
    <w:rsid w:val="004A5C42"/>
    <w:rsid w:val="004A76E5"/>
    <w:rsid w:val="004A7A9F"/>
    <w:rsid w:val="004B01F3"/>
    <w:rsid w:val="004B08B7"/>
    <w:rsid w:val="004B0A1F"/>
    <w:rsid w:val="004B1889"/>
    <w:rsid w:val="004B233E"/>
    <w:rsid w:val="004B30BA"/>
    <w:rsid w:val="004B35BA"/>
    <w:rsid w:val="004B64DB"/>
    <w:rsid w:val="004C0396"/>
    <w:rsid w:val="004C1F66"/>
    <w:rsid w:val="004C255C"/>
    <w:rsid w:val="004C2788"/>
    <w:rsid w:val="004C3D07"/>
    <w:rsid w:val="004C41C4"/>
    <w:rsid w:val="004C4269"/>
    <w:rsid w:val="004C4327"/>
    <w:rsid w:val="004C54C7"/>
    <w:rsid w:val="004C6F07"/>
    <w:rsid w:val="004C79B5"/>
    <w:rsid w:val="004D04D8"/>
    <w:rsid w:val="004D0B5C"/>
    <w:rsid w:val="004D1294"/>
    <w:rsid w:val="004D16F6"/>
    <w:rsid w:val="004D24EA"/>
    <w:rsid w:val="004D25B1"/>
    <w:rsid w:val="004D26BC"/>
    <w:rsid w:val="004D28AA"/>
    <w:rsid w:val="004D38B7"/>
    <w:rsid w:val="004D4361"/>
    <w:rsid w:val="004D4B29"/>
    <w:rsid w:val="004D54DD"/>
    <w:rsid w:val="004D57CF"/>
    <w:rsid w:val="004D5954"/>
    <w:rsid w:val="004D6095"/>
    <w:rsid w:val="004D64FB"/>
    <w:rsid w:val="004D7C0E"/>
    <w:rsid w:val="004E08B5"/>
    <w:rsid w:val="004E162D"/>
    <w:rsid w:val="004E1D18"/>
    <w:rsid w:val="004E299F"/>
    <w:rsid w:val="004E2B7C"/>
    <w:rsid w:val="004E3813"/>
    <w:rsid w:val="004E3D80"/>
    <w:rsid w:val="004E6544"/>
    <w:rsid w:val="004E6A81"/>
    <w:rsid w:val="004E7452"/>
    <w:rsid w:val="004F042A"/>
    <w:rsid w:val="004F06D3"/>
    <w:rsid w:val="004F2416"/>
    <w:rsid w:val="004F2784"/>
    <w:rsid w:val="004F2CF3"/>
    <w:rsid w:val="004F2DF3"/>
    <w:rsid w:val="004F3FAE"/>
    <w:rsid w:val="004F4975"/>
    <w:rsid w:val="004F6766"/>
    <w:rsid w:val="004F78CA"/>
    <w:rsid w:val="004F794E"/>
    <w:rsid w:val="005028B2"/>
    <w:rsid w:val="00503C39"/>
    <w:rsid w:val="0050439C"/>
    <w:rsid w:val="00504EAA"/>
    <w:rsid w:val="00505783"/>
    <w:rsid w:val="0050676E"/>
    <w:rsid w:val="00507D16"/>
    <w:rsid w:val="00507E1E"/>
    <w:rsid w:val="00507F12"/>
    <w:rsid w:val="00510A04"/>
    <w:rsid w:val="00510D9F"/>
    <w:rsid w:val="00510E9C"/>
    <w:rsid w:val="00511D37"/>
    <w:rsid w:val="00512215"/>
    <w:rsid w:val="00512C5A"/>
    <w:rsid w:val="00513598"/>
    <w:rsid w:val="00513AB0"/>
    <w:rsid w:val="00513DD6"/>
    <w:rsid w:val="00514655"/>
    <w:rsid w:val="00515F60"/>
    <w:rsid w:val="00515F68"/>
    <w:rsid w:val="00516F51"/>
    <w:rsid w:val="005171B4"/>
    <w:rsid w:val="0052045A"/>
    <w:rsid w:val="00520555"/>
    <w:rsid w:val="00520964"/>
    <w:rsid w:val="005214FC"/>
    <w:rsid w:val="005216EF"/>
    <w:rsid w:val="00522CE5"/>
    <w:rsid w:val="00523358"/>
    <w:rsid w:val="00523545"/>
    <w:rsid w:val="00523CB9"/>
    <w:rsid w:val="00524AD3"/>
    <w:rsid w:val="005251EA"/>
    <w:rsid w:val="00525F20"/>
    <w:rsid w:val="005264F1"/>
    <w:rsid w:val="00527A7D"/>
    <w:rsid w:val="00530DC6"/>
    <w:rsid w:val="00530F46"/>
    <w:rsid w:val="005315A5"/>
    <w:rsid w:val="00531790"/>
    <w:rsid w:val="00531B97"/>
    <w:rsid w:val="00531BDA"/>
    <w:rsid w:val="00531D00"/>
    <w:rsid w:val="005321FE"/>
    <w:rsid w:val="005344B3"/>
    <w:rsid w:val="005368E5"/>
    <w:rsid w:val="00537A6E"/>
    <w:rsid w:val="00540ECB"/>
    <w:rsid w:val="00541AEC"/>
    <w:rsid w:val="00542104"/>
    <w:rsid w:val="00542BFE"/>
    <w:rsid w:val="005435DA"/>
    <w:rsid w:val="00543E82"/>
    <w:rsid w:val="00544255"/>
    <w:rsid w:val="005443E8"/>
    <w:rsid w:val="005447AE"/>
    <w:rsid w:val="0054482F"/>
    <w:rsid w:val="00544ED2"/>
    <w:rsid w:val="005460A1"/>
    <w:rsid w:val="005467CC"/>
    <w:rsid w:val="005469F8"/>
    <w:rsid w:val="0055006E"/>
    <w:rsid w:val="0055064C"/>
    <w:rsid w:val="005512DD"/>
    <w:rsid w:val="00551408"/>
    <w:rsid w:val="00551DB2"/>
    <w:rsid w:val="00552314"/>
    <w:rsid w:val="005524E8"/>
    <w:rsid w:val="005535B8"/>
    <w:rsid w:val="00553622"/>
    <w:rsid w:val="005536ED"/>
    <w:rsid w:val="005540AF"/>
    <w:rsid w:val="00554D9C"/>
    <w:rsid w:val="00555D5D"/>
    <w:rsid w:val="0055722C"/>
    <w:rsid w:val="005572F9"/>
    <w:rsid w:val="005611CD"/>
    <w:rsid w:val="005615E3"/>
    <w:rsid w:val="005623AE"/>
    <w:rsid w:val="005645D2"/>
    <w:rsid w:val="00564B12"/>
    <w:rsid w:val="00564CAC"/>
    <w:rsid w:val="0056531C"/>
    <w:rsid w:val="005657DA"/>
    <w:rsid w:val="0057248A"/>
    <w:rsid w:val="005731E6"/>
    <w:rsid w:val="0057580D"/>
    <w:rsid w:val="005767FA"/>
    <w:rsid w:val="0057716C"/>
    <w:rsid w:val="00577E09"/>
    <w:rsid w:val="0058327A"/>
    <w:rsid w:val="00583790"/>
    <w:rsid w:val="005848FC"/>
    <w:rsid w:val="0058533C"/>
    <w:rsid w:val="005856BC"/>
    <w:rsid w:val="00586014"/>
    <w:rsid w:val="0058683F"/>
    <w:rsid w:val="00590259"/>
    <w:rsid w:val="00591226"/>
    <w:rsid w:val="005928DB"/>
    <w:rsid w:val="00592A75"/>
    <w:rsid w:val="005939D1"/>
    <w:rsid w:val="00593F37"/>
    <w:rsid w:val="00596192"/>
    <w:rsid w:val="00597470"/>
    <w:rsid w:val="00597BF8"/>
    <w:rsid w:val="00597C70"/>
    <w:rsid w:val="005A0865"/>
    <w:rsid w:val="005A2804"/>
    <w:rsid w:val="005A2C09"/>
    <w:rsid w:val="005A2DF7"/>
    <w:rsid w:val="005A346C"/>
    <w:rsid w:val="005A40E4"/>
    <w:rsid w:val="005A4EEE"/>
    <w:rsid w:val="005B00DF"/>
    <w:rsid w:val="005B078D"/>
    <w:rsid w:val="005B107F"/>
    <w:rsid w:val="005B1F6D"/>
    <w:rsid w:val="005B263F"/>
    <w:rsid w:val="005B26FC"/>
    <w:rsid w:val="005B2A04"/>
    <w:rsid w:val="005B3E2A"/>
    <w:rsid w:val="005B4870"/>
    <w:rsid w:val="005B5069"/>
    <w:rsid w:val="005B5087"/>
    <w:rsid w:val="005B5B6B"/>
    <w:rsid w:val="005B7300"/>
    <w:rsid w:val="005C0141"/>
    <w:rsid w:val="005C0933"/>
    <w:rsid w:val="005C1ABB"/>
    <w:rsid w:val="005C1C63"/>
    <w:rsid w:val="005C293C"/>
    <w:rsid w:val="005C3002"/>
    <w:rsid w:val="005C30FD"/>
    <w:rsid w:val="005C318E"/>
    <w:rsid w:val="005C3A61"/>
    <w:rsid w:val="005C557C"/>
    <w:rsid w:val="005C6E75"/>
    <w:rsid w:val="005C6F31"/>
    <w:rsid w:val="005C7960"/>
    <w:rsid w:val="005D0633"/>
    <w:rsid w:val="005D0A19"/>
    <w:rsid w:val="005D17B9"/>
    <w:rsid w:val="005D1F11"/>
    <w:rsid w:val="005D284C"/>
    <w:rsid w:val="005D3612"/>
    <w:rsid w:val="005D3B1C"/>
    <w:rsid w:val="005D4186"/>
    <w:rsid w:val="005D44C0"/>
    <w:rsid w:val="005D45BE"/>
    <w:rsid w:val="005D4613"/>
    <w:rsid w:val="005D7042"/>
    <w:rsid w:val="005E0326"/>
    <w:rsid w:val="005E074A"/>
    <w:rsid w:val="005E2CAF"/>
    <w:rsid w:val="005E3255"/>
    <w:rsid w:val="005E35A3"/>
    <w:rsid w:val="005E3CC9"/>
    <w:rsid w:val="005E4914"/>
    <w:rsid w:val="005E49A5"/>
    <w:rsid w:val="005E4A2B"/>
    <w:rsid w:val="005E4BA9"/>
    <w:rsid w:val="005E5286"/>
    <w:rsid w:val="005E6853"/>
    <w:rsid w:val="005E7149"/>
    <w:rsid w:val="005F0DEC"/>
    <w:rsid w:val="005F3CDD"/>
    <w:rsid w:val="005F4911"/>
    <w:rsid w:val="005F4D07"/>
    <w:rsid w:val="005F549E"/>
    <w:rsid w:val="005F6C28"/>
    <w:rsid w:val="005F7C9F"/>
    <w:rsid w:val="006010A6"/>
    <w:rsid w:val="00602F2A"/>
    <w:rsid w:val="0060327A"/>
    <w:rsid w:val="006033DD"/>
    <w:rsid w:val="006035B9"/>
    <w:rsid w:val="006045BE"/>
    <w:rsid w:val="0060536D"/>
    <w:rsid w:val="006070F1"/>
    <w:rsid w:val="006100D9"/>
    <w:rsid w:val="006106BA"/>
    <w:rsid w:val="00610ADD"/>
    <w:rsid w:val="006121D8"/>
    <w:rsid w:val="00612A84"/>
    <w:rsid w:val="00613CAA"/>
    <w:rsid w:val="00614D58"/>
    <w:rsid w:val="00615656"/>
    <w:rsid w:val="006157BB"/>
    <w:rsid w:val="006159CB"/>
    <w:rsid w:val="00615BFA"/>
    <w:rsid w:val="0062207B"/>
    <w:rsid w:val="00622798"/>
    <w:rsid w:val="00622AFA"/>
    <w:rsid w:val="006254BE"/>
    <w:rsid w:val="0062737B"/>
    <w:rsid w:val="006307A0"/>
    <w:rsid w:val="0063311C"/>
    <w:rsid w:val="0063328B"/>
    <w:rsid w:val="00633696"/>
    <w:rsid w:val="00633DF6"/>
    <w:rsid w:val="00633EF1"/>
    <w:rsid w:val="00633FD0"/>
    <w:rsid w:val="00634743"/>
    <w:rsid w:val="00635356"/>
    <w:rsid w:val="00635996"/>
    <w:rsid w:val="00636114"/>
    <w:rsid w:val="0063673D"/>
    <w:rsid w:val="00636C76"/>
    <w:rsid w:val="00640E71"/>
    <w:rsid w:val="00641052"/>
    <w:rsid w:val="00641D22"/>
    <w:rsid w:val="00642568"/>
    <w:rsid w:val="00642CB6"/>
    <w:rsid w:val="00642E6A"/>
    <w:rsid w:val="00643099"/>
    <w:rsid w:val="006430E9"/>
    <w:rsid w:val="00644620"/>
    <w:rsid w:val="006447F5"/>
    <w:rsid w:val="00646A48"/>
    <w:rsid w:val="00647C7F"/>
    <w:rsid w:val="00650522"/>
    <w:rsid w:val="00653A3D"/>
    <w:rsid w:val="006557A8"/>
    <w:rsid w:val="006561DD"/>
    <w:rsid w:val="006569CB"/>
    <w:rsid w:val="00660031"/>
    <w:rsid w:val="0066008A"/>
    <w:rsid w:val="0066085D"/>
    <w:rsid w:val="00660963"/>
    <w:rsid w:val="006611AB"/>
    <w:rsid w:val="00661897"/>
    <w:rsid w:val="006630B4"/>
    <w:rsid w:val="00663157"/>
    <w:rsid w:val="00663F2C"/>
    <w:rsid w:val="0066436F"/>
    <w:rsid w:val="006647F7"/>
    <w:rsid w:val="006648F2"/>
    <w:rsid w:val="00666DAC"/>
    <w:rsid w:val="006712C4"/>
    <w:rsid w:val="00671D73"/>
    <w:rsid w:val="00671D98"/>
    <w:rsid w:val="00671ECD"/>
    <w:rsid w:val="00675168"/>
    <w:rsid w:val="0067632F"/>
    <w:rsid w:val="00676889"/>
    <w:rsid w:val="0067781E"/>
    <w:rsid w:val="00680FD4"/>
    <w:rsid w:val="00681798"/>
    <w:rsid w:val="00681B59"/>
    <w:rsid w:val="00682418"/>
    <w:rsid w:val="006826D6"/>
    <w:rsid w:val="0068338C"/>
    <w:rsid w:val="00683A39"/>
    <w:rsid w:val="00684308"/>
    <w:rsid w:val="00684E7A"/>
    <w:rsid w:val="00685304"/>
    <w:rsid w:val="00685D2A"/>
    <w:rsid w:val="00685E8B"/>
    <w:rsid w:val="00687E35"/>
    <w:rsid w:val="00687FEC"/>
    <w:rsid w:val="0069108A"/>
    <w:rsid w:val="006914C9"/>
    <w:rsid w:val="006916E2"/>
    <w:rsid w:val="00691C6C"/>
    <w:rsid w:val="00693C7C"/>
    <w:rsid w:val="006940F4"/>
    <w:rsid w:val="00695C87"/>
    <w:rsid w:val="0069622F"/>
    <w:rsid w:val="006A0406"/>
    <w:rsid w:val="006A0B99"/>
    <w:rsid w:val="006A0F60"/>
    <w:rsid w:val="006A2208"/>
    <w:rsid w:val="006A2F47"/>
    <w:rsid w:val="006A41EC"/>
    <w:rsid w:val="006A52BE"/>
    <w:rsid w:val="006A57EB"/>
    <w:rsid w:val="006A5F6C"/>
    <w:rsid w:val="006A680E"/>
    <w:rsid w:val="006A79EA"/>
    <w:rsid w:val="006B0662"/>
    <w:rsid w:val="006B0E7A"/>
    <w:rsid w:val="006B29E9"/>
    <w:rsid w:val="006B2B22"/>
    <w:rsid w:val="006B332D"/>
    <w:rsid w:val="006B4BCD"/>
    <w:rsid w:val="006B5CFE"/>
    <w:rsid w:val="006B79BB"/>
    <w:rsid w:val="006B7A2C"/>
    <w:rsid w:val="006B7FC8"/>
    <w:rsid w:val="006C0146"/>
    <w:rsid w:val="006C1BEC"/>
    <w:rsid w:val="006C3518"/>
    <w:rsid w:val="006C3E11"/>
    <w:rsid w:val="006C4DDD"/>
    <w:rsid w:val="006C6F5D"/>
    <w:rsid w:val="006C7BB6"/>
    <w:rsid w:val="006C7F76"/>
    <w:rsid w:val="006D0AD4"/>
    <w:rsid w:val="006D0D07"/>
    <w:rsid w:val="006D1C4F"/>
    <w:rsid w:val="006D1CEE"/>
    <w:rsid w:val="006D2C36"/>
    <w:rsid w:val="006D2D30"/>
    <w:rsid w:val="006D2D72"/>
    <w:rsid w:val="006D2E24"/>
    <w:rsid w:val="006D3CA9"/>
    <w:rsid w:val="006D4365"/>
    <w:rsid w:val="006D43A7"/>
    <w:rsid w:val="006D68D7"/>
    <w:rsid w:val="006D6930"/>
    <w:rsid w:val="006E099F"/>
    <w:rsid w:val="006E0BDA"/>
    <w:rsid w:val="006E0E75"/>
    <w:rsid w:val="006E2B2F"/>
    <w:rsid w:val="006E3A09"/>
    <w:rsid w:val="006E3BF1"/>
    <w:rsid w:val="006E3C44"/>
    <w:rsid w:val="006E499B"/>
    <w:rsid w:val="006E54CE"/>
    <w:rsid w:val="006E5F39"/>
    <w:rsid w:val="006E7CA9"/>
    <w:rsid w:val="006E7DFB"/>
    <w:rsid w:val="006F025D"/>
    <w:rsid w:val="006F0377"/>
    <w:rsid w:val="006F0EFD"/>
    <w:rsid w:val="006F22F4"/>
    <w:rsid w:val="006F23BB"/>
    <w:rsid w:val="006F2453"/>
    <w:rsid w:val="006F29DC"/>
    <w:rsid w:val="006F2C1B"/>
    <w:rsid w:val="006F3D38"/>
    <w:rsid w:val="006F3F18"/>
    <w:rsid w:val="006F402E"/>
    <w:rsid w:val="006F6097"/>
    <w:rsid w:val="00701049"/>
    <w:rsid w:val="00701B61"/>
    <w:rsid w:val="00702D51"/>
    <w:rsid w:val="00705937"/>
    <w:rsid w:val="00706B87"/>
    <w:rsid w:val="00707414"/>
    <w:rsid w:val="007079A5"/>
    <w:rsid w:val="00707DDB"/>
    <w:rsid w:val="00707FEC"/>
    <w:rsid w:val="007109D0"/>
    <w:rsid w:val="00711E9D"/>
    <w:rsid w:val="00711EC7"/>
    <w:rsid w:val="00712F3A"/>
    <w:rsid w:val="0071332E"/>
    <w:rsid w:val="007133D9"/>
    <w:rsid w:val="00713F00"/>
    <w:rsid w:val="007161C0"/>
    <w:rsid w:val="00716C64"/>
    <w:rsid w:val="0072083A"/>
    <w:rsid w:val="007208E0"/>
    <w:rsid w:val="007217FE"/>
    <w:rsid w:val="007226A0"/>
    <w:rsid w:val="0072360F"/>
    <w:rsid w:val="007247C0"/>
    <w:rsid w:val="00725816"/>
    <w:rsid w:val="0072672D"/>
    <w:rsid w:val="00726B69"/>
    <w:rsid w:val="00726E43"/>
    <w:rsid w:val="00726FB8"/>
    <w:rsid w:val="0072738E"/>
    <w:rsid w:val="00730B9D"/>
    <w:rsid w:val="00730E17"/>
    <w:rsid w:val="00730FCA"/>
    <w:rsid w:val="007316A1"/>
    <w:rsid w:val="00733E15"/>
    <w:rsid w:val="00734BB3"/>
    <w:rsid w:val="00735290"/>
    <w:rsid w:val="007359F6"/>
    <w:rsid w:val="007371DE"/>
    <w:rsid w:val="0073777A"/>
    <w:rsid w:val="00741D42"/>
    <w:rsid w:val="007429B5"/>
    <w:rsid w:val="00742F87"/>
    <w:rsid w:val="00744F20"/>
    <w:rsid w:val="00746045"/>
    <w:rsid w:val="0074747D"/>
    <w:rsid w:val="00747BA0"/>
    <w:rsid w:val="00747D1E"/>
    <w:rsid w:val="00750E85"/>
    <w:rsid w:val="00751C62"/>
    <w:rsid w:val="00751DEE"/>
    <w:rsid w:val="00752703"/>
    <w:rsid w:val="00753392"/>
    <w:rsid w:val="007546BA"/>
    <w:rsid w:val="007556EC"/>
    <w:rsid w:val="00760915"/>
    <w:rsid w:val="00760E33"/>
    <w:rsid w:val="00761CAE"/>
    <w:rsid w:val="007621CE"/>
    <w:rsid w:val="00762743"/>
    <w:rsid w:val="00763919"/>
    <w:rsid w:val="00763F47"/>
    <w:rsid w:val="00764D31"/>
    <w:rsid w:val="00764D44"/>
    <w:rsid w:val="007665C4"/>
    <w:rsid w:val="00766B2F"/>
    <w:rsid w:val="00766E3C"/>
    <w:rsid w:val="007673CE"/>
    <w:rsid w:val="00767856"/>
    <w:rsid w:val="00770CF0"/>
    <w:rsid w:val="007720EA"/>
    <w:rsid w:val="00772A58"/>
    <w:rsid w:val="00773718"/>
    <w:rsid w:val="00773B89"/>
    <w:rsid w:val="00773F6D"/>
    <w:rsid w:val="00774464"/>
    <w:rsid w:val="0077688A"/>
    <w:rsid w:val="007774E4"/>
    <w:rsid w:val="00781D80"/>
    <w:rsid w:val="00782C3E"/>
    <w:rsid w:val="00782F28"/>
    <w:rsid w:val="00783155"/>
    <w:rsid w:val="00783F7B"/>
    <w:rsid w:val="007842EE"/>
    <w:rsid w:val="0078451A"/>
    <w:rsid w:val="007866BC"/>
    <w:rsid w:val="00786772"/>
    <w:rsid w:val="0078699D"/>
    <w:rsid w:val="00786BFB"/>
    <w:rsid w:val="00786DCD"/>
    <w:rsid w:val="00787814"/>
    <w:rsid w:val="00787A47"/>
    <w:rsid w:val="007902C1"/>
    <w:rsid w:val="0079076E"/>
    <w:rsid w:val="007908F3"/>
    <w:rsid w:val="00790A17"/>
    <w:rsid w:val="0079124B"/>
    <w:rsid w:val="00791A49"/>
    <w:rsid w:val="00791B75"/>
    <w:rsid w:val="00791CA8"/>
    <w:rsid w:val="0079276A"/>
    <w:rsid w:val="0079387F"/>
    <w:rsid w:val="007938F4"/>
    <w:rsid w:val="007939BC"/>
    <w:rsid w:val="007940F6"/>
    <w:rsid w:val="007943B7"/>
    <w:rsid w:val="0079595A"/>
    <w:rsid w:val="00795C07"/>
    <w:rsid w:val="007A0FF0"/>
    <w:rsid w:val="007A104C"/>
    <w:rsid w:val="007A1595"/>
    <w:rsid w:val="007A1D58"/>
    <w:rsid w:val="007A2C29"/>
    <w:rsid w:val="007A333A"/>
    <w:rsid w:val="007A37DB"/>
    <w:rsid w:val="007A4A23"/>
    <w:rsid w:val="007A59DF"/>
    <w:rsid w:val="007A5B01"/>
    <w:rsid w:val="007A70A8"/>
    <w:rsid w:val="007A7825"/>
    <w:rsid w:val="007A7A41"/>
    <w:rsid w:val="007A7E18"/>
    <w:rsid w:val="007B077A"/>
    <w:rsid w:val="007B126C"/>
    <w:rsid w:val="007B1E05"/>
    <w:rsid w:val="007B23D7"/>
    <w:rsid w:val="007B2A96"/>
    <w:rsid w:val="007B2F39"/>
    <w:rsid w:val="007B3477"/>
    <w:rsid w:val="007B3AC8"/>
    <w:rsid w:val="007B41EC"/>
    <w:rsid w:val="007B52E2"/>
    <w:rsid w:val="007B5507"/>
    <w:rsid w:val="007B5681"/>
    <w:rsid w:val="007B5DA5"/>
    <w:rsid w:val="007B606E"/>
    <w:rsid w:val="007B6A2D"/>
    <w:rsid w:val="007B6A5C"/>
    <w:rsid w:val="007B73EE"/>
    <w:rsid w:val="007C2093"/>
    <w:rsid w:val="007C3A04"/>
    <w:rsid w:val="007C498C"/>
    <w:rsid w:val="007C5457"/>
    <w:rsid w:val="007C598A"/>
    <w:rsid w:val="007C63C2"/>
    <w:rsid w:val="007C726A"/>
    <w:rsid w:val="007D084C"/>
    <w:rsid w:val="007D0CD4"/>
    <w:rsid w:val="007D1A6C"/>
    <w:rsid w:val="007D394C"/>
    <w:rsid w:val="007D4504"/>
    <w:rsid w:val="007D5363"/>
    <w:rsid w:val="007D5875"/>
    <w:rsid w:val="007D5B71"/>
    <w:rsid w:val="007D609C"/>
    <w:rsid w:val="007D6165"/>
    <w:rsid w:val="007E0563"/>
    <w:rsid w:val="007E0BD0"/>
    <w:rsid w:val="007E18B5"/>
    <w:rsid w:val="007E19D5"/>
    <w:rsid w:val="007E2386"/>
    <w:rsid w:val="007E2EF3"/>
    <w:rsid w:val="007E402A"/>
    <w:rsid w:val="007E4282"/>
    <w:rsid w:val="007E57C3"/>
    <w:rsid w:val="007E6190"/>
    <w:rsid w:val="007E6D6C"/>
    <w:rsid w:val="007E70C6"/>
    <w:rsid w:val="007F04A5"/>
    <w:rsid w:val="007F14DE"/>
    <w:rsid w:val="007F1665"/>
    <w:rsid w:val="007F1718"/>
    <w:rsid w:val="007F1E02"/>
    <w:rsid w:val="007F21A7"/>
    <w:rsid w:val="007F2B87"/>
    <w:rsid w:val="007F2FEE"/>
    <w:rsid w:val="007F3047"/>
    <w:rsid w:val="007F3463"/>
    <w:rsid w:val="007F35BC"/>
    <w:rsid w:val="007F48DB"/>
    <w:rsid w:val="007F59A0"/>
    <w:rsid w:val="007F63D1"/>
    <w:rsid w:val="007F679A"/>
    <w:rsid w:val="007F6E2F"/>
    <w:rsid w:val="008001C0"/>
    <w:rsid w:val="00801A70"/>
    <w:rsid w:val="0080224E"/>
    <w:rsid w:val="00802437"/>
    <w:rsid w:val="00803354"/>
    <w:rsid w:val="00803789"/>
    <w:rsid w:val="00805185"/>
    <w:rsid w:val="00805C50"/>
    <w:rsid w:val="00805F2C"/>
    <w:rsid w:val="00806F60"/>
    <w:rsid w:val="008070F7"/>
    <w:rsid w:val="00807236"/>
    <w:rsid w:val="00807301"/>
    <w:rsid w:val="008104F6"/>
    <w:rsid w:val="008124B6"/>
    <w:rsid w:val="008135AE"/>
    <w:rsid w:val="00814AAB"/>
    <w:rsid w:val="0081558D"/>
    <w:rsid w:val="00815A80"/>
    <w:rsid w:val="00815C04"/>
    <w:rsid w:val="008171BB"/>
    <w:rsid w:val="0081729A"/>
    <w:rsid w:val="00820C43"/>
    <w:rsid w:val="00820D4A"/>
    <w:rsid w:val="008223E7"/>
    <w:rsid w:val="00822C88"/>
    <w:rsid w:val="0082399D"/>
    <w:rsid w:val="00824BD8"/>
    <w:rsid w:val="008254C2"/>
    <w:rsid w:val="0082553A"/>
    <w:rsid w:val="00826003"/>
    <w:rsid w:val="00826E32"/>
    <w:rsid w:val="008276EF"/>
    <w:rsid w:val="00827C32"/>
    <w:rsid w:val="00827F29"/>
    <w:rsid w:val="0083040B"/>
    <w:rsid w:val="00830F07"/>
    <w:rsid w:val="00831494"/>
    <w:rsid w:val="00831D13"/>
    <w:rsid w:val="008333B9"/>
    <w:rsid w:val="0083377A"/>
    <w:rsid w:val="00834D59"/>
    <w:rsid w:val="00835059"/>
    <w:rsid w:val="008367F7"/>
    <w:rsid w:val="00842013"/>
    <w:rsid w:val="00842B7D"/>
    <w:rsid w:val="008433AD"/>
    <w:rsid w:val="00844A94"/>
    <w:rsid w:val="0084566D"/>
    <w:rsid w:val="008501E7"/>
    <w:rsid w:val="00850F77"/>
    <w:rsid w:val="00852A03"/>
    <w:rsid w:val="00852C24"/>
    <w:rsid w:val="008554C4"/>
    <w:rsid w:val="00860030"/>
    <w:rsid w:val="0086189D"/>
    <w:rsid w:val="008621B2"/>
    <w:rsid w:val="00863BAC"/>
    <w:rsid w:val="008647D3"/>
    <w:rsid w:val="00865253"/>
    <w:rsid w:val="00865E64"/>
    <w:rsid w:val="0086636D"/>
    <w:rsid w:val="00866F32"/>
    <w:rsid w:val="00867453"/>
    <w:rsid w:val="00867916"/>
    <w:rsid w:val="00870815"/>
    <w:rsid w:val="0087180A"/>
    <w:rsid w:val="00871896"/>
    <w:rsid w:val="00871AFE"/>
    <w:rsid w:val="0087223B"/>
    <w:rsid w:val="00873350"/>
    <w:rsid w:val="00873650"/>
    <w:rsid w:val="00874824"/>
    <w:rsid w:val="00876393"/>
    <w:rsid w:val="00880A1E"/>
    <w:rsid w:val="00881FD0"/>
    <w:rsid w:val="008823B3"/>
    <w:rsid w:val="00884077"/>
    <w:rsid w:val="00884ADF"/>
    <w:rsid w:val="008861F6"/>
    <w:rsid w:val="00886811"/>
    <w:rsid w:val="00887426"/>
    <w:rsid w:val="00887CD7"/>
    <w:rsid w:val="00887FAF"/>
    <w:rsid w:val="00890EA2"/>
    <w:rsid w:val="008914E4"/>
    <w:rsid w:val="00891D61"/>
    <w:rsid w:val="00891F74"/>
    <w:rsid w:val="008937BF"/>
    <w:rsid w:val="00897233"/>
    <w:rsid w:val="00897CEF"/>
    <w:rsid w:val="008A086B"/>
    <w:rsid w:val="008A0C55"/>
    <w:rsid w:val="008A0F2B"/>
    <w:rsid w:val="008A1016"/>
    <w:rsid w:val="008A115C"/>
    <w:rsid w:val="008A129D"/>
    <w:rsid w:val="008A404D"/>
    <w:rsid w:val="008A56FA"/>
    <w:rsid w:val="008A58E1"/>
    <w:rsid w:val="008A59A8"/>
    <w:rsid w:val="008A6E62"/>
    <w:rsid w:val="008A74C3"/>
    <w:rsid w:val="008A7D48"/>
    <w:rsid w:val="008B0D26"/>
    <w:rsid w:val="008B1065"/>
    <w:rsid w:val="008B1C18"/>
    <w:rsid w:val="008B2F7A"/>
    <w:rsid w:val="008B4AEF"/>
    <w:rsid w:val="008B6257"/>
    <w:rsid w:val="008B682B"/>
    <w:rsid w:val="008B6D47"/>
    <w:rsid w:val="008B7A79"/>
    <w:rsid w:val="008C0B24"/>
    <w:rsid w:val="008C0E0A"/>
    <w:rsid w:val="008C241B"/>
    <w:rsid w:val="008C24EA"/>
    <w:rsid w:val="008C2FA3"/>
    <w:rsid w:val="008C305E"/>
    <w:rsid w:val="008C36AC"/>
    <w:rsid w:val="008C41C9"/>
    <w:rsid w:val="008C4FA2"/>
    <w:rsid w:val="008C50D6"/>
    <w:rsid w:val="008C5179"/>
    <w:rsid w:val="008C62D1"/>
    <w:rsid w:val="008C6324"/>
    <w:rsid w:val="008D05DE"/>
    <w:rsid w:val="008D05ED"/>
    <w:rsid w:val="008D0666"/>
    <w:rsid w:val="008D1BAE"/>
    <w:rsid w:val="008D1D4E"/>
    <w:rsid w:val="008D3349"/>
    <w:rsid w:val="008D54C6"/>
    <w:rsid w:val="008D5849"/>
    <w:rsid w:val="008D642C"/>
    <w:rsid w:val="008E1C47"/>
    <w:rsid w:val="008E30B5"/>
    <w:rsid w:val="008E3539"/>
    <w:rsid w:val="008E3F3B"/>
    <w:rsid w:val="008E5144"/>
    <w:rsid w:val="008E60F2"/>
    <w:rsid w:val="008E6E05"/>
    <w:rsid w:val="008E7351"/>
    <w:rsid w:val="008F04DF"/>
    <w:rsid w:val="008F0F19"/>
    <w:rsid w:val="008F1737"/>
    <w:rsid w:val="008F4A6D"/>
    <w:rsid w:val="008F70B2"/>
    <w:rsid w:val="008F716A"/>
    <w:rsid w:val="008F74C4"/>
    <w:rsid w:val="008F7D1A"/>
    <w:rsid w:val="00900EA5"/>
    <w:rsid w:val="0090136E"/>
    <w:rsid w:val="009019F9"/>
    <w:rsid w:val="0090230A"/>
    <w:rsid w:val="009047D1"/>
    <w:rsid w:val="00904EC3"/>
    <w:rsid w:val="009051B4"/>
    <w:rsid w:val="009051E6"/>
    <w:rsid w:val="009101E7"/>
    <w:rsid w:val="00910341"/>
    <w:rsid w:val="0091156C"/>
    <w:rsid w:val="00911CD9"/>
    <w:rsid w:val="00912327"/>
    <w:rsid w:val="00913748"/>
    <w:rsid w:val="00913E14"/>
    <w:rsid w:val="00914337"/>
    <w:rsid w:val="009148CD"/>
    <w:rsid w:val="009149A1"/>
    <w:rsid w:val="00914F59"/>
    <w:rsid w:val="0091555E"/>
    <w:rsid w:val="00915B68"/>
    <w:rsid w:val="00915F03"/>
    <w:rsid w:val="009168CD"/>
    <w:rsid w:val="009169B1"/>
    <w:rsid w:val="00916A9E"/>
    <w:rsid w:val="00916F3B"/>
    <w:rsid w:val="009172D0"/>
    <w:rsid w:val="0091742C"/>
    <w:rsid w:val="0091790D"/>
    <w:rsid w:val="009200D0"/>
    <w:rsid w:val="00922626"/>
    <w:rsid w:val="00923AC8"/>
    <w:rsid w:val="00923FE8"/>
    <w:rsid w:val="0092465B"/>
    <w:rsid w:val="00925492"/>
    <w:rsid w:val="00925E74"/>
    <w:rsid w:val="00926619"/>
    <w:rsid w:val="00926FD8"/>
    <w:rsid w:val="0092721D"/>
    <w:rsid w:val="009278C3"/>
    <w:rsid w:val="00930396"/>
    <w:rsid w:val="0093069C"/>
    <w:rsid w:val="00930A8A"/>
    <w:rsid w:val="009310A3"/>
    <w:rsid w:val="00931A8E"/>
    <w:rsid w:val="00931E29"/>
    <w:rsid w:val="00932414"/>
    <w:rsid w:val="00934762"/>
    <w:rsid w:val="00934850"/>
    <w:rsid w:val="00934DD7"/>
    <w:rsid w:val="0093540C"/>
    <w:rsid w:val="00936DD9"/>
    <w:rsid w:val="00937882"/>
    <w:rsid w:val="00937B89"/>
    <w:rsid w:val="00940087"/>
    <w:rsid w:val="009401F8"/>
    <w:rsid w:val="00940CD0"/>
    <w:rsid w:val="00940FB7"/>
    <w:rsid w:val="009419DF"/>
    <w:rsid w:val="00941AC1"/>
    <w:rsid w:val="00942A87"/>
    <w:rsid w:val="0094334E"/>
    <w:rsid w:val="00946378"/>
    <w:rsid w:val="00946581"/>
    <w:rsid w:val="00946D57"/>
    <w:rsid w:val="00950632"/>
    <w:rsid w:val="00950B39"/>
    <w:rsid w:val="00950F81"/>
    <w:rsid w:val="00951C75"/>
    <w:rsid w:val="00952255"/>
    <w:rsid w:val="0095248D"/>
    <w:rsid w:val="00952A45"/>
    <w:rsid w:val="00954935"/>
    <w:rsid w:val="009569D6"/>
    <w:rsid w:val="00956EAF"/>
    <w:rsid w:val="009629B9"/>
    <w:rsid w:val="00962ABE"/>
    <w:rsid w:val="0096311F"/>
    <w:rsid w:val="009637F0"/>
    <w:rsid w:val="00963D66"/>
    <w:rsid w:val="00963ECF"/>
    <w:rsid w:val="009653DE"/>
    <w:rsid w:val="009657FE"/>
    <w:rsid w:val="00966B24"/>
    <w:rsid w:val="00966E85"/>
    <w:rsid w:val="009676BC"/>
    <w:rsid w:val="00970E68"/>
    <w:rsid w:val="00972068"/>
    <w:rsid w:val="009723D3"/>
    <w:rsid w:val="00972B7D"/>
    <w:rsid w:val="00973088"/>
    <w:rsid w:val="009737D5"/>
    <w:rsid w:val="0097406B"/>
    <w:rsid w:val="0097435B"/>
    <w:rsid w:val="00974BAC"/>
    <w:rsid w:val="0097569B"/>
    <w:rsid w:val="00980A25"/>
    <w:rsid w:val="0098243C"/>
    <w:rsid w:val="00982E8E"/>
    <w:rsid w:val="0098325E"/>
    <w:rsid w:val="0098398E"/>
    <w:rsid w:val="00983EC7"/>
    <w:rsid w:val="00984B39"/>
    <w:rsid w:val="00986520"/>
    <w:rsid w:val="00987209"/>
    <w:rsid w:val="00990B2F"/>
    <w:rsid w:val="0099171C"/>
    <w:rsid w:val="00991777"/>
    <w:rsid w:val="00992175"/>
    <w:rsid w:val="00992B2D"/>
    <w:rsid w:val="009A0586"/>
    <w:rsid w:val="009A0676"/>
    <w:rsid w:val="009A0B39"/>
    <w:rsid w:val="009A133C"/>
    <w:rsid w:val="009A168A"/>
    <w:rsid w:val="009A2952"/>
    <w:rsid w:val="009A32FC"/>
    <w:rsid w:val="009A4086"/>
    <w:rsid w:val="009A51B8"/>
    <w:rsid w:val="009A6674"/>
    <w:rsid w:val="009B19B6"/>
    <w:rsid w:val="009B248A"/>
    <w:rsid w:val="009B283D"/>
    <w:rsid w:val="009B2E13"/>
    <w:rsid w:val="009B3097"/>
    <w:rsid w:val="009B3651"/>
    <w:rsid w:val="009B4559"/>
    <w:rsid w:val="009B4B1D"/>
    <w:rsid w:val="009B4D40"/>
    <w:rsid w:val="009B4E29"/>
    <w:rsid w:val="009B52AC"/>
    <w:rsid w:val="009B562C"/>
    <w:rsid w:val="009B5B87"/>
    <w:rsid w:val="009B6926"/>
    <w:rsid w:val="009B6BF9"/>
    <w:rsid w:val="009B73D7"/>
    <w:rsid w:val="009C01DD"/>
    <w:rsid w:val="009C0FFB"/>
    <w:rsid w:val="009C12C0"/>
    <w:rsid w:val="009C1FC7"/>
    <w:rsid w:val="009C269D"/>
    <w:rsid w:val="009C416A"/>
    <w:rsid w:val="009C478B"/>
    <w:rsid w:val="009C699A"/>
    <w:rsid w:val="009C6B48"/>
    <w:rsid w:val="009D063D"/>
    <w:rsid w:val="009D0E8E"/>
    <w:rsid w:val="009D24C9"/>
    <w:rsid w:val="009D27B4"/>
    <w:rsid w:val="009D3050"/>
    <w:rsid w:val="009D3B17"/>
    <w:rsid w:val="009D3FA5"/>
    <w:rsid w:val="009D417D"/>
    <w:rsid w:val="009D43E6"/>
    <w:rsid w:val="009D4BEA"/>
    <w:rsid w:val="009D5E17"/>
    <w:rsid w:val="009E09DA"/>
    <w:rsid w:val="009E0EA0"/>
    <w:rsid w:val="009E0F06"/>
    <w:rsid w:val="009E3488"/>
    <w:rsid w:val="009E36D9"/>
    <w:rsid w:val="009E42BB"/>
    <w:rsid w:val="009E45A8"/>
    <w:rsid w:val="009E488F"/>
    <w:rsid w:val="009E48B9"/>
    <w:rsid w:val="009E4F00"/>
    <w:rsid w:val="009E57EE"/>
    <w:rsid w:val="009E5DE8"/>
    <w:rsid w:val="009E7263"/>
    <w:rsid w:val="009E76E5"/>
    <w:rsid w:val="009F00CB"/>
    <w:rsid w:val="009F02C9"/>
    <w:rsid w:val="009F10E0"/>
    <w:rsid w:val="009F1234"/>
    <w:rsid w:val="009F1EDF"/>
    <w:rsid w:val="009F331E"/>
    <w:rsid w:val="009F4429"/>
    <w:rsid w:val="009F444D"/>
    <w:rsid w:val="009F4661"/>
    <w:rsid w:val="00A00363"/>
    <w:rsid w:val="00A02823"/>
    <w:rsid w:val="00A03D22"/>
    <w:rsid w:val="00A03FEF"/>
    <w:rsid w:val="00A04D12"/>
    <w:rsid w:val="00A05E34"/>
    <w:rsid w:val="00A06918"/>
    <w:rsid w:val="00A06CEF"/>
    <w:rsid w:val="00A076BE"/>
    <w:rsid w:val="00A07BE2"/>
    <w:rsid w:val="00A11756"/>
    <w:rsid w:val="00A117C9"/>
    <w:rsid w:val="00A12793"/>
    <w:rsid w:val="00A13A7F"/>
    <w:rsid w:val="00A14E43"/>
    <w:rsid w:val="00A1619C"/>
    <w:rsid w:val="00A1630F"/>
    <w:rsid w:val="00A21CD6"/>
    <w:rsid w:val="00A226E2"/>
    <w:rsid w:val="00A27017"/>
    <w:rsid w:val="00A301E9"/>
    <w:rsid w:val="00A31815"/>
    <w:rsid w:val="00A320F0"/>
    <w:rsid w:val="00A322C8"/>
    <w:rsid w:val="00A33E0F"/>
    <w:rsid w:val="00A35768"/>
    <w:rsid w:val="00A359F7"/>
    <w:rsid w:val="00A40D2D"/>
    <w:rsid w:val="00A40D6E"/>
    <w:rsid w:val="00A41961"/>
    <w:rsid w:val="00A41AB7"/>
    <w:rsid w:val="00A41B36"/>
    <w:rsid w:val="00A41E5F"/>
    <w:rsid w:val="00A43461"/>
    <w:rsid w:val="00A4440B"/>
    <w:rsid w:val="00A4492C"/>
    <w:rsid w:val="00A457E6"/>
    <w:rsid w:val="00A46A66"/>
    <w:rsid w:val="00A46C6E"/>
    <w:rsid w:val="00A470E6"/>
    <w:rsid w:val="00A50B37"/>
    <w:rsid w:val="00A50FC8"/>
    <w:rsid w:val="00A5146D"/>
    <w:rsid w:val="00A51E6E"/>
    <w:rsid w:val="00A55197"/>
    <w:rsid w:val="00A564CE"/>
    <w:rsid w:val="00A568F9"/>
    <w:rsid w:val="00A572A1"/>
    <w:rsid w:val="00A60048"/>
    <w:rsid w:val="00A607A0"/>
    <w:rsid w:val="00A619B1"/>
    <w:rsid w:val="00A61DDC"/>
    <w:rsid w:val="00A6286C"/>
    <w:rsid w:val="00A63AE1"/>
    <w:rsid w:val="00A64625"/>
    <w:rsid w:val="00A64758"/>
    <w:rsid w:val="00A649D5"/>
    <w:rsid w:val="00A65165"/>
    <w:rsid w:val="00A65CD2"/>
    <w:rsid w:val="00A6732A"/>
    <w:rsid w:val="00A67E22"/>
    <w:rsid w:val="00A700DE"/>
    <w:rsid w:val="00A70A90"/>
    <w:rsid w:val="00A72228"/>
    <w:rsid w:val="00A72969"/>
    <w:rsid w:val="00A73733"/>
    <w:rsid w:val="00A73FFE"/>
    <w:rsid w:val="00A75703"/>
    <w:rsid w:val="00A763AF"/>
    <w:rsid w:val="00A76AE7"/>
    <w:rsid w:val="00A76D60"/>
    <w:rsid w:val="00A77451"/>
    <w:rsid w:val="00A847C9"/>
    <w:rsid w:val="00A8545D"/>
    <w:rsid w:val="00A8750A"/>
    <w:rsid w:val="00A87E05"/>
    <w:rsid w:val="00A900CB"/>
    <w:rsid w:val="00A90478"/>
    <w:rsid w:val="00A9078F"/>
    <w:rsid w:val="00A90A09"/>
    <w:rsid w:val="00A90BD3"/>
    <w:rsid w:val="00A90E20"/>
    <w:rsid w:val="00A90F5E"/>
    <w:rsid w:val="00A912F0"/>
    <w:rsid w:val="00A92393"/>
    <w:rsid w:val="00A94970"/>
    <w:rsid w:val="00A94BEF"/>
    <w:rsid w:val="00A9524D"/>
    <w:rsid w:val="00A95C26"/>
    <w:rsid w:val="00A968A8"/>
    <w:rsid w:val="00AA0960"/>
    <w:rsid w:val="00AA12D4"/>
    <w:rsid w:val="00AA1AD6"/>
    <w:rsid w:val="00AA1CD4"/>
    <w:rsid w:val="00AA27B4"/>
    <w:rsid w:val="00AA34F6"/>
    <w:rsid w:val="00AA563C"/>
    <w:rsid w:val="00AA5A69"/>
    <w:rsid w:val="00AA64A7"/>
    <w:rsid w:val="00AA6C93"/>
    <w:rsid w:val="00AB06DE"/>
    <w:rsid w:val="00AB3519"/>
    <w:rsid w:val="00AB38B5"/>
    <w:rsid w:val="00AB38F5"/>
    <w:rsid w:val="00AB43FA"/>
    <w:rsid w:val="00AB4642"/>
    <w:rsid w:val="00AB5201"/>
    <w:rsid w:val="00AB5759"/>
    <w:rsid w:val="00AB57AF"/>
    <w:rsid w:val="00AB5D29"/>
    <w:rsid w:val="00AB6308"/>
    <w:rsid w:val="00AB64CE"/>
    <w:rsid w:val="00AB777C"/>
    <w:rsid w:val="00AB7BDF"/>
    <w:rsid w:val="00AC0233"/>
    <w:rsid w:val="00AC0DAD"/>
    <w:rsid w:val="00AC0E4C"/>
    <w:rsid w:val="00AC124A"/>
    <w:rsid w:val="00AC1350"/>
    <w:rsid w:val="00AC2051"/>
    <w:rsid w:val="00AC21EC"/>
    <w:rsid w:val="00AC330E"/>
    <w:rsid w:val="00AC38AE"/>
    <w:rsid w:val="00AC3CEA"/>
    <w:rsid w:val="00AC4543"/>
    <w:rsid w:val="00AC5360"/>
    <w:rsid w:val="00AC5E3E"/>
    <w:rsid w:val="00AC6807"/>
    <w:rsid w:val="00AC75F1"/>
    <w:rsid w:val="00AC7D7B"/>
    <w:rsid w:val="00AC7E71"/>
    <w:rsid w:val="00AD0F85"/>
    <w:rsid w:val="00AD1670"/>
    <w:rsid w:val="00AD28BB"/>
    <w:rsid w:val="00AD397E"/>
    <w:rsid w:val="00AD3D80"/>
    <w:rsid w:val="00AD3E42"/>
    <w:rsid w:val="00AD4BD2"/>
    <w:rsid w:val="00AD4D76"/>
    <w:rsid w:val="00AD5101"/>
    <w:rsid w:val="00AD57DE"/>
    <w:rsid w:val="00AD64D1"/>
    <w:rsid w:val="00AD7660"/>
    <w:rsid w:val="00AE1342"/>
    <w:rsid w:val="00AE1980"/>
    <w:rsid w:val="00AE1D5C"/>
    <w:rsid w:val="00AE2F53"/>
    <w:rsid w:val="00AE3084"/>
    <w:rsid w:val="00AE33D2"/>
    <w:rsid w:val="00AE346F"/>
    <w:rsid w:val="00AE3C90"/>
    <w:rsid w:val="00AE4562"/>
    <w:rsid w:val="00AE60F7"/>
    <w:rsid w:val="00AE6A7D"/>
    <w:rsid w:val="00AE7C4E"/>
    <w:rsid w:val="00AF012E"/>
    <w:rsid w:val="00AF02EC"/>
    <w:rsid w:val="00AF0B02"/>
    <w:rsid w:val="00AF12FC"/>
    <w:rsid w:val="00AF302D"/>
    <w:rsid w:val="00AF4073"/>
    <w:rsid w:val="00AF40E9"/>
    <w:rsid w:val="00AF4800"/>
    <w:rsid w:val="00AF665C"/>
    <w:rsid w:val="00AF7614"/>
    <w:rsid w:val="00B0197F"/>
    <w:rsid w:val="00B01E00"/>
    <w:rsid w:val="00B0232B"/>
    <w:rsid w:val="00B024C3"/>
    <w:rsid w:val="00B038AB"/>
    <w:rsid w:val="00B03996"/>
    <w:rsid w:val="00B03EA6"/>
    <w:rsid w:val="00B04C7D"/>
    <w:rsid w:val="00B05D25"/>
    <w:rsid w:val="00B0730F"/>
    <w:rsid w:val="00B07EE8"/>
    <w:rsid w:val="00B10E87"/>
    <w:rsid w:val="00B12299"/>
    <w:rsid w:val="00B123FB"/>
    <w:rsid w:val="00B13176"/>
    <w:rsid w:val="00B13396"/>
    <w:rsid w:val="00B134B1"/>
    <w:rsid w:val="00B13B4A"/>
    <w:rsid w:val="00B14D4D"/>
    <w:rsid w:val="00B15AC5"/>
    <w:rsid w:val="00B15C82"/>
    <w:rsid w:val="00B16F2A"/>
    <w:rsid w:val="00B174ED"/>
    <w:rsid w:val="00B1774D"/>
    <w:rsid w:val="00B20A7E"/>
    <w:rsid w:val="00B20D3A"/>
    <w:rsid w:val="00B21FC2"/>
    <w:rsid w:val="00B22483"/>
    <w:rsid w:val="00B22F36"/>
    <w:rsid w:val="00B26465"/>
    <w:rsid w:val="00B27504"/>
    <w:rsid w:val="00B27C03"/>
    <w:rsid w:val="00B35DA5"/>
    <w:rsid w:val="00B35E13"/>
    <w:rsid w:val="00B3605A"/>
    <w:rsid w:val="00B363F1"/>
    <w:rsid w:val="00B368AF"/>
    <w:rsid w:val="00B36CEF"/>
    <w:rsid w:val="00B371DF"/>
    <w:rsid w:val="00B41BFD"/>
    <w:rsid w:val="00B42C8C"/>
    <w:rsid w:val="00B44B81"/>
    <w:rsid w:val="00B451A0"/>
    <w:rsid w:val="00B4533F"/>
    <w:rsid w:val="00B46396"/>
    <w:rsid w:val="00B46565"/>
    <w:rsid w:val="00B47E4B"/>
    <w:rsid w:val="00B50858"/>
    <w:rsid w:val="00B5217F"/>
    <w:rsid w:val="00B5371A"/>
    <w:rsid w:val="00B53A04"/>
    <w:rsid w:val="00B53C31"/>
    <w:rsid w:val="00B542DE"/>
    <w:rsid w:val="00B55E18"/>
    <w:rsid w:val="00B571D8"/>
    <w:rsid w:val="00B57260"/>
    <w:rsid w:val="00B575EE"/>
    <w:rsid w:val="00B61195"/>
    <w:rsid w:val="00B61EB1"/>
    <w:rsid w:val="00B6219E"/>
    <w:rsid w:val="00B62597"/>
    <w:rsid w:val="00B64F3B"/>
    <w:rsid w:val="00B65587"/>
    <w:rsid w:val="00B6689A"/>
    <w:rsid w:val="00B7029D"/>
    <w:rsid w:val="00B7090F"/>
    <w:rsid w:val="00B70999"/>
    <w:rsid w:val="00B7152D"/>
    <w:rsid w:val="00B73F3E"/>
    <w:rsid w:val="00B73FA8"/>
    <w:rsid w:val="00B74416"/>
    <w:rsid w:val="00B76DDA"/>
    <w:rsid w:val="00B77D50"/>
    <w:rsid w:val="00B80293"/>
    <w:rsid w:val="00B80325"/>
    <w:rsid w:val="00B809F3"/>
    <w:rsid w:val="00B824CD"/>
    <w:rsid w:val="00B826F0"/>
    <w:rsid w:val="00B85B08"/>
    <w:rsid w:val="00B86E16"/>
    <w:rsid w:val="00B87226"/>
    <w:rsid w:val="00B90066"/>
    <w:rsid w:val="00B902A1"/>
    <w:rsid w:val="00B92350"/>
    <w:rsid w:val="00B93EB7"/>
    <w:rsid w:val="00B93F0C"/>
    <w:rsid w:val="00B9479E"/>
    <w:rsid w:val="00B949CF"/>
    <w:rsid w:val="00B94C24"/>
    <w:rsid w:val="00B95979"/>
    <w:rsid w:val="00B9629E"/>
    <w:rsid w:val="00B9677E"/>
    <w:rsid w:val="00B96D49"/>
    <w:rsid w:val="00BA0592"/>
    <w:rsid w:val="00BA0815"/>
    <w:rsid w:val="00BA18C8"/>
    <w:rsid w:val="00BA1D20"/>
    <w:rsid w:val="00BA27D5"/>
    <w:rsid w:val="00BA2808"/>
    <w:rsid w:val="00BA28EF"/>
    <w:rsid w:val="00BA2E9F"/>
    <w:rsid w:val="00BA3512"/>
    <w:rsid w:val="00BA3979"/>
    <w:rsid w:val="00BA5C24"/>
    <w:rsid w:val="00BA5F0E"/>
    <w:rsid w:val="00BA668A"/>
    <w:rsid w:val="00BA7A6B"/>
    <w:rsid w:val="00BB197C"/>
    <w:rsid w:val="00BB1B7B"/>
    <w:rsid w:val="00BB1FDF"/>
    <w:rsid w:val="00BB2055"/>
    <w:rsid w:val="00BB221C"/>
    <w:rsid w:val="00BB2F56"/>
    <w:rsid w:val="00BB3263"/>
    <w:rsid w:val="00BB4C0B"/>
    <w:rsid w:val="00BB526F"/>
    <w:rsid w:val="00BB53F1"/>
    <w:rsid w:val="00BB571F"/>
    <w:rsid w:val="00BB5E60"/>
    <w:rsid w:val="00BB65B4"/>
    <w:rsid w:val="00BB736C"/>
    <w:rsid w:val="00BB761A"/>
    <w:rsid w:val="00BB7688"/>
    <w:rsid w:val="00BC035D"/>
    <w:rsid w:val="00BC0A98"/>
    <w:rsid w:val="00BC1877"/>
    <w:rsid w:val="00BC1D0C"/>
    <w:rsid w:val="00BC2242"/>
    <w:rsid w:val="00BC3543"/>
    <w:rsid w:val="00BC35FF"/>
    <w:rsid w:val="00BC4395"/>
    <w:rsid w:val="00BC4D57"/>
    <w:rsid w:val="00BC4E5D"/>
    <w:rsid w:val="00BC61F1"/>
    <w:rsid w:val="00BC68A7"/>
    <w:rsid w:val="00BC75EF"/>
    <w:rsid w:val="00BC7A6E"/>
    <w:rsid w:val="00BD065D"/>
    <w:rsid w:val="00BD0A8B"/>
    <w:rsid w:val="00BD1EB4"/>
    <w:rsid w:val="00BD225D"/>
    <w:rsid w:val="00BD233B"/>
    <w:rsid w:val="00BD2700"/>
    <w:rsid w:val="00BD33C3"/>
    <w:rsid w:val="00BD3CB9"/>
    <w:rsid w:val="00BD40EC"/>
    <w:rsid w:val="00BD4696"/>
    <w:rsid w:val="00BD5D49"/>
    <w:rsid w:val="00BD63B4"/>
    <w:rsid w:val="00BE12D7"/>
    <w:rsid w:val="00BE1E50"/>
    <w:rsid w:val="00BE2297"/>
    <w:rsid w:val="00BE31D0"/>
    <w:rsid w:val="00BE3912"/>
    <w:rsid w:val="00BE42E3"/>
    <w:rsid w:val="00BE4D1E"/>
    <w:rsid w:val="00BE4D76"/>
    <w:rsid w:val="00BE595A"/>
    <w:rsid w:val="00BE6CEC"/>
    <w:rsid w:val="00BE728B"/>
    <w:rsid w:val="00BE7F86"/>
    <w:rsid w:val="00BF012C"/>
    <w:rsid w:val="00BF0A28"/>
    <w:rsid w:val="00BF0E48"/>
    <w:rsid w:val="00BF18E1"/>
    <w:rsid w:val="00BF1CA4"/>
    <w:rsid w:val="00BF2D27"/>
    <w:rsid w:val="00BF2ED9"/>
    <w:rsid w:val="00BF39BB"/>
    <w:rsid w:val="00BF3B9E"/>
    <w:rsid w:val="00BF4C04"/>
    <w:rsid w:val="00BF5C19"/>
    <w:rsid w:val="00BF6E9A"/>
    <w:rsid w:val="00C00CBA"/>
    <w:rsid w:val="00C0125F"/>
    <w:rsid w:val="00C021C3"/>
    <w:rsid w:val="00C038CC"/>
    <w:rsid w:val="00C0428C"/>
    <w:rsid w:val="00C05166"/>
    <w:rsid w:val="00C06ED9"/>
    <w:rsid w:val="00C073B9"/>
    <w:rsid w:val="00C11E25"/>
    <w:rsid w:val="00C12C6B"/>
    <w:rsid w:val="00C13BE4"/>
    <w:rsid w:val="00C14CEA"/>
    <w:rsid w:val="00C1502D"/>
    <w:rsid w:val="00C1721F"/>
    <w:rsid w:val="00C17CD9"/>
    <w:rsid w:val="00C20167"/>
    <w:rsid w:val="00C20406"/>
    <w:rsid w:val="00C20BC1"/>
    <w:rsid w:val="00C20C0D"/>
    <w:rsid w:val="00C22881"/>
    <w:rsid w:val="00C235E3"/>
    <w:rsid w:val="00C23808"/>
    <w:rsid w:val="00C24292"/>
    <w:rsid w:val="00C24F8C"/>
    <w:rsid w:val="00C2633F"/>
    <w:rsid w:val="00C300A2"/>
    <w:rsid w:val="00C3014D"/>
    <w:rsid w:val="00C304C4"/>
    <w:rsid w:val="00C3186C"/>
    <w:rsid w:val="00C31B46"/>
    <w:rsid w:val="00C324A6"/>
    <w:rsid w:val="00C329C7"/>
    <w:rsid w:val="00C32F23"/>
    <w:rsid w:val="00C33A34"/>
    <w:rsid w:val="00C33A7E"/>
    <w:rsid w:val="00C33B83"/>
    <w:rsid w:val="00C34625"/>
    <w:rsid w:val="00C352F4"/>
    <w:rsid w:val="00C35668"/>
    <w:rsid w:val="00C356F9"/>
    <w:rsid w:val="00C37022"/>
    <w:rsid w:val="00C37531"/>
    <w:rsid w:val="00C37739"/>
    <w:rsid w:val="00C40063"/>
    <w:rsid w:val="00C41607"/>
    <w:rsid w:val="00C42A2E"/>
    <w:rsid w:val="00C4365F"/>
    <w:rsid w:val="00C43AB5"/>
    <w:rsid w:val="00C44BC7"/>
    <w:rsid w:val="00C44FD1"/>
    <w:rsid w:val="00C45D30"/>
    <w:rsid w:val="00C45FF6"/>
    <w:rsid w:val="00C46340"/>
    <w:rsid w:val="00C46480"/>
    <w:rsid w:val="00C469D5"/>
    <w:rsid w:val="00C47C01"/>
    <w:rsid w:val="00C51836"/>
    <w:rsid w:val="00C524FE"/>
    <w:rsid w:val="00C54E5A"/>
    <w:rsid w:val="00C56E5B"/>
    <w:rsid w:val="00C62417"/>
    <w:rsid w:val="00C63027"/>
    <w:rsid w:val="00C640E1"/>
    <w:rsid w:val="00C64809"/>
    <w:rsid w:val="00C65726"/>
    <w:rsid w:val="00C65FE4"/>
    <w:rsid w:val="00C66190"/>
    <w:rsid w:val="00C6633E"/>
    <w:rsid w:val="00C67605"/>
    <w:rsid w:val="00C704F3"/>
    <w:rsid w:val="00C70BB0"/>
    <w:rsid w:val="00C712F9"/>
    <w:rsid w:val="00C7210E"/>
    <w:rsid w:val="00C72551"/>
    <w:rsid w:val="00C7299F"/>
    <w:rsid w:val="00C72F17"/>
    <w:rsid w:val="00C73433"/>
    <w:rsid w:val="00C742C8"/>
    <w:rsid w:val="00C7459B"/>
    <w:rsid w:val="00C74931"/>
    <w:rsid w:val="00C75247"/>
    <w:rsid w:val="00C759A3"/>
    <w:rsid w:val="00C75BF0"/>
    <w:rsid w:val="00C77110"/>
    <w:rsid w:val="00C77195"/>
    <w:rsid w:val="00C77D27"/>
    <w:rsid w:val="00C801AE"/>
    <w:rsid w:val="00C80223"/>
    <w:rsid w:val="00C80AF1"/>
    <w:rsid w:val="00C8176F"/>
    <w:rsid w:val="00C817DD"/>
    <w:rsid w:val="00C83B68"/>
    <w:rsid w:val="00C840D9"/>
    <w:rsid w:val="00C84B5D"/>
    <w:rsid w:val="00C856A7"/>
    <w:rsid w:val="00C863D3"/>
    <w:rsid w:val="00C87648"/>
    <w:rsid w:val="00C87F5D"/>
    <w:rsid w:val="00C900D2"/>
    <w:rsid w:val="00C906CD"/>
    <w:rsid w:val="00C90804"/>
    <w:rsid w:val="00C91F81"/>
    <w:rsid w:val="00C925D1"/>
    <w:rsid w:val="00C94333"/>
    <w:rsid w:val="00C947ED"/>
    <w:rsid w:val="00C95789"/>
    <w:rsid w:val="00C96CC9"/>
    <w:rsid w:val="00C97F27"/>
    <w:rsid w:val="00CA17A4"/>
    <w:rsid w:val="00CA1AC3"/>
    <w:rsid w:val="00CA342B"/>
    <w:rsid w:val="00CA35D7"/>
    <w:rsid w:val="00CA5C05"/>
    <w:rsid w:val="00CA65C8"/>
    <w:rsid w:val="00CA7001"/>
    <w:rsid w:val="00CA73EF"/>
    <w:rsid w:val="00CA7A4D"/>
    <w:rsid w:val="00CA7D62"/>
    <w:rsid w:val="00CB0481"/>
    <w:rsid w:val="00CB05A3"/>
    <w:rsid w:val="00CB0C78"/>
    <w:rsid w:val="00CB1C84"/>
    <w:rsid w:val="00CB200A"/>
    <w:rsid w:val="00CB2DC1"/>
    <w:rsid w:val="00CB3927"/>
    <w:rsid w:val="00CB5279"/>
    <w:rsid w:val="00CB630F"/>
    <w:rsid w:val="00CB647E"/>
    <w:rsid w:val="00CB65E1"/>
    <w:rsid w:val="00CB676C"/>
    <w:rsid w:val="00CB685C"/>
    <w:rsid w:val="00CB7221"/>
    <w:rsid w:val="00CC014B"/>
    <w:rsid w:val="00CC1C06"/>
    <w:rsid w:val="00CC31AF"/>
    <w:rsid w:val="00CC378B"/>
    <w:rsid w:val="00CC4A01"/>
    <w:rsid w:val="00CC55AD"/>
    <w:rsid w:val="00CC567C"/>
    <w:rsid w:val="00CC5E43"/>
    <w:rsid w:val="00CD09CE"/>
    <w:rsid w:val="00CD0E82"/>
    <w:rsid w:val="00CD1EFE"/>
    <w:rsid w:val="00CD298F"/>
    <w:rsid w:val="00CD2D8B"/>
    <w:rsid w:val="00CD37B6"/>
    <w:rsid w:val="00CD4163"/>
    <w:rsid w:val="00CD41BF"/>
    <w:rsid w:val="00CD4DAB"/>
    <w:rsid w:val="00CD5296"/>
    <w:rsid w:val="00CD5C34"/>
    <w:rsid w:val="00CD6083"/>
    <w:rsid w:val="00CD64A7"/>
    <w:rsid w:val="00CD6F50"/>
    <w:rsid w:val="00CD7729"/>
    <w:rsid w:val="00CE0729"/>
    <w:rsid w:val="00CE080C"/>
    <w:rsid w:val="00CE0E66"/>
    <w:rsid w:val="00CE1D40"/>
    <w:rsid w:val="00CE206F"/>
    <w:rsid w:val="00CE31F9"/>
    <w:rsid w:val="00CE3253"/>
    <w:rsid w:val="00CE335E"/>
    <w:rsid w:val="00CE41F1"/>
    <w:rsid w:val="00CE467B"/>
    <w:rsid w:val="00CE4EBB"/>
    <w:rsid w:val="00CE5082"/>
    <w:rsid w:val="00CE6E40"/>
    <w:rsid w:val="00CE7DB3"/>
    <w:rsid w:val="00CF06DF"/>
    <w:rsid w:val="00CF0913"/>
    <w:rsid w:val="00CF0951"/>
    <w:rsid w:val="00CF16CD"/>
    <w:rsid w:val="00CF26F9"/>
    <w:rsid w:val="00CF3B49"/>
    <w:rsid w:val="00CF3D62"/>
    <w:rsid w:val="00CF3DC0"/>
    <w:rsid w:val="00CF50B4"/>
    <w:rsid w:val="00CF52CD"/>
    <w:rsid w:val="00CF5595"/>
    <w:rsid w:val="00CF5DA2"/>
    <w:rsid w:val="00CF67D1"/>
    <w:rsid w:val="00CF790D"/>
    <w:rsid w:val="00CF7C1E"/>
    <w:rsid w:val="00CF7F9C"/>
    <w:rsid w:val="00D00396"/>
    <w:rsid w:val="00D005B8"/>
    <w:rsid w:val="00D00D65"/>
    <w:rsid w:val="00D010B7"/>
    <w:rsid w:val="00D01804"/>
    <w:rsid w:val="00D0249F"/>
    <w:rsid w:val="00D030A4"/>
    <w:rsid w:val="00D04E27"/>
    <w:rsid w:val="00D04EFE"/>
    <w:rsid w:val="00D05547"/>
    <w:rsid w:val="00D0592B"/>
    <w:rsid w:val="00D061EF"/>
    <w:rsid w:val="00D07B15"/>
    <w:rsid w:val="00D10473"/>
    <w:rsid w:val="00D10B26"/>
    <w:rsid w:val="00D1254D"/>
    <w:rsid w:val="00D12980"/>
    <w:rsid w:val="00D14354"/>
    <w:rsid w:val="00D14D84"/>
    <w:rsid w:val="00D15A07"/>
    <w:rsid w:val="00D15A70"/>
    <w:rsid w:val="00D15E6A"/>
    <w:rsid w:val="00D15EC6"/>
    <w:rsid w:val="00D16448"/>
    <w:rsid w:val="00D16E16"/>
    <w:rsid w:val="00D20B5D"/>
    <w:rsid w:val="00D22462"/>
    <w:rsid w:val="00D227E3"/>
    <w:rsid w:val="00D2345D"/>
    <w:rsid w:val="00D23BAD"/>
    <w:rsid w:val="00D25337"/>
    <w:rsid w:val="00D266F4"/>
    <w:rsid w:val="00D27915"/>
    <w:rsid w:val="00D27E65"/>
    <w:rsid w:val="00D3015F"/>
    <w:rsid w:val="00D3022F"/>
    <w:rsid w:val="00D30523"/>
    <w:rsid w:val="00D31D80"/>
    <w:rsid w:val="00D32B74"/>
    <w:rsid w:val="00D32BC8"/>
    <w:rsid w:val="00D35049"/>
    <w:rsid w:val="00D35BC8"/>
    <w:rsid w:val="00D3634A"/>
    <w:rsid w:val="00D36576"/>
    <w:rsid w:val="00D3662A"/>
    <w:rsid w:val="00D367FA"/>
    <w:rsid w:val="00D368DF"/>
    <w:rsid w:val="00D4131A"/>
    <w:rsid w:val="00D429F2"/>
    <w:rsid w:val="00D43C49"/>
    <w:rsid w:val="00D443FC"/>
    <w:rsid w:val="00D44BBC"/>
    <w:rsid w:val="00D455B4"/>
    <w:rsid w:val="00D456FA"/>
    <w:rsid w:val="00D45F34"/>
    <w:rsid w:val="00D521F9"/>
    <w:rsid w:val="00D5238A"/>
    <w:rsid w:val="00D525E8"/>
    <w:rsid w:val="00D53F46"/>
    <w:rsid w:val="00D54E6F"/>
    <w:rsid w:val="00D54FDE"/>
    <w:rsid w:val="00D55575"/>
    <w:rsid w:val="00D558CF"/>
    <w:rsid w:val="00D55B46"/>
    <w:rsid w:val="00D55ECC"/>
    <w:rsid w:val="00D5696C"/>
    <w:rsid w:val="00D56CDF"/>
    <w:rsid w:val="00D56E2D"/>
    <w:rsid w:val="00D60B0A"/>
    <w:rsid w:val="00D61126"/>
    <w:rsid w:val="00D61BD4"/>
    <w:rsid w:val="00D61E3A"/>
    <w:rsid w:val="00D61F1B"/>
    <w:rsid w:val="00D62679"/>
    <w:rsid w:val="00D626FE"/>
    <w:rsid w:val="00D62D57"/>
    <w:rsid w:val="00D6351E"/>
    <w:rsid w:val="00D63AC6"/>
    <w:rsid w:val="00D65195"/>
    <w:rsid w:val="00D6646C"/>
    <w:rsid w:val="00D66BFB"/>
    <w:rsid w:val="00D6706E"/>
    <w:rsid w:val="00D67497"/>
    <w:rsid w:val="00D67876"/>
    <w:rsid w:val="00D7061A"/>
    <w:rsid w:val="00D7282B"/>
    <w:rsid w:val="00D72DCE"/>
    <w:rsid w:val="00D73F2B"/>
    <w:rsid w:val="00D74053"/>
    <w:rsid w:val="00D746FD"/>
    <w:rsid w:val="00D74780"/>
    <w:rsid w:val="00D759FE"/>
    <w:rsid w:val="00D75FD5"/>
    <w:rsid w:val="00D76129"/>
    <w:rsid w:val="00D769D2"/>
    <w:rsid w:val="00D76E79"/>
    <w:rsid w:val="00D7779A"/>
    <w:rsid w:val="00D80D33"/>
    <w:rsid w:val="00D8188E"/>
    <w:rsid w:val="00D81D2A"/>
    <w:rsid w:val="00D82AE7"/>
    <w:rsid w:val="00D82B62"/>
    <w:rsid w:val="00D85C25"/>
    <w:rsid w:val="00D85E1C"/>
    <w:rsid w:val="00D8635F"/>
    <w:rsid w:val="00D869EB"/>
    <w:rsid w:val="00D86E7C"/>
    <w:rsid w:val="00D87848"/>
    <w:rsid w:val="00D90896"/>
    <w:rsid w:val="00D90AEE"/>
    <w:rsid w:val="00D90C50"/>
    <w:rsid w:val="00D913C3"/>
    <w:rsid w:val="00D91D14"/>
    <w:rsid w:val="00D932AC"/>
    <w:rsid w:val="00D93E02"/>
    <w:rsid w:val="00D94097"/>
    <w:rsid w:val="00D94954"/>
    <w:rsid w:val="00D94BDB"/>
    <w:rsid w:val="00D950D3"/>
    <w:rsid w:val="00D9625C"/>
    <w:rsid w:val="00D965BA"/>
    <w:rsid w:val="00D96C7E"/>
    <w:rsid w:val="00D976A7"/>
    <w:rsid w:val="00D978D7"/>
    <w:rsid w:val="00D97B43"/>
    <w:rsid w:val="00D97CC0"/>
    <w:rsid w:val="00DA1E1C"/>
    <w:rsid w:val="00DA2216"/>
    <w:rsid w:val="00DA25AD"/>
    <w:rsid w:val="00DA376B"/>
    <w:rsid w:val="00DA522E"/>
    <w:rsid w:val="00DA57E5"/>
    <w:rsid w:val="00DA6D99"/>
    <w:rsid w:val="00DB06B6"/>
    <w:rsid w:val="00DB07FA"/>
    <w:rsid w:val="00DB1740"/>
    <w:rsid w:val="00DB17F1"/>
    <w:rsid w:val="00DB1E97"/>
    <w:rsid w:val="00DB46B8"/>
    <w:rsid w:val="00DB4DF3"/>
    <w:rsid w:val="00DB5A14"/>
    <w:rsid w:val="00DB705C"/>
    <w:rsid w:val="00DB7496"/>
    <w:rsid w:val="00DB760E"/>
    <w:rsid w:val="00DB789F"/>
    <w:rsid w:val="00DB7EA6"/>
    <w:rsid w:val="00DC067C"/>
    <w:rsid w:val="00DC16BA"/>
    <w:rsid w:val="00DC173F"/>
    <w:rsid w:val="00DC228D"/>
    <w:rsid w:val="00DC22F5"/>
    <w:rsid w:val="00DC2352"/>
    <w:rsid w:val="00DC2D92"/>
    <w:rsid w:val="00DC4828"/>
    <w:rsid w:val="00DC5D9C"/>
    <w:rsid w:val="00DC5EC5"/>
    <w:rsid w:val="00DD1126"/>
    <w:rsid w:val="00DD1B5C"/>
    <w:rsid w:val="00DD1EF9"/>
    <w:rsid w:val="00DD2C0D"/>
    <w:rsid w:val="00DD30D6"/>
    <w:rsid w:val="00DD3A62"/>
    <w:rsid w:val="00DD4385"/>
    <w:rsid w:val="00DD4768"/>
    <w:rsid w:val="00DD4E7C"/>
    <w:rsid w:val="00DD5E34"/>
    <w:rsid w:val="00DD6311"/>
    <w:rsid w:val="00DD7114"/>
    <w:rsid w:val="00DE0A71"/>
    <w:rsid w:val="00DE190E"/>
    <w:rsid w:val="00DE2CBC"/>
    <w:rsid w:val="00DE3F18"/>
    <w:rsid w:val="00DE4372"/>
    <w:rsid w:val="00DE5E64"/>
    <w:rsid w:val="00DE74B5"/>
    <w:rsid w:val="00DF0A24"/>
    <w:rsid w:val="00DF5769"/>
    <w:rsid w:val="00DF59CD"/>
    <w:rsid w:val="00DF6DA1"/>
    <w:rsid w:val="00DF7C53"/>
    <w:rsid w:val="00E00403"/>
    <w:rsid w:val="00E01C6C"/>
    <w:rsid w:val="00E01D3E"/>
    <w:rsid w:val="00E03024"/>
    <w:rsid w:val="00E03499"/>
    <w:rsid w:val="00E03540"/>
    <w:rsid w:val="00E037AF"/>
    <w:rsid w:val="00E03CFE"/>
    <w:rsid w:val="00E05369"/>
    <w:rsid w:val="00E05FC3"/>
    <w:rsid w:val="00E064F9"/>
    <w:rsid w:val="00E06F43"/>
    <w:rsid w:val="00E07DD0"/>
    <w:rsid w:val="00E07FA5"/>
    <w:rsid w:val="00E07FDE"/>
    <w:rsid w:val="00E10621"/>
    <w:rsid w:val="00E10668"/>
    <w:rsid w:val="00E10E80"/>
    <w:rsid w:val="00E1168C"/>
    <w:rsid w:val="00E117DA"/>
    <w:rsid w:val="00E123E9"/>
    <w:rsid w:val="00E12596"/>
    <w:rsid w:val="00E137E3"/>
    <w:rsid w:val="00E1391F"/>
    <w:rsid w:val="00E1467D"/>
    <w:rsid w:val="00E14E70"/>
    <w:rsid w:val="00E168BB"/>
    <w:rsid w:val="00E16A54"/>
    <w:rsid w:val="00E16B74"/>
    <w:rsid w:val="00E2050C"/>
    <w:rsid w:val="00E21B15"/>
    <w:rsid w:val="00E22BB6"/>
    <w:rsid w:val="00E22CFC"/>
    <w:rsid w:val="00E22F1F"/>
    <w:rsid w:val="00E2332E"/>
    <w:rsid w:val="00E23913"/>
    <w:rsid w:val="00E247A0"/>
    <w:rsid w:val="00E24C57"/>
    <w:rsid w:val="00E25395"/>
    <w:rsid w:val="00E268F5"/>
    <w:rsid w:val="00E27DB1"/>
    <w:rsid w:val="00E30810"/>
    <w:rsid w:val="00E30977"/>
    <w:rsid w:val="00E33427"/>
    <w:rsid w:val="00E33766"/>
    <w:rsid w:val="00E33783"/>
    <w:rsid w:val="00E34644"/>
    <w:rsid w:val="00E36526"/>
    <w:rsid w:val="00E367B5"/>
    <w:rsid w:val="00E369D2"/>
    <w:rsid w:val="00E417DF"/>
    <w:rsid w:val="00E43B5C"/>
    <w:rsid w:val="00E43BCB"/>
    <w:rsid w:val="00E445A0"/>
    <w:rsid w:val="00E45E31"/>
    <w:rsid w:val="00E473A7"/>
    <w:rsid w:val="00E47492"/>
    <w:rsid w:val="00E474C2"/>
    <w:rsid w:val="00E47540"/>
    <w:rsid w:val="00E478ED"/>
    <w:rsid w:val="00E47987"/>
    <w:rsid w:val="00E50406"/>
    <w:rsid w:val="00E51513"/>
    <w:rsid w:val="00E53298"/>
    <w:rsid w:val="00E5380F"/>
    <w:rsid w:val="00E54A8F"/>
    <w:rsid w:val="00E553BF"/>
    <w:rsid w:val="00E56FF8"/>
    <w:rsid w:val="00E57086"/>
    <w:rsid w:val="00E57727"/>
    <w:rsid w:val="00E60447"/>
    <w:rsid w:val="00E60627"/>
    <w:rsid w:val="00E60AF9"/>
    <w:rsid w:val="00E63D73"/>
    <w:rsid w:val="00E64DBB"/>
    <w:rsid w:val="00E653E6"/>
    <w:rsid w:val="00E66013"/>
    <w:rsid w:val="00E66877"/>
    <w:rsid w:val="00E674FC"/>
    <w:rsid w:val="00E7059E"/>
    <w:rsid w:val="00E70F98"/>
    <w:rsid w:val="00E71C90"/>
    <w:rsid w:val="00E72B55"/>
    <w:rsid w:val="00E72D2F"/>
    <w:rsid w:val="00E72EA5"/>
    <w:rsid w:val="00E72F0D"/>
    <w:rsid w:val="00E731F4"/>
    <w:rsid w:val="00E73BED"/>
    <w:rsid w:val="00E74122"/>
    <w:rsid w:val="00E741AD"/>
    <w:rsid w:val="00E74F21"/>
    <w:rsid w:val="00E75CF6"/>
    <w:rsid w:val="00E76829"/>
    <w:rsid w:val="00E805AA"/>
    <w:rsid w:val="00E8081E"/>
    <w:rsid w:val="00E81093"/>
    <w:rsid w:val="00E8198E"/>
    <w:rsid w:val="00E8352D"/>
    <w:rsid w:val="00E84FFC"/>
    <w:rsid w:val="00E8532A"/>
    <w:rsid w:val="00E854D6"/>
    <w:rsid w:val="00E855E6"/>
    <w:rsid w:val="00E85D49"/>
    <w:rsid w:val="00E87CB4"/>
    <w:rsid w:val="00E87F8E"/>
    <w:rsid w:val="00E908DF"/>
    <w:rsid w:val="00E92882"/>
    <w:rsid w:val="00E939CC"/>
    <w:rsid w:val="00E94094"/>
    <w:rsid w:val="00E950B7"/>
    <w:rsid w:val="00E96ED4"/>
    <w:rsid w:val="00E97937"/>
    <w:rsid w:val="00EA0CC3"/>
    <w:rsid w:val="00EA1767"/>
    <w:rsid w:val="00EA23DB"/>
    <w:rsid w:val="00EA277C"/>
    <w:rsid w:val="00EA40C7"/>
    <w:rsid w:val="00EA4157"/>
    <w:rsid w:val="00EA4760"/>
    <w:rsid w:val="00EA497B"/>
    <w:rsid w:val="00EA52D3"/>
    <w:rsid w:val="00EA59A8"/>
    <w:rsid w:val="00EA5B97"/>
    <w:rsid w:val="00EA796F"/>
    <w:rsid w:val="00EA7C69"/>
    <w:rsid w:val="00EB02E7"/>
    <w:rsid w:val="00EB1BAB"/>
    <w:rsid w:val="00EB27FB"/>
    <w:rsid w:val="00EB3952"/>
    <w:rsid w:val="00EB5B45"/>
    <w:rsid w:val="00EB66CB"/>
    <w:rsid w:val="00EC09E4"/>
    <w:rsid w:val="00EC0A39"/>
    <w:rsid w:val="00EC2942"/>
    <w:rsid w:val="00EC4CAD"/>
    <w:rsid w:val="00EC6037"/>
    <w:rsid w:val="00EC66F0"/>
    <w:rsid w:val="00EC72E7"/>
    <w:rsid w:val="00EC7C36"/>
    <w:rsid w:val="00ED049D"/>
    <w:rsid w:val="00ED0B90"/>
    <w:rsid w:val="00ED1731"/>
    <w:rsid w:val="00ED21A1"/>
    <w:rsid w:val="00ED44E1"/>
    <w:rsid w:val="00ED468D"/>
    <w:rsid w:val="00ED6FA2"/>
    <w:rsid w:val="00ED7A42"/>
    <w:rsid w:val="00ED7A93"/>
    <w:rsid w:val="00EE040D"/>
    <w:rsid w:val="00EE0A63"/>
    <w:rsid w:val="00EE18AF"/>
    <w:rsid w:val="00EE1D0F"/>
    <w:rsid w:val="00EE1ED5"/>
    <w:rsid w:val="00EE20FA"/>
    <w:rsid w:val="00EE28A1"/>
    <w:rsid w:val="00EE376F"/>
    <w:rsid w:val="00EE3C8D"/>
    <w:rsid w:val="00EE423C"/>
    <w:rsid w:val="00EE44C8"/>
    <w:rsid w:val="00EE4D90"/>
    <w:rsid w:val="00EE4DD4"/>
    <w:rsid w:val="00EE612A"/>
    <w:rsid w:val="00EE68B6"/>
    <w:rsid w:val="00EE6B74"/>
    <w:rsid w:val="00EE7417"/>
    <w:rsid w:val="00EF0F7D"/>
    <w:rsid w:val="00EF14AD"/>
    <w:rsid w:val="00EF1F5E"/>
    <w:rsid w:val="00EF2759"/>
    <w:rsid w:val="00EF2B6F"/>
    <w:rsid w:val="00EF3662"/>
    <w:rsid w:val="00EF6146"/>
    <w:rsid w:val="00EF7D4D"/>
    <w:rsid w:val="00F0047F"/>
    <w:rsid w:val="00F0067E"/>
    <w:rsid w:val="00F00A4E"/>
    <w:rsid w:val="00F0130E"/>
    <w:rsid w:val="00F01B69"/>
    <w:rsid w:val="00F01D57"/>
    <w:rsid w:val="00F04680"/>
    <w:rsid w:val="00F04CB9"/>
    <w:rsid w:val="00F05950"/>
    <w:rsid w:val="00F0760E"/>
    <w:rsid w:val="00F1023E"/>
    <w:rsid w:val="00F10FB8"/>
    <w:rsid w:val="00F1130B"/>
    <w:rsid w:val="00F1151B"/>
    <w:rsid w:val="00F122FC"/>
    <w:rsid w:val="00F12959"/>
    <w:rsid w:val="00F13868"/>
    <w:rsid w:val="00F1478A"/>
    <w:rsid w:val="00F14C9B"/>
    <w:rsid w:val="00F172AB"/>
    <w:rsid w:val="00F1733E"/>
    <w:rsid w:val="00F17DE8"/>
    <w:rsid w:val="00F223BC"/>
    <w:rsid w:val="00F2277E"/>
    <w:rsid w:val="00F231D1"/>
    <w:rsid w:val="00F24EDE"/>
    <w:rsid w:val="00F2612C"/>
    <w:rsid w:val="00F26347"/>
    <w:rsid w:val="00F26F75"/>
    <w:rsid w:val="00F3066F"/>
    <w:rsid w:val="00F34046"/>
    <w:rsid w:val="00F3506E"/>
    <w:rsid w:val="00F366A1"/>
    <w:rsid w:val="00F36BC1"/>
    <w:rsid w:val="00F36C8D"/>
    <w:rsid w:val="00F37A26"/>
    <w:rsid w:val="00F400FE"/>
    <w:rsid w:val="00F403A1"/>
    <w:rsid w:val="00F4081C"/>
    <w:rsid w:val="00F40F03"/>
    <w:rsid w:val="00F41CB6"/>
    <w:rsid w:val="00F432FA"/>
    <w:rsid w:val="00F43FD7"/>
    <w:rsid w:val="00F4565F"/>
    <w:rsid w:val="00F47337"/>
    <w:rsid w:val="00F47E07"/>
    <w:rsid w:val="00F5027A"/>
    <w:rsid w:val="00F507A3"/>
    <w:rsid w:val="00F50C18"/>
    <w:rsid w:val="00F517B9"/>
    <w:rsid w:val="00F52985"/>
    <w:rsid w:val="00F52BF7"/>
    <w:rsid w:val="00F52DAC"/>
    <w:rsid w:val="00F52F9A"/>
    <w:rsid w:val="00F563B5"/>
    <w:rsid w:val="00F574E7"/>
    <w:rsid w:val="00F579E0"/>
    <w:rsid w:val="00F57EA5"/>
    <w:rsid w:val="00F60955"/>
    <w:rsid w:val="00F60EC8"/>
    <w:rsid w:val="00F62FF0"/>
    <w:rsid w:val="00F6339C"/>
    <w:rsid w:val="00F63BD5"/>
    <w:rsid w:val="00F656A5"/>
    <w:rsid w:val="00F65BA8"/>
    <w:rsid w:val="00F66A2E"/>
    <w:rsid w:val="00F67DB9"/>
    <w:rsid w:val="00F67F0E"/>
    <w:rsid w:val="00F70533"/>
    <w:rsid w:val="00F70EBD"/>
    <w:rsid w:val="00F7195C"/>
    <w:rsid w:val="00F71E91"/>
    <w:rsid w:val="00F7248B"/>
    <w:rsid w:val="00F72BD7"/>
    <w:rsid w:val="00F739E0"/>
    <w:rsid w:val="00F73A4F"/>
    <w:rsid w:val="00F73C86"/>
    <w:rsid w:val="00F7623E"/>
    <w:rsid w:val="00F7659F"/>
    <w:rsid w:val="00F7665B"/>
    <w:rsid w:val="00F76ABB"/>
    <w:rsid w:val="00F76C05"/>
    <w:rsid w:val="00F77131"/>
    <w:rsid w:val="00F7758D"/>
    <w:rsid w:val="00F80985"/>
    <w:rsid w:val="00F80BB4"/>
    <w:rsid w:val="00F81048"/>
    <w:rsid w:val="00F8136A"/>
    <w:rsid w:val="00F81B4E"/>
    <w:rsid w:val="00F8215A"/>
    <w:rsid w:val="00F82535"/>
    <w:rsid w:val="00F8283B"/>
    <w:rsid w:val="00F82F3E"/>
    <w:rsid w:val="00F84AA0"/>
    <w:rsid w:val="00F85679"/>
    <w:rsid w:val="00F871B2"/>
    <w:rsid w:val="00F87790"/>
    <w:rsid w:val="00F87899"/>
    <w:rsid w:val="00F9047E"/>
    <w:rsid w:val="00F90B1F"/>
    <w:rsid w:val="00F912C1"/>
    <w:rsid w:val="00F920A3"/>
    <w:rsid w:val="00F92269"/>
    <w:rsid w:val="00F928EA"/>
    <w:rsid w:val="00F929DA"/>
    <w:rsid w:val="00F942CC"/>
    <w:rsid w:val="00F94A11"/>
    <w:rsid w:val="00F94F05"/>
    <w:rsid w:val="00F95507"/>
    <w:rsid w:val="00F95F3D"/>
    <w:rsid w:val="00F9763F"/>
    <w:rsid w:val="00FA29E3"/>
    <w:rsid w:val="00FA2C7B"/>
    <w:rsid w:val="00FA645C"/>
    <w:rsid w:val="00FA6788"/>
    <w:rsid w:val="00FA67A1"/>
    <w:rsid w:val="00FB02D4"/>
    <w:rsid w:val="00FB0D96"/>
    <w:rsid w:val="00FB0F96"/>
    <w:rsid w:val="00FB133A"/>
    <w:rsid w:val="00FB1CA1"/>
    <w:rsid w:val="00FB28B9"/>
    <w:rsid w:val="00FB36B8"/>
    <w:rsid w:val="00FB417C"/>
    <w:rsid w:val="00FB4789"/>
    <w:rsid w:val="00FB4DFD"/>
    <w:rsid w:val="00FB7FD7"/>
    <w:rsid w:val="00FC1026"/>
    <w:rsid w:val="00FC194F"/>
    <w:rsid w:val="00FC297C"/>
    <w:rsid w:val="00FC3B90"/>
    <w:rsid w:val="00FC40B2"/>
    <w:rsid w:val="00FC54BF"/>
    <w:rsid w:val="00FC70C1"/>
    <w:rsid w:val="00FD0609"/>
    <w:rsid w:val="00FD15AD"/>
    <w:rsid w:val="00FD17EF"/>
    <w:rsid w:val="00FD26FA"/>
    <w:rsid w:val="00FD285E"/>
    <w:rsid w:val="00FD2C9F"/>
    <w:rsid w:val="00FD3465"/>
    <w:rsid w:val="00FD3CEC"/>
    <w:rsid w:val="00FD5417"/>
    <w:rsid w:val="00FD7B29"/>
    <w:rsid w:val="00FE091C"/>
    <w:rsid w:val="00FE237E"/>
    <w:rsid w:val="00FE3FE6"/>
    <w:rsid w:val="00FE4000"/>
    <w:rsid w:val="00FE41D1"/>
    <w:rsid w:val="00FE53C8"/>
    <w:rsid w:val="00FE58EF"/>
    <w:rsid w:val="00FE697A"/>
    <w:rsid w:val="00FE7B66"/>
    <w:rsid w:val="00FF00F4"/>
    <w:rsid w:val="00FF063F"/>
    <w:rsid w:val="00FF230C"/>
    <w:rsid w:val="00FF2C21"/>
    <w:rsid w:val="00FF3C44"/>
    <w:rsid w:val="00FF3D51"/>
    <w:rsid w:val="00FF406F"/>
    <w:rsid w:val="00FF63D6"/>
    <w:rsid w:val="00FF701C"/>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B4CCB"/>
  <w15:docId w15:val="{4E448CAE-AAB0-413F-86A9-A807DD9B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0955"/>
    <w:rPr>
      <w:rFonts w:eastAsiaTheme="minorEastAsia"/>
      <w:lang w:eastAsia="hu-HU"/>
    </w:rPr>
  </w:style>
  <w:style w:type="paragraph" w:styleId="Heading1">
    <w:name w:val="heading 1"/>
    <w:basedOn w:val="Normal"/>
    <w:next w:val="Normal"/>
    <w:link w:val="Heading1Char"/>
    <w:uiPriority w:val="9"/>
    <w:qFormat/>
    <w:rsid w:val="002F4FFE"/>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0D30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6E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7F12"/>
    <w:rPr>
      <w:color w:val="0000FF" w:themeColor="hyperlink"/>
      <w:u w:val="single"/>
    </w:rPr>
  </w:style>
  <w:style w:type="paragraph" w:styleId="FootnoteText">
    <w:name w:val="footnote text"/>
    <w:aliases w:val=" Char"/>
    <w:basedOn w:val="Normal"/>
    <w:link w:val="FootnoteTextChar"/>
    <w:uiPriority w:val="99"/>
    <w:unhideWhenUsed/>
    <w:qFormat/>
    <w:rsid w:val="00507F12"/>
    <w:pPr>
      <w:spacing w:after="0" w:line="240" w:lineRule="auto"/>
    </w:pPr>
    <w:rPr>
      <w:rFonts w:ascii="Calibri" w:hAnsi="Calibri" w:cs="Times New Roman"/>
      <w:sz w:val="20"/>
      <w:szCs w:val="20"/>
    </w:rPr>
  </w:style>
  <w:style w:type="character" w:customStyle="1" w:styleId="FootnoteTextChar">
    <w:name w:val="Footnote Text Char"/>
    <w:aliases w:val=" Char Char"/>
    <w:basedOn w:val="DefaultParagraphFont"/>
    <w:link w:val="FootnoteText"/>
    <w:uiPriority w:val="99"/>
    <w:rsid w:val="00507F12"/>
    <w:rPr>
      <w:rFonts w:ascii="Calibri" w:eastAsiaTheme="minorEastAsia" w:hAnsi="Calibri" w:cs="Times New Roman"/>
      <w:sz w:val="20"/>
      <w:szCs w:val="20"/>
      <w:lang w:eastAsia="hu-HU"/>
    </w:rPr>
  </w:style>
  <w:style w:type="character" w:styleId="FootnoteReference">
    <w:name w:val="footnote reference"/>
    <w:aliases w:val="Footnote Reference Arial,SUPERS,Footnote Reference Superscript,BVI fnr,Footnote symbol,Footnote symboFußnotenzeichen,Footnote sign,Footnote Reference text,Voetnootverwijzing,Odwołanie przypisu,FR,Fußnotenzeichen diss neu,note TESI"/>
    <w:basedOn w:val="DefaultParagraphFont"/>
    <w:uiPriority w:val="99"/>
    <w:unhideWhenUsed/>
    <w:qFormat/>
    <w:rsid w:val="00507F12"/>
    <w:rPr>
      <w:vertAlign w:val="superscript"/>
    </w:rPr>
  </w:style>
  <w:style w:type="paragraph" w:customStyle="1" w:styleId="jupara">
    <w:name w:val="jupara"/>
    <w:basedOn w:val="Normal"/>
    <w:rsid w:val="003043F7"/>
    <w:pPr>
      <w:spacing w:after="0" w:line="240" w:lineRule="auto"/>
      <w:ind w:firstLine="284"/>
      <w:jc w:val="both"/>
    </w:pPr>
    <w:rPr>
      <w:rFonts w:ascii="Times New Roman" w:eastAsia="Times New Roman" w:hAnsi="Times New Roman" w:cs="Times New Roman"/>
      <w:sz w:val="24"/>
      <w:szCs w:val="24"/>
    </w:rPr>
  </w:style>
  <w:style w:type="paragraph" w:customStyle="1" w:styleId="s32b251d">
    <w:name w:val="s32b251d"/>
    <w:basedOn w:val="Normal"/>
    <w:rsid w:val="00304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fc50a6a">
    <w:name w:val="sdfc50a6a"/>
    <w:basedOn w:val="DefaultParagraphFont"/>
    <w:rsid w:val="003043F7"/>
  </w:style>
  <w:style w:type="paragraph" w:styleId="Header">
    <w:name w:val="header"/>
    <w:basedOn w:val="Normal"/>
    <w:link w:val="HeaderChar"/>
    <w:uiPriority w:val="99"/>
    <w:unhideWhenUsed/>
    <w:rsid w:val="00B9677E"/>
    <w:pPr>
      <w:tabs>
        <w:tab w:val="center" w:pos="4536"/>
        <w:tab w:val="right" w:pos="9072"/>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9677E"/>
  </w:style>
  <w:style w:type="paragraph" w:styleId="Footer">
    <w:name w:val="footer"/>
    <w:basedOn w:val="Normal"/>
    <w:link w:val="FooterChar"/>
    <w:uiPriority w:val="99"/>
    <w:unhideWhenUsed/>
    <w:rsid w:val="00B9677E"/>
    <w:pPr>
      <w:tabs>
        <w:tab w:val="center" w:pos="4536"/>
        <w:tab w:val="right" w:pos="9072"/>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9677E"/>
  </w:style>
  <w:style w:type="paragraph" w:styleId="ListParagraph">
    <w:name w:val="List Paragraph"/>
    <w:aliases w:val="Dot pt,No Spacing1,List Paragraph Char Char Char,Indicator Text,Numbered Para 1,List Paragraph à moi,LISTA,Listaszerű bekezdés1,Colorful List Accent 1,Színes lista – 1. jelölőszín1,Listaszerű bekezdés11,List Paragraph1,Yellow Bullet"/>
    <w:basedOn w:val="Normal"/>
    <w:link w:val="ListParagraphChar"/>
    <w:uiPriority w:val="34"/>
    <w:qFormat/>
    <w:rsid w:val="00A40D6E"/>
    <w:pPr>
      <w:ind w:left="720"/>
      <w:contextualSpacing/>
    </w:pPr>
    <w:rPr>
      <w:rFonts w:eastAsiaTheme="minorHAnsi"/>
      <w:lang w:eastAsia="en-US"/>
    </w:rPr>
  </w:style>
  <w:style w:type="character" w:customStyle="1" w:styleId="ListParagraphChar">
    <w:name w:val="List Paragraph Char"/>
    <w:aliases w:val="Dot pt Char,No Spacing1 Char,List Paragraph Char Char Char Char,Indicator Text Char,Numbered Para 1 Char,List Paragraph à moi Char,LISTA Char,Listaszerű bekezdés1 Char,Colorful List Accent 1 Char,Színes lista – 1. jelölőszín1 Char"/>
    <w:link w:val="ListParagraph"/>
    <w:uiPriority w:val="34"/>
    <w:qFormat/>
    <w:locked/>
    <w:rsid w:val="00A40D6E"/>
  </w:style>
  <w:style w:type="character" w:customStyle="1" w:styleId="sae070d1d">
    <w:name w:val="sae070d1d"/>
    <w:basedOn w:val="DefaultParagraphFont"/>
    <w:rsid w:val="009F4661"/>
  </w:style>
  <w:style w:type="character" w:styleId="CommentReference">
    <w:name w:val="annotation reference"/>
    <w:basedOn w:val="DefaultParagraphFont"/>
    <w:uiPriority w:val="99"/>
    <w:semiHidden/>
    <w:unhideWhenUsed/>
    <w:rsid w:val="009F4661"/>
    <w:rPr>
      <w:sz w:val="16"/>
      <w:szCs w:val="16"/>
    </w:rPr>
  </w:style>
  <w:style w:type="paragraph" w:styleId="CommentText">
    <w:name w:val="annotation text"/>
    <w:basedOn w:val="Normal"/>
    <w:link w:val="CommentTextChar"/>
    <w:uiPriority w:val="99"/>
    <w:unhideWhenUsed/>
    <w:rsid w:val="009F4661"/>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9F4661"/>
    <w:rPr>
      <w:sz w:val="20"/>
      <w:szCs w:val="20"/>
    </w:rPr>
  </w:style>
  <w:style w:type="paragraph" w:styleId="CommentSubject">
    <w:name w:val="annotation subject"/>
    <w:basedOn w:val="CommentText"/>
    <w:next w:val="CommentText"/>
    <w:link w:val="CommentSubjectChar"/>
    <w:uiPriority w:val="99"/>
    <w:semiHidden/>
    <w:unhideWhenUsed/>
    <w:rsid w:val="009F4661"/>
    <w:rPr>
      <w:b/>
      <w:bCs/>
    </w:rPr>
  </w:style>
  <w:style w:type="character" w:customStyle="1" w:styleId="CommentSubjectChar">
    <w:name w:val="Comment Subject Char"/>
    <w:basedOn w:val="CommentTextChar"/>
    <w:link w:val="CommentSubject"/>
    <w:uiPriority w:val="99"/>
    <w:semiHidden/>
    <w:rsid w:val="009F4661"/>
    <w:rPr>
      <w:b/>
      <w:bCs/>
      <w:sz w:val="20"/>
      <w:szCs w:val="20"/>
    </w:rPr>
  </w:style>
  <w:style w:type="paragraph" w:styleId="BalloonText">
    <w:name w:val="Balloon Text"/>
    <w:basedOn w:val="Normal"/>
    <w:link w:val="BalloonTextChar"/>
    <w:uiPriority w:val="99"/>
    <w:semiHidden/>
    <w:unhideWhenUsed/>
    <w:rsid w:val="009F4661"/>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F4661"/>
    <w:rPr>
      <w:rFonts w:ascii="Tahoma" w:hAnsi="Tahoma" w:cs="Tahoma"/>
      <w:sz w:val="16"/>
      <w:szCs w:val="16"/>
    </w:rPr>
  </w:style>
  <w:style w:type="paragraph" w:styleId="NoSpacing">
    <w:name w:val="No Spacing"/>
    <w:link w:val="NoSpacingChar"/>
    <w:uiPriority w:val="1"/>
    <w:qFormat/>
    <w:rsid w:val="008A0C55"/>
    <w:pPr>
      <w:spacing w:after="0" w:line="240" w:lineRule="auto"/>
    </w:pPr>
    <w:rPr>
      <w:rFonts w:eastAsiaTheme="minorEastAsia"/>
      <w:lang w:eastAsia="hu-HU"/>
    </w:rPr>
  </w:style>
  <w:style w:type="paragraph" w:styleId="NormalWeb">
    <w:name w:val="Normal (Web)"/>
    <w:basedOn w:val="Normal"/>
    <w:uiPriority w:val="99"/>
    <w:unhideWhenUsed/>
    <w:rsid w:val="002F4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F4F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303E"/>
    <w:rPr>
      <w:rFonts w:asciiTheme="majorHAnsi" w:eastAsiaTheme="majorEastAsia" w:hAnsiTheme="majorHAnsi" w:cstheme="majorBidi"/>
      <w:b/>
      <w:bCs/>
      <w:color w:val="4F81BD" w:themeColor="accent1"/>
      <w:sz w:val="26"/>
      <w:szCs w:val="26"/>
      <w:lang w:eastAsia="hu-HU"/>
    </w:rPr>
  </w:style>
  <w:style w:type="paragraph" w:customStyle="1" w:styleId="Normal12Hanging">
    <w:name w:val="Normal12Hanging"/>
    <w:basedOn w:val="Normal"/>
    <w:link w:val="Normal12HangingChar"/>
    <w:rsid w:val="000D303E"/>
    <w:pPr>
      <w:widowControl w:val="0"/>
      <w:spacing w:after="240" w:line="240" w:lineRule="auto"/>
      <w:ind w:left="567" w:hanging="567"/>
    </w:pPr>
    <w:rPr>
      <w:rFonts w:ascii="Times New Roman" w:eastAsia="Times New Roman" w:hAnsi="Times New Roman" w:cs="Times New Roman"/>
      <w:sz w:val="24"/>
      <w:szCs w:val="20"/>
      <w:lang w:val="en-GB" w:eastAsia="en-GB"/>
    </w:rPr>
  </w:style>
  <w:style w:type="paragraph" w:styleId="TOCHeading">
    <w:name w:val="TOC Heading"/>
    <w:basedOn w:val="Heading1"/>
    <w:next w:val="Normal"/>
    <w:uiPriority w:val="39"/>
    <w:semiHidden/>
    <w:unhideWhenUsed/>
    <w:qFormat/>
    <w:rsid w:val="00733E15"/>
    <w:pPr>
      <w:jc w:val="left"/>
      <w:outlineLvl w:val="9"/>
    </w:pPr>
    <w:rPr>
      <w:lang w:eastAsia="hu-HU"/>
    </w:rPr>
  </w:style>
  <w:style w:type="paragraph" w:styleId="TOC1">
    <w:name w:val="toc 1"/>
    <w:basedOn w:val="Normal"/>
    <w:next w:val="Normal"/>
    <w:autoRedefine/>
    <w:uiPriority w:val="39"/>
    <w:unhideWhenUsed/>
    <w:rsid w:val="00D0249F"/>
    <w:pPr>
      <w:tabs>
        <w:tab w:val="right" w:leader="dot" w:pos="9062"/>
      </w:tabs>
      <w:spacing w:after="100"/>
    </w:pPr>
    <w:rPr>
      <w:rFonts w:ascii="Book Antiqua" w:eastAsiaTheme="minorHAnsi" w:hAnsi="Book Antiqua"/>
      <w:b/>
      <w:noProof/>
      <w:lang w:val="en-GB" w:eastAsia="en-US"/>
    </w:rPr>
  </w:style>
  <w:style w:type="paragraph" w:styleId="TOC2">
    <w:name w:val="toc 2"/>
    <w:basedOn w:val="Normal"/>
    <w:next w:val="Normal"/>
    <w:autoRedefine/>
    <w:uiPriority w:val="39"/>
    <w:unhideWhenUsed/>
    <w:rsid w:val="00733E15"/>
    <w:pPr>
      <w:spacing w:after="100"/>
      <w:ind w:left="220"/>
    </w:pPr>
    <w:rPr>
      <w:rFonts w:eastAsiaTheme="minorHAnsi"/>
      <w:lang w:eastAsia="en-US"/>
    </w:rPr>
  </w:style>
  <w:style w:type="paragraph" w:styleId="Revision">
    <w:name w:val="Revision"/>
    <w:hidden/>
    <w:uiPriority w:val="99"/>
    <w:semiHidden/>
    <w:rsid w:val="00750E85"/>
    <w:pPr>
      <w:spacing w:after="0" w:line="240" w:lineRule="auto"/>
    </w:pPr>
  </w:style>
  <w:style w:type="character" w:customStyle="1" w:styleId="shorttext">
    <w:name w:val="short_text"/>
    <w:basedOn w:val="DefaultParagraphFont"/>
    <w:rsid w:val="00146D77"/>
  </w:style>
  <w:style w:type="paragraph" w:customStyle="1" w:styleId="ti-art2">
    <w:name w:val="ti-art2"/>
    <w:basedOn w:val="Normal"/>
    <w:rsid w:val="00D367FA"/>
    <w:pPr>
      <w:spacing w:before="360" w:after="120" w:line="312" w:lineRule="atLeast"/>
      <w:jc w:val="center"/>
    </w:pPr>
    <w:rPr>
      <w:rFonts w:ascii="Times New Roman" w:eastAsia="Times New Roman" w:hAnsi="Times New Roman" w:cs="Times New Roman"/>
      <w:i/>
      <w:iCs/>
      <w:sz w:val="24"/>
      <w:szCs w:val="24"/>
    </w:rPr>
  </w:style>
  <w:style w:type="paragraph" w:customStyle="1" w:styleId="normal2">
    <w:name w:val="normal2"/>
    <w:basedOn w:val="Normal"/>
    <w:rsid w:val="00D367FA"/>
    <w:pPr>
      <w:spacing w:before="120" w:after="0" w:line="312" w:lineRule="atLeast"/>
      <w:jc w:val="both"/>
    </w:pPr>
    <w:rPr>
      <w:rFonts w:ascii="Times New Roman" w:eastAsia="Times New Roman" w:hAnsi="Times New Roman" w:cs="Times New Roman"/>
      <w:sz w:val="24"/>
      <w:szCs w:val="24"/>
    </w:rPr>
  </w:style>
  <w:style w:type="character" w:customStyle="1" w:styleId="Normal12HangingChar">
    <w:name w:val="Normal12Hanging Char"/>
    <w:link w:val="Normal12Hanging"/>
    <w:rsid w:val="003252BD"/>
    <w:rPr>
      <w:rFonts w:ascii="Times New Roman" w:eastAsia="Times New Roman" w:hAnsi="Times New Roman" w:cs="Times New Roman"/>
      <w:sz w:val="24"/>
      <w:szCs w:val="20"/>
      <w:lang w:val="en-GB" w:eastAsia="en-GB"/>
    </w:rPr>
  </w:style>
  <w:style w:type="character" w:styleId="Strong">
    <w:name w:val="Strong"/>
    <w:basedOn w:val="DefaultParagraphFont"/>
    <w:uiPriority w:val="22"/>
    <w:qFormat/>
    <w:rsid w:val="001E1B59"/>
    <w:rPr>
      <w:b/>
      <w:bCs/>
    </w:rPr>
  </w:style>
  <w:style w:type="paragraph" w:customStyle="1" w:styleId="Normal12">
    <w:name w:val="Normal12"/>
    <w:basedOn w:val="Normal"/>
    <w:link w:val="Normal12Char"/>
    <w:qFormat/>
    <w:rsid w:val="00FD7B29"/>
    <w:pPr>
      <w:spacing w:after="240"/>
      <w:ind w:left="357" w:hanging="357"/>
    </w:pPr>
    <w:rPr>
      <w:rFonts w:ascii="Times New Roman" w:eastAsia="Times New Roman" w:hAnsi="Times New Roman" w:cs="Times New Roman"/>
      <w:sz w:val="24"/>
      <w:szCs w:val="20"/>
      <w:lang w:val="en-GB" w:eastAsia="en-GB"/>
    </w:rPr>
  </w:style>
  <w:style w:type="character" w:customStyle="1" w:styleId="Normal12Char">
    <w:name w:val="Normal12 Char"/>
    <w:link w:val="Normal12"/>
    <w:rsid w:val="00FD7B29"/>
    <w:rPr>
      <w:rFonts w:ascii="Times New Roman" w:eastAsia="Times New Roman" w:hAnsi="Times New Roman" w:cs="Times New Roman"/>
      <w:sz w:val="24"/>
      <w:szCs w:val="20"/>
      <w:lang w:val="en-GB" w:eastAsia="en-GB"/>
    </w:rPr>
  </w:style>
  <w:style w:type="paragraph" w:customStyle="1" w:styleId="Alaprtelmezett">
    <w:name w:val="Alapértelmezett"/>
    <w:uiPriority w:val="99"/>
    <w:rsid w:val="00FD7B29"/>
    <w:pPr>
      <w:spacing w:after="0" w:line="240" w:lineRule="auto"/>
    </w:pPr>
    <w:rPr>
      <w:rFonts w:ascii="Helvetica Neue" w:eastAsia="Arial Unicode MS" w:hAnsi="Helvetica Neue" w:cs="Arial Unicode MS"/>
      <w:color w:val="000000"/>
      <w:lang w:val="en-GB" w:eastAsia="en-GB" w:bidi="en-GB"/>
    </w:rPr>
  </w:style>
  <w:style w:type="character" w:styleId="Emphasis">
    <w:name w:val="Emphasis"/>
    <w:basedOn w:val="DefaultParagraphFont"/>
    <w:uiPriority w:val="20"/>
    <w:qFormat/>
    <w:rsid w:val="001330E6"/>
    <w:rPr>
      <w:i/>
      <w:iCs/>
    </w:rPr>
  </w:style>
  <w:style w:type="character" w:customStyle="1" w:styleId="italic">
    <w:name w:val="italic"/>
    <w:basedOn w:val="DefaultParagraphFont"/>
    <w:rsid w:val="006712C4"/>
  </w:style>
  <w:style w:type="paragraph" w:customStyle="1" w:styleId="Default">
    <w:name w:val="Default"/>
    <w:rsid w:val="003F7D00"/>
    <w:pPr>
      <w:autoSpaceDE w:val="0"/>
      <w:autoSpaceDN w:val="0"/>
      <w:adjustRightInd w:val="0"/>
      <w:spacing w:after="0" w:line="240" w:lineRule="auto"/>
    </w:pPr>
    <w:rPr>
      <w:rFonts w:ascii="Melior" w:hAnsi="Melior" w:cs="Melior"/>
      <w:color w:val="000000"/>
      <w:sz w:val="24"/>
      <w:szCs w:val="24"/>
    </w:rPr>
  </w:style>
  <w:style w:type="paragraph" w:customStyle="1" w:styleId="Norml1">
    <w:name w:val="Normál1"/>
    <w:basedOn w:val="Normal"/>
    <w:rsid w:val="00B5371A"/>
    <w:pPr>
      <w:spacing w:before="120" w:after="0" w:line="240" w:lineRule="auto"/>
      <w:jc w:val="both"/>
    </w:pPr>
    <w:rPr>
      <w:rFonts w:ascii="Times New Roman" w:eastAsia="Times New Roman" w:hAnsi="Times New Roman" w:cs="Times New Roman"/>
      <w:sz w:val="24"/>
      <w:szCs w:val="24"/>
    </w:rPr>
  </w:style>
  <w:style w:type="paragraph" w:customStyle="1" w:styleId="sti-art">
    <w:name w:val="sti-art"/>
    <w:basedOn w:val="Normal"/>
    <w:rsid w:val="00B5371A"/>
    <w:pPr>
      <w:spacing w:before="60" w:after="120" w:line="240" w:lineRule="auto"/>
      <w:jc w:val="center"/>
    </w:pPr>
    <w:rPr>
      <w:rFonts w:ascii="Times New Roman" w:eastAsia="Times New Roman" w:hAnsi="Times New Roman" w:cs="Times New Roman"/>
      <w:b/>
      <w:bCs/>
      <w:sz w:val="24"/>
      <w:szCs w:val="24"/>
    </w:rPr>
  </w:style>
  <w:style w:type="paragraph" w:customStyle="1" w:styleId="ti-art">
    <w:name w:val="ti-art"/>
    <w:basedOn w:val="Normal"/>
    <w:rsid w:val="00B5371A"/>
    <w:pPr>
      <w:spacing w:before="360" w:after="120" w:line="240" w:lineRule="auto"/>
      <w:jc w:val="center"/>
    </w:pPr>
    <w:rPr>
      <w:rFonts w:ascii="Times New Roman" w:eastAsia="Times New Roman" w:hAnsi="Times New Roman" w:cs="Times New Roman"/>
      <w:i/>
      <w:iCs/>
      <w:sz w:val="24"/>
      <w:szCs w:val="24"/>
    </w:rPr>
  </w:style>
  <w:style w:type="character" w:customStyle="1" w:styleId="super">
    <w:name w:val="super"/>
    <w:basedOn w:val="DefaultParagraphFont"/>
    <w:rsid w:val="00B5371A"/>
    <w:rPr>
      <w:sz w:val="17"/>
      <w:szCs w:val="17"/>
      <w:vertAlign w:val="superscript"/>
    </w:rPr>
  </w:style>
  <w:style w:type="paragraph" w:customStyle="1" w:styleId="Pa139">
    <w:name w:val="Pa139"/>
    <w:basedOn w:val="Default"/>
    <w:next w:val="Default"/>
    <w:uiPriority w:val="99"/>
    <w:rsid w:val="009051E6"/>
    <w:pPr>
      <w:spacing w:line="381" w:lineRule="atLeast"/>
    </w:pPr>
    <w:rPr>
      <w:rFonts w:ascii="EC Square Sans Pro" w:hAnsi="EC Square Sans Pro" w:cstheme="minorBidi"/>
      <w:color w:val="auto"/>
    </w:rPr>
  </w:style>
  <w:style w:type="character" w:customStyle="1" w:styleId="A15">
    <w:name w:val="A15"/>
    <w:uiPriority w:val="99"/>
    <w:rsid w:val="009051E6"/>
    <w:rPr>
      <w:rFonts w:cs="EC Square Sans Pro"/>
      <w:color w:val="000000"/>
      <w:sz w:val="20"/>
      <w:szCs w:val="20"/>
    </w:rPr>
  </w:style>
  <w:style w:type="character" w:customStyle="1" w:styleId="bold3">
    <w:name w:val="bold3"/>
    <w:basedOn w:val="DefaultParagraphFont"/>
    <w:rsid w:val="0078699D"/>
    <w:rPr>
      <w:b/>
      <w:bCs/>
    </w:rPr>
  </w:style>
  <w:style w:type="paragraph" w:styleId="PlainText">
    <w:name w:val="Plain Text"/>
    <w:basedOn w:val="Normal"/>
    <w:link w:val="PlainTextChar"/>
    <w:uiPriority w:val="99"/>
    <w:semiHidden/>
    <w:unhideWhenUsed/>
    <w:rsid w:val="007B568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PlainTextChar">
    <w:name w:val="Plain Text Char"/>
    <w:basedOn w:val="DefaultParagraphFont"/>
    <w:link w:val="PlainText"/>
    <w:uiPriority w:val="99"/>
    <w:semiHidden/>
    <w:rsid w:val="007B5681"/>
    <w:rPr>
      <w:rFonts w:ascii="Times New Roman" w:hAnsi="Times New Roman" w:cs="Times New Roman"/>
      <w:sz w:val="24"/>
      <w:szCs w:val="24"/>
      <w:lang w:eastAsia="hu-HU"/>
    </w:rPr>
  </w:style>
  <w:style w:type="character" w:customStyle="1" w:styleId="sb8d990e2">
    <w:name w:val="sb8d990e2"/>
    <w:basedOn w:val="DefaultParagraphFont"/>
    <w:rsid w:val="00685D2A"/>
  </w:style>
  <w:style w:type="character" w:customStyle="1" w:styleId="Heading3Char">
    <w:name w:val="Heading 3 Char"/>
    <w:basedOn w:val="DefaultParagraphFont"/>
    <w:link w:val="Heading3"/>
    <w:uiPriority w:val="9"/>
    <w:semiHidden/>
    <w:rsid w:val="00C56E5B"/>
    <w:rPr>
      <w:rFonts w:asciiTheme="majorHAnsi" w:eastAsiaTheme="majorEastAsia" w:hAnsiTheme="majorHAnsi" w:cstheme="majorBidi"/>
      <w:b/>
      <w:bCs/>
      <w:color w:val="4F81BD" w:themeColor="accent1"/>
      <w:lang w:eastAsia="hu-HU"/>
    </w:rPr>
  </w:style>
  <w:style w:type="character" w:styleId="FollowedHyperlink">
    <w:name w:val="FollowedHyperlink"/>
    <w:basedOn w:val="DefaultParagraphFont"/>
    <w:uiPriority w:val="99"/>
    <w:semiHidden/>
    <w:unhideWhenUsed/>
    <w:rsid w:val="00552314"/>
    <w:rPr>
      <w:color w:val="800080" w:themeColor="followedHyperlink"/>
      <w:u w:val="single"/>
    </w:rPr>
  </w:style>
  <w:style w:type="paragraph" w:styleId="BodyText">
    <w:name w:val="Body Text"/>
    <w:basedOn w:val="Normal"/>
    <w:link w:val="BodyTextChar"/>
    <w:uiPriority w:val="99"/>
    <w:rsid w:val="000470D9"/>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0470D9"/>
    <w:rPr>
      <w:rFonts w:ascii="Times New Roman" w:eastAsia="Times New Roman" w:hAnsi="Times New Roman" w:cs="Times New Roman"/>
      <w:sz w:val="24"/>
      <w:szCs w:val="24"/>
      <w:lang w:val="x-none" w:eastAsia="x-none"/>
    </w:rPr>
  </w:style>
  <w:style w:type="character" w:customStyle="1" w:styleId="NoSpacingChar">
    <w:name w:val="No Spacing Char"/>
    <w:link w:val="NoSpacing"/>
    <w:uiPriority w:val="1"/>
    <w:locked/>
    <w:rsid w:val="00247399"/>
    <w:rPr>
      <w:rFonts w:eastAsiaTheme="minorEastAsia"/>
      <w:lang w:eastAsia="hu-HU"/>
    </w:rPr>
  </w:style>
  <w:style w:type="paragraph" w:customStyle="1" w:styleId="Bekezds">
    <w:name w:val="Bekezdés"/>
    <w:uiPriority w:val="99"/>
    <w:rsid w:val="00E247A0"/>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FCm">
    <w:name w:val="FôCím"/>
    <w:uiPriority w:val="99"/>
    <w:rsid w:val="00E247A0"/>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TechnicalBlock">
    <w:name w:val="Technical Block"/>
    <w:basedOn w:val="Normal"/>
    <w:link w:val="TechnicalBlockChar"/>
    <w:rsid w:val="00F52F9A"/>
    <w:pPr>
      <w:spacing w:after="240" w:line="240" w:lineRule="auto"/>
      <w:jc w:val="center"/>
    </w:pPr>
  </w:style>
  <w:style w:type="character" w:customStyle="1" w:styleId="TechnicalBlockChar">
    <w:name w:val="Technical Block Char"/>
    <w:basedOn w:val="DefaultParagraphFont"/>
    <w:link w:val="TechnicalBlock"/>
    <w:rsid w:val="00F52F9A"/>
    <w:rPr>
      <w:rFonts w:eastAsiaTheme="minorEastAsia"/>
      <w:lang w:eastAsia="hu-HU"/>
    </w:rPr>
  </w:style>
  <w:style w:type="paragraph" w:customStyle="1" w:styleId="EntText">
    <w:name w:val="EntText"/>
    <w:basedOn w:val="Normal"/>
    <w:rsid w:val="00F52F9A"/>
    <w:pPr>
      <w:spacing w:before="120" w:after="120" w:line="360" w:lineRule="auto"/>
    </w:pPr>
    <w:rPr>
      <w:rFonts w:ascii="Times New Roman" w:eastAsiaTheme="minorHAnsi" w:hAnsi="Times New Roman" w:cs="Times New Roman"/>
      <w:sz w:val="24"/>
      <w:lang w:eastAsia="en-US"/>
    </w:rPr>
  </w:style>
  <w:style w:type="paragraph" w:customStyle="1" w:styleId="Lignefinal">
    <w:name w:val="Ligne final"/>
    <w:basedOn w:val="Normal"/>
    <w:next w:val="Normal"/>
    <w:rsid w:val="00F52F9A"/>
    <w:pPr>
      <w:pBdr>
        <w:bottom w:val="single" w:sz="4" w:space="0" w:color="000000"/>
      </w:pBdr>
      <w:spacing w:before="360" w:after="120" w:line="360" w:lineRule="auto"/>
      <w:ind w:left="3400" w:right="3400"/>
      <w:jc w:val="center"/>
    </w:pPr>
    <w:rPr>
      <w:rFonts w:ascii="Times New Roman" w:eastAsiaTheme="minorHAnsi" w:hAnsi="Times New Roman" w:cs="Times New Roman"/>
      <w:b/>
      <w:sz w:val="24"/>
      <w:lang w:eastAsia="en-US"/>
    </w:rPr>
  </w:style>
  <w:style w:type="character" w:customStyle="1" w:styleId="Marker">
    <w:name w:val="Marker"/>
    <w:basedOn w:val="DefaultParagraphFont"/>
    <w:rsid w:val="00F52F9A"/>
    <w:rPr>
      <w:color w:val="0000FF"/>
      <w:bdr w:val="none" w:sz="0" w:space="0" w:color="auto"/>
      <w:shd w:val="clear" w:color="auto" w:fill="auto"/>
    </w:rPr>
  </w:style>
  <w:style w:type="paragraph" w:customStyle="1" w:styleId="pj">
    <w:name w:val="p.j."/>
    <w:basedOn w:val="Normal"/>
    <w:link w:val="pjChar"/>
    <w:rsid w:val="00F52F9A"/>
    <w:pPr>
      <w:spacing w:before="1200" w:after="12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F52F9A"/>
    <w:rPr>
      <w:rFonts w:ascii="Times New Roman" w:eastAsiaTheme="minorEastAsia" w:hAnsi="Times New Roman" w:cs="Times New Roman"/>
      <w:sz w:val="24"/>
      <w:lang w:eastAsia="hu-HU"/>
    </w:rPr>
  </w:style>
  <w:style w:type="paragraph" w:customStyle="1" w:styleId="nbbordered">
    <w:name w:val="nb bordered"/>
    <w:basedOn w:val="Normal"/>
    <w:link w:val="nbborderedChar"/>
    <w:rsid w:val="00F52F9A"/>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rFonts w:ascii="Times New Roman" w:hAnsi="Times New Roman" w:cs="Times New Roman"/>
      <w:b/>
      <w:sz w:val="24"/>
    </w:rPr>
  </w:style>
  <w:style w:type="character" w:customStyle="1" w:styleId="nbborderedChar">
    <w:name w:val="nb bordered Char"/>
    <w:basedOn w:val="TechnicalBlockChar"/>
    <w:link w:val="nbbordered"/>
    <w:rsid w:val="00F52F9A"/>
    <w:rPr>
      <w:rFonts w:ascii="Times New Roman" w:eastAsiaTheme="minorEastAsia" w:hAnsi="Times New Roman" w:cs="Times New Roman"/>
      <w:b/>
      <w:sz w:val="24"/>
      <w:lang w:eastAsia="hu-HU"/>
    </w:rPr>
  </w:style>
  <w:style w:type="paragraph" w:customStyle="1" w:styleId="HeaderCouncil">
    <w:name w:val="Header Council"/>
    <w:basedOn w:val="Normal"/>
    <w:link w:val="HeaderCouncilChar"/>
    <w:rsid w:val="00F52F9A"/>
    <w:pPr>
      <w:spacing w:after="0"/>
      <w:ind w:left="-1134" w:right="-1134"/>
    </w:pPr>
    <w:rPr>
      <w:sz w:val="2"/>
    </w:rPr>
  </w:style>
  <w:style w:type="character" w:customStyle="1" w:styleId="HeaderCouncilChar">
    <w:name w:val="Header Council Char"/>
    <w:basedOn w:val="TechnicalBlockChar"/>
    <w:link w:val="HeaderCouncil"/>
    <w:rsid w:val="00F52F9A"/>
    <w:rPr>
      <w:rFonts w:eastAsiaTheme="minorEastAsia"/>
      <w:sz w:val="2"/>
      <w:lang w:eastAsia="hu-HU"/>
    </w:rPr>
  </w:style>
  <w:style w:type="paragraph" w:customStyle="1" w:styleId="HeaderCouncilLarge">
    <w:name w:val="Header Council Large"/>
    <w:basedOn w:val="Normal"/>
    <w:link w:val="HeaderCouncilLargeChar"/>
    <w:rsid w:val="00F52F9A"/>
    <w:pPr>
      <w:spacing w:after="440"/>
      <w:ind w:left="-1134" w:right="-1134"/>
    </w:pPr>
    <w:rPr>
      <w:sz w:val="2"/>
    </w:rPr>
  </w:style>
  <w:style w:type="character" w:customStyle="1" w:styleId="HeaderCouncilLargeChar">
    <w:name w:val="Header Council Large Char"/>
    <w:basedOn w:val="TechnicalBlockChar"/>
    <w:link w:val="HeaderCouncilLarge"/>
    <w:rsid w:val="00F52F9A"/>
    <w:rPr>
      <w:rFonts w:eastAsiaTheme="minorEastAsia"/>
      <w:sz w:val="2"/>
      <w:lang w:eastAsia="hu-HU"/>
    </w:rPr>
  </w:style>
  <w:style w:type="paragraph" w:customStyle="1" w:styleId="FooterCouncil">
    <w:name w:val="Footer Council"/>
    <w:basedOn w:val="Normal"/>
    <w:link w:val="FooterCouncilChar"/>
    <w:rsid w:val="00F52F9A"/>
    <w:pPr>
      <w:spacing w:after="0"/>
      <w:ind w:left="-1134" w:right="-1134"/>
    </w:pPr>
    <w:rPr>
      <w:sz w:val="2"/>
    </w:rPr>
  </w:style>
  <w:style w:type="character" w:customStyle="1" w:styleId="FooterCouncilChar">
    <w:name w:val="Footer Council Char"/>
    <w:basedOn w:val="TechnicalBlockChar"/>
    <w:link w:val="FooterCouncil"/>
    <w:rsid w:val="00F52F9A"/>
    <w:rPr>
      <w:rFonts w:eastAsiaTheme="minorEastAsia"/>
      <w:sz w:val="2"/>
      <w:lang w:eastAsia="hu-HU"/>
    </w:rPr>
  </w:style>
  <w:style w:type="paragraph" w:customStyle="1" w:styleId="FooterText">
    <w:name w:val="Footer Text"/>
    <w:basedOn w:val="Normal"/>
    <w:rsid w:val="00F52F9A"/>
    <w:pPr>
      <w:spacing w:after="0" w:line="240" w:lineRule="auto"/>
    </w:pPr>
    <w:rPr>
      <w:rFonts w:ascii="Times New Roman" w:eastAsia="Times New Roman" w:hAnsi="Times New Roman" w:cs="Times New Roman"/>
      <w:sz w:val="24"/>
      <w:szCs w:val="24"/>
      <w:lang w:val="en-GB" w:eastAsia="en-US"/>
    </w:rPr>
  </w:style>
  <w:style w:type="character" w:styleId="PlaceholderText">
    <w:name w:val="Placeholder Text"/>
    <w:basedOn w:val="DefaultParagraphFont"/>
    <w:uiPriority w:val="99"/>
    <w:semiHidden/>
    <w:rsid w:val="00F52F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1865">
      <w:bodyDiv w:val="1"/>
      <w:marLeft w:val="0"/>
      <w:marRight w:val="0"/>
      <w:marTop w:val="0"/>
      <w:marBottom w:val="0"/>
      <w:divBdr>
        <w:top w:val="none" w:sz="0" w:space="0" w:color="auto"/>
        <w:left w:val="none" w:sz="0" w:space="0" w:color="auto"/>
        <w:bottom w:val="none" w:sz="0" w:space="0" w:color="auto"/>
        <w:right w:val="none" w:sz="0" w:space="0" w:color="auto"/>
      </w:divBdr>
    </w:div>
    <w:div w:id="85738008">
      <w:bodyDiv w:val="1"/>
      <w:marLeft w:val="0"/>
      <w:marRight w:val="0"/>
      <w:marTop w:val="0"/>
      <w:marBottom w:val="0"/>
      <w:divBdr>
        <w:top w:val="none" w:sz="0" w:space="0" w:color="auto"/>
        <w:left w:val="none" w:sz="0" w:space="0" w:color="auto"/>
        <w:bottom w:val="none" w:sz="0" w:space="0" w:color="auto"/>
        <w:right w:val="none" w:sz="0" w:space="0" w:color="auto"/>
      </w:divBdr>
    </w:div>
    <w:div w:id="119426241">
      <w:bodyDiv w:val="1"/>
      <w:marLeft w:val="0"/>
      <w:marRight w:val="0"/>
      <w:marTop w:val="0"/>
      <w:marBottom w:val="0"/>
      <w:divBdr>
        <w:top w:val="none" w:sz="0" w:space="0" w:color="auto"/>
        <w:left w:val="none" w:sz="0" w:space="0" w:color="auto"/>
        <w:bottom w:val="none" w:sz="0" w:space="0" w:color="auto"/>
        <w:right w:val="none" w:sz="0" w:space="0" w:color="auto"/>
      </w:divBdr>
    </w:div>
    <w:div w:id="133760139">
      <w:bodyDiv w:val="1"/>
      <w:marLeft w:val="0"/>
      <w:marRight w:val="0"/>
      <w:marTop w:val="0"/>
      <w:marBottom w:val="0"/>
      <w:divBdr>
        <w:top w:val="none" w:sz="0" w:space="0" w:color="auto"/>
        <w:left w:val="none" w:sz="0" w:space="0" w:color="auto"/>
        <w:bottom w:val="none" w:sz="0" w:space="0" w:color="auto"/>
        <w:right w:val="none" w:sz="0" w:space="0" w:color="auto"/>
      </w:divBdr>
    </w:div>
    <w:div w:id="134221810">
      <w:bodyDiv w:val="1"/>
      <w:marLeft w:val="0"/>
      <w:marRight w:val="0"/>
      <w:marTop w:val="0"/>
      <w:marBottom w:val="0"/>
      <w:divBdr>
        <w:top w:val="none" w:sz="0" w:space="0" w:color="auto"/>
        <w:left w:val="none" w:sz="0" w:space="0" w:color="auto"/>
        <w:bottom w:val="none" w:sz="0" w:space="0" w:color="auto"/>
        <w:right w:val="none" w:sz="0" w:space="0" w:color="auto"/>
      </w:divBdr>
    </w:div>
    <w:div w:id="171846508">
      <w:bodyDiv w:val="1"/>
      <w:marLeft w:val="0"/>
      <w:marRight w:val="0"/>
      <w:marTop w:val="0"/>
      <w:marBottom w:val="0"/>
      <w:divBdr>
        <w:top w:val="none" w:sz="0" w:space="0" w:color="auto"/>
        <w:left w:val="none" w:sz="0" w:space="0" w:color="auto"/>
        <w:bottom w:val="none" w:sz="0" w:space="0" w:color="auto"/>
        <w:right w:val="none" w:sz="0" w:space="0" w:color="auto"/>
      </w:divBdr>
    </w:div>
    <w:div w:id="190843525">
      <w:bodyDiv w:val="1"/>
      <w:marLeft w:val="0"/>
      <w:marRight w:val="0"/>
      <w:marTop w:val="0"/>
      <w:marBottom w:val="0"/>
      <w:divBdr>
        <w:top w:val="none" w:sz="0" w:space="0" w:color="auto"/>
        <w:left w:val="none" w:sz="0" w:space="0" w:color="auto"/>
        <w:bottom w:val="none" w:sz="0" w:space="0" w:color="auto"/>
        <w:right w:val="none" w:sz="0" w:space="0" w:color="auto"/>
      </w:divBdr>
    </w:div>
    <w:div w:id="192311829">
      <w:bodyDiv w:val="1"/>
      <w:marLeft w:val="0"/>
      <w:marRight w:val="0"/>
      <w:marTop w:val="0"/>
      <w:marBottom w:val="0"/>
      <w:divBdr>
        <w:top w:val="none" w:sz="0" w:space="0" w:color="auto"/>
        <w:left w:val="none" w:sz="0" w:space="0" w:color="auto"/>
        <w:bottom w:val="none" w:sz="0" w:space="0" w:color="auto"/>
        <w:right w:val="none" w:sz="0" w:space="0" w:color="auto"/>
      </w:divBdr>
    </w:div>
    <w:div w:id="195242247">
      <w:bodyDiv w:val="1"/>
      <w:marLeft w:val="0"/>
      <w:marRight w:val="0"/>
      <w:marTop w:val="0"/>
      <w:marBottom w:val="0"/>
      <w:divBdr>
        <w:top w:val="none" w:sz="0" w:space="0" w:color="auto"/>
        <w:left w:val="none" w:sz="0" w:space="0" w:color="auto"/>
        <w:bottom w:val="none" w:sz="0" w:space="0" w:color="auto"/>
        <w:right w:val="none" w:sz="0" w:space="0" w:color="auto"/>
      </w:divBdr>
    </w:div>
    <w:div w:id="205606826">
      <w:bodyDiv w:val="1"/>
      <w:marLeft w:val="0"/>
      <w:marRight w:val="0"/>
      <w:marTop w:val="0"/>
      <w:marBottom w:val="0"/>
      <w:divBdr>
        <w:top w:val="none" w:sz="0" w:space="0" w:color="auto"/>
        <w:left w:val="none" w:sz="0" w:space="0" w:color="auto"/>
        <w:bottom w:val="none" w:sz="0" w:space="0" w:color="auto"/>
        <w:right w:val="none" w:sz="0" w:space="0" w:color="auto"/>
      </w:divBdr>
    </w:div>
    <w:div w:id="211238024">
      <w:bodyDiv w:val="1"/>
      <w:marLeft w:val="0"/>
      <w:marRight w:val="0"/>
      <w:marTop w:val="0"/>
      <w:marBottom w:val="0"/>
      <w:divBdr>
        <w:top w:val="none" w:sz="0" w:space="0" w:color="auto"/>
        <w:left w:val="none" w:sz="0" w:space="0" w:color="auto"/>
        <w:bottom w:val="none" w:sz="0" w:space="0" w:color="auto"/>
        <w:right w:val="none" w:sz="0" w:space="0" w:color="auto"/>
      </w:divBdr>
    </w:div>
    <w:div w:id="229341907">
      <w:bodyDiv w:val="1"/>
      <w:marLeft w:val="0"/>
      <w:marRight w:val="0"/>
      <w:marTop w:val="0"/>
      <w:marBottom w:val="0"/>
      <w:divBdr>
        <w:top w:val="none" w:sz="0" w:space="0" w:color="auto"/>
        <w:left w:val="none" w:sz="0" w:space="0" w:color="auto"/>
        <w:bottom w:val="none" w:sz="0" w:space="0" w:color="auto"/>
        <w:right w:val="none" w:sz="0" w:space="0" w:color="auto"/>
      </w:divBdr>
    </w:div>
    <w:div w:id="237517740">
      <w:bodyDiv w:val="1"/>
      <w:marLeft w:val="0"/>
      <w:marRight w:val="0"/>
      <w:marTop w:val="0"/>
      <w:marBottom w:val="0"/>
      <w:divBdr>
        <w:top w:val="none" w:sz="0" w:space="0" w:color="auto"/>
        <w:left w:val="none" w:sz="0" w:space="0" w:color="auto"/>
        <w:bottom w:val="none" w:sz="0" w:space="0" w:color="auto"/>
        <w:right w:val="none" w:sz="0" w:space="0" w:color="auto"/>
      </w:divBdr>
    </w:div>
    <w:div w:id="249120184">
      <w:bodyDiv w:val="1"/>
      <w:marLeft w:val="0"/>
      <w:marRight w:val="0"/>
      <w:marTop w:val="0"/>
      <w:marBottom w:val="0"/>
      <w:divBdr>
        <w:top w:val="none" w:sz="0" w:space="0" w:color="auto"/>
        <w:left w:val="none" w:sz="0" w:space="0" w:color="auto"/>
        <w:bottom w:val="none" w:sz="0" w:space="0" w:color="auto"/>
        <w:right w:val="none" w:sz="0" w:space="0" w:color="auto"/>
      </w:divBdr>
    </w:div>
    <w:div w:id="260377121">
      <w:bodyDiv w:val="1"/>
      <w:marLeft w:val="0"/>
      <w:marRight w:val="0"/>
      <w:marTop w:val="0"/>
      <w:marBottom w:val="0"/>
      <w:divBdr>
        <w:top w:val="none" w:sz="0" w:space="0" w:color="auto"/>
        <w:left w:val="none" w:sz="0" w:space="0" w:color="auto"/>
        <w:bottom w:val="none" w:sz="0" w:space="0" w:color="auto"/>
        <w:right w:val="none" w:sz="0" w:space="0" w:color="auto"/>
      </w:divBdr>
    </w:div>
    <w:div w:id="275673041">
      <w:bodyDiv w:val="1"/>
      <w:marLeft w:val="0"/>
      <w:marRight w:val="0"/>
      <w:marTop w:val="0"/>
      <w:marBottom w:val="0"/>
      <w:divBdr>
        <w:top w:val="none" w:sz="0" w:space="0" w:color="auto"/>
        <w:left w:val="none" w:sz="0" w:space="0" w:color="auto"/>
        <w:bottom w:val="none" w:sz="0" w:space="0" w:color="auto"/>
        <w:right w:val="none" w:sz="0" w:space="0" w:color="auto"/>
      </w:divBdr>
    </w:div>
    <w:div w:id="285697094">
      <w:bodyDiv w:val="1"/>
      <w:marLeft w:val="0"/>
      <w:marRight w:val="0"/>
      <w:marTop w:val="0"/>
      <w:marBottom w:val="0"/>
      <w:divBdr>
        <w:top w:val="none" w:sz="0" w:space="0" w:color="auto"/>
        <w:left w:val="none" w:sz="0" w:space="0" w:color="auto"/>
        <w:bottom w:val="none" w:sz="0" w:space="0" w:color="auto"/>
        <w:right w:val="none" w:sz="0" w:space="0" w:color="auto"/>
      </w:divBdr>
    </w:div>
    <w:div w:id="292641952">
      <w:bodyDiv w:val="1"/>
      <w:marLeft w:val="0"/>
      <w:marRight w:val="0"/>
      <w:marTop w:val="0"/>
      <w:marBottom w:val="0"/>
      <w:divBdr>
        <w:top w:val="none" w:sz="0" w:space="0" w:color="auto"/>
        <w:left w:val="none" w:sz="0" w:space="0" w:color="auto"/>
        <w:bottom w:val="none" w:sz="0" w:space="0" w:color="auto"/>
        <w:right w:val="none" w:sz="0" w:space="0" w:color="auto"/>
      </w:divBdr>
      <w:divsChild>
        <w:div w:id="152374523">
          <w:marLeft w:val="0"/>
          <w:marRight w:val="0"/>
          <w:marTop w:val="0"/>
          <w:marBottom w:val="0"/>
          <w:divBdr>
            <w:top w:val="none" w:sz="0" w:space="0" w:color="auto"/>
            <w:left w:val="none" w:sz="0" w:space="0" w:color="auto"/>
            <w:bottom w:val="none" w:sz="0" w:space="0" w:color="auto"/>
            <w:right w:val="none" w:sz="0" w:space="0" w:color="auto"/>
          </w:divBdr>
          <w:divsChild>
            <w:div w:id="16026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9754">
      <w:bodyDiv w:val="1"/>
      <w:marLeft w:val="0"/>
      <w:marRight w:val="0"/>
      <w:marTop w:val="0"/>
      <w:marBottom w:val="0"/>
      <w:divBdr>
        <w:top w:val="none" w:sz="0" w:space="0" w:color="auto"/>
        <w:left w:val="none" w:sz="0" w:space="0" w:color="auto"/>
        <w:bottom w:val="none" w:sz="0" w:space="0" w:color="auto"/>
        <w:right w:val="none" w:sz="0" w:space="0" w:color="auto"/>
      </w:divBdr>
    </w:div>
    <w:div w:id="356123270">
      <w:bodyDiv w:val="1"/>
      <w:marLeft w:val="0"/>
      <w:marRight w:val="0"/>
      <w:marTop w:val="0"/>
      <w:marBottom w:val="0"/>
      <w:divBdr>
        <w:top w:val="none" w:sz="0" w:space="0" w:color="auto"/>
        <w:left w:val="none" w:sz="0" w:space="0" w:color="auto"/>
        <w:bottom w:val="none" w:sz="0" w:space="0" w:color="auto"/>
        <w:right w:val="none" w:sz="0" w:space="0" w:color="auto"/>
      </w:divBdr>
    </w:div>
    <w:div w:id="382750776">
      <w:bodyDiv w:val="1"/>
      <w:marLeft w:val="0"/>
      <w:marRight w:val="0"/>
      <w:marTop w:val="0"/>
      <w:marBottom w:val="0"/>
      <w:divBdr>
        <w:top w:val="none" w:sz="0" w:space="0" w:color="auto"/>
        <w:left w:val="none" w:sz="0" w:space="0" w:color="auto"/>
        <w:bottom w:val="none" w:sz="0" w:space="0" w:color="auto"/>
        <w:right w:val="none" w:sz="0" w:space="0" w:color="auto"/>
      </w:divBdr>
    </w:div>
    <w:div w:id="385879919">
      <w:bodyDiv w:val="1"/>
      <w:marLeft w:val="0"/>
      <w:marRight w:val="0"/>
      <w:marTop w:val="0"/>
      <w:marBottom w:val="0"/>
      <w:divBdr>
        <w:top w:val="none" w:sz="0" w:space="0" w:color="auto"/>
        <w:left w:val="none" w:sz="0" w:space="0" w:color="auto"/>
        <w:bottom w:val="none" w:sz="0" w:space="0" w:color="auto"/>
        <w:right w:val="none" w:sz="0" w:space="0" w:color="auto"/>
      </w:divBdr>
    </w:div>
    <w:div w:id="433982137">
      <w:bodyDiv w:val="1"/>
      <w:marLeft w:val="0"/>
      <w:marRight w:val="0"/>
      <w:marTop w:val="0"/>
      <w:marBottom w:val="0"/>
      <w:divBdr>
        <w:top w:val="none" w:sz="0" w:space="0" w:color="auto"/>
        <w:left w:val="none" w:sz="0" w:space="0" w:color="auto"/>
        <w:bottom w:val="none" w:sz="0" w:space="0" w:color="auto"/>
        <w:right w:val="none" w:sz="0" w:space="0" w:color="auto"/>
      </w:divBdr>
      <w:divsChild>
        <w:div w:id="2088965119">
          <w:marLeft w:val="0"/>
          <w:marRight w:val="0"/>
          <w:marTop w:val="0"/>
          <w:marBottom w:val="0"/>
          <w:divBdr>
            <w:top w:val="none" w:sz="0" w:space="0" w:color="auto"/>
            <w:left w:val="none" w:sz="0" w:space="0" w:color="auto"/>
            <w:bottom w:val="none" w:sz="0" w:space="0" w:color="auto"/>
            <w:right w:val="none" w:sz="0" w:space="0" w:color="auto"/>
          </w:divBdr>
          <w:divsChild>
            <w:div w:id="600114733">
              <w:marLeft w:val="0"/>
              <w:marRight w:val="0"/>
              <w:marTop w:val="0"/>
              <w:marBottom w:val="0"/>
              <w:divBdr>
                <w:top w:val="none" w:sz="0" w:space="0" w:color="auto"/>
                <w:left w:val="none" w:sz="0" w:space="0" w:color="auto"/>
                <w:bottom w:val="none" w:sz="0" w:space="0" w:color="auto"/>
                <w:right w:val="none" w:sz="0" w:space="0" w:color="auto"/>
              </w:divBdr>
              <w:divsChild>
                <w:div w:id="724334171">
                  <w:marLeft w:val="0"/>
                  <w:marRight w:val="0"/>
                  <w:marTop w:val="0"/>
                  <w:marBottom w:val="0"/>
                  <w:divBdr>
                    <w:top w:val="none" w:sz="0" w:space="0" w:color="auto"/>
                    <w:left w:val="none" w:sz="0" w:space="0" w:color="auto"/>
                    <w:bottom w:val="none" w:sz="0" w:space="0" w:color="auto"/>
                    <w:right w:val="none" w:sz="0" w:space="0" w:color="auto"/>
                  </w:divBdr>
                  <w:divsChild>
                    <w:div w:id="942499164">
                      <w:marLeft w:val="-225"/>
                      <w:marRight w:val="-225"/>
                      <w:marTop w:val="0"/>
                      <w:marBottom w:val="0"/>
                      <w:divBdr>
                        <w:top w:val="none" w:sz="0" w:space="0" w:color="auto"/>
                        <w:left w:val="none" w:sz="0" w:space="0" w:color="auto"/>
                        <w:bottom w:val="none" w:sz="0" w:space="0" w:color="auto"/>
                        <w:right w:val="none" w:sz="0" w:space="0" w:color="auto"/>
                      </w:divBdr>
                      <w:divsChild>
                        <w:div w:id="1776553029">
                          <w:marLeft w:val="0"/>
                          <w:marRight w:val="0"/>
                          <w:marTop w:val="0"/>
                          <w:marBottom w:val="0"/>
                          <w:divBdr>
                            <w:top w:val="none" w:sz="0" w:space="0" w:color="auto"/>
                            <w:left w:val="none" w:sz="0" w:space="0" w:color="auto"/>
                            <w:bottom w:val="none" w:sz="0" w:space="0" w:color="auto"/>
                            <w:right w:val="none" w:sz="0" w:space="0" w:color="auto"/>
                          </w:divBdr>
                          <w:divsChild>
                            <w:div w:id="26488194">
                              <w:marLeft w:val="0"/>
                              <w:marRight w:val="0"/>
                              <w:marTop w:val="0"/>
                              <w:marBottom w:val="0"/>
                              <w:divBdr>
                                <w:top w:val="none" w:sz="0" w:space="0" w:color="auto"/>
                                <w:left w:val="none" w:sz="0" w:space="0" w:color="auto"/>
                                <w:bottom w:val="none" w:sz="0" w:space="0" w:color="auto"/>
                                <w:right w:val="none" w:sz="0" w:space="0" w:color="auto"/>
                              </w:divBdr>
                              <w:divsChild>
                                <w:div w:id="1831173045">
                                  <w:marLeft w:val="0"/>
                                  <w:marRight w:val="0"/>
                                  <w:marTop w:val="0"/>
                                  <w:marBottom w:val="0"/>
                                  <w:divBdr>
                                    <w:top w:val="none" w:sz="0" w:space="0" w:color="auto"/>
                                    <w:left w:val="none" w:sz="0" w:space="0" w:color="auto"/>
                                    <w:bottom w:val="none" w:sz="0" w:space="0" w:color="auto"/>
                                    <w:right w:val="none" w:sz="0" w:space="0" w:color="auto"/>
                                  </w:divBdr>
                                  <w:divsChild>
                                    <w:div w:id="1494762420">
                                      <w:marLeft w:val="0"/>
                                      <w:marRight w:val="0"/>
                                      <w:marTop w:val="0"/>
                                      <w:marBottom w:val="0"/>
                                      <w:divBdr>
                                        <w:top w:val="none" w:sz="0" w:space="0" w:color="auto"/>
                                        <w:left w:val="none" w:sz="0" w:space="0" w:color="auto"/>
                                        <w:bottom w:val="none" w:sz="0" w:space="0" w:color="auto"/>
                                        <w:right w:val="none" w:sz="0" w:space="0" w:color="auto"/>
                                      </w:divBdr>
                                      <w:divsChild>
                                        <w:div w:id="1701516325">
                                          <w:marLeft w:val="0"/>
                                          <w:marRight w:val="0"/>
                                          <w:marTop w:val="0"/>
                                          <w:marBottom w:val="0"/>
                                          <w:divBdr>
                                            <w:top w:val="none" w:sz="0" w:space="0" w:color="auto"/>
                                            <w:left w:val="none" w:sz="0" w:space="0" w:color="auto"/>
                                            <w:bottom w:val="none" w:sz="0" w:space="0" w:color="auto"/>
                                            <w:right w:val="none" w:sz="0" w:space="0" w:color="auto"/>
                                          </w:divBdr>
                                          <w:divsChild>
                                            <w:div w:id="18917683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474568948">
      <w:bodyDiv w:val="1"/>
      <w:marLeft w:val="0"/>
      <w:marRight w:val="0"/>
      <w:marTop w:val="0"/>
      <w:marBottom w:val="0"/>
      <w:divBdr>
        <w:top w:val="none" w:sz="0" w:space="0" w:color="auto"/>
        <w:left w:val="none" w:sz="0" w:space="0" w:color="auto"/>
        <w:bottom w:val="none" w:sz="0" w:space="0" w:color="auto"/>
        <w:right w:val="none" w:sz="0" w:space="0" w:color="auto"/>
      </w:divBdr>
    </w:div>
    <w:div w:id="515074891">
      <w:bodyDiv w:val="1"/>
      <w:marLeft w:val="0"/>
      <w:marRight w:val="0"/>
      <w:marTop w:val="0"/>
      <w:marBottom w:val="0"/>
      <w:divBdr>
        <w:top w:val="none" w:sz="0" w:space="0" w:color="auto"/>
        <w:left w:val="none" w:sz="0" w:space="0" w:color="auto"/>
        <w:bottom w:val="none" w:sz="0" w:space="0" w:color="auto"/>
        <w:right w:val="none" w:sz="0" w:space="0" w:color="auto"/>
      </w:divBdr>
    </w:div>
    <w:div w:id="535197155">
      <w:bodyDiv w:val="1"/>
      <w:marLeft w:val="0"/>
      <w:marRight w:val="0"/>
      <w:marTop w:val="0"/>
      <w:marBottom w:val="0"/>
      <w:divBdr>
        <w:top w:val="none" w:sz="0" w:space="0" w:color="auto"/>
        <w:left w:val="none" w:sz="0" w:space="0" w:color="auto"/>
        <w:bottom w:val="none" w:sz="0" w:space="0" w:color="auto"/>
        <w:right w:val="none" w:sz="0" w:space="0" w:color="auto"/>
      </w:divBdr>
    </w:div>
    <w:div w:id="548998364">
      <w:bodyDiv w:val="1"/>
      <w:marLeft w:val="0"/>
      <w:marRight w:val="0"/>
      <w:marTop w:val="0"/>
      <w:marBottom w:val="0"/>
      <w:divBdr>
        <w:top w:val="none" w:sz="0" w:space="0" w:color="auto"/>
        <w:left w:val="none" w:sz="0" w:space="0" w:color="auto"/>
        <w:bottom w:val="none" w:sz="0" w:space="0" w:color="auto"/>
        <w:right w:val="none" w:sz="0" w:space="0" w:color="auto"/>
      </w:divBdr>
      <w:divsChild>
        <w:div w:id="262110027">
          <w:marLeft w:val="0"/>
          <w:marRight w:val="0"/>
          <w:marTop w:val="0"/>
          <w:marBottom w:val="0"/>
          <w:divBdr>
            <w:top w:val="none" w:sz="0" w:space="0" w:color="auto"/>
            <w:left w:val="none" w:sz="0" w:space="0" w:color="auto"/>
            <w:bottom w:val="none" w:sz="0" w:space="0" w:color="auto"/>
            <w:right w:val="none" w:sz="0" w:space="0" w:color="auto"/>
          </w:divBdr>
          <w:divsChild>
            <w:div w:id="1115947489">
              <w:marLeft w:val="0"/>
              <w:marRight w:val="0"/>
              <w:marTop w:val="0"/>
              <w:marBottom w:val="0"/>
              <w:divBdr>
                <w:top w:val="none" w:sz="0" w:space="0" w:color="auto"/>
                <w:left w:val="none" w:sz="0" w:space="0" w:color="auto"/>
                <w:bottom w:val="none" w:sz="0" w:space="0" w:color="auto"/>
                <w:right w:val="none" w:sz="0" w:space="0" w:color="auto"/>
              </w:divBdr>
              <w:divsChild>
                <w:div w:id="1744177665">
                  <w:marLeft w:val="0"/>
                  <w:marRight w:val="0"/>
                  <w:marTop w:val="0"/>
                  <w:marBottom w:val="0"/>
                  <w:divBdr>
                    <w:top w:val="none" w:sz="0" w:space="0" w:color="auto"/>
                    <w:left w:val="none" w:sz="0" w:space="0" w:color="auto"/>
                    <w:bottom w:val="none" w:sz="0" w:space="0" w:color="auto"/>
                    <w:right w:val="none" w:sz="0" w:space="0" w:color="auto"/>
                  </w:divBdr>
                  <w:divsChild>
                    <w:div w:id="1629893682">
                      <w:marLeft w:val="0"/>
                      <w:marRight w:val="0"/>
                      <w:marTop w:val="45"/>
                      <w:marBottom w:val="0"/>
                      <w:divBdr>
                        <w:top w:val="none" w:sz="0" w:space="0" w:color="auto"/>
                        <w:left w:val="none" w:sz="0" w:space="0" w:color="auto"/>
                        <w:bottom w:val="none" w:sz="0" w:space="0" w:color="auto"/>
                        <w:right w:val="none" w:sz="0" w:space="0" w:color="auto"/>
                      </w:divBdr>
                      <w:divsChild>
                        <w:div w:id="562182988">
                          <w:marLeft w:val="0"/>
                          <w:marRight w:val="0"/>
                          <w:marTop w:val="0"/>
                          <w:marBottom w:val="0"/>
                          <w:divBdr>
                            <w:top w:val="none" w:sz="0" w:space="0" w:color="auto"/>
                            <w:left w:val="none" w:sz="0" w:space="0" w:color="auto"/>
                            <w:bottom w:val="none" w:sz="0" w:space="0" w:color="auto"/>
                            <w:right w:val="none" w:sz="0" w:space="0" w:color="auto"/>
                          </w:divBdr>
                          <w:divsChild>
                            <w:div w:id="675377644">
                              <w:marLeft w:val="2070"/>
                              <w:marRight w:val="3960"/>
                              <w:marTop w:val="0"/>
                              <w:marBottom w:val="0"/>
                              <w:divBdr>
                                <w:top w:val="none" w:sz="0" w:space="0" w:color="auto"/>
                                <w:left w:val="none" w:sz="0" w:space="0" w:color="auto"/>
                                <w:bottom w:val="none" w:sz="0" w:space="0" w:color="auto"/>
                                <w:right w:val="none" w:sz="0" w:space="0" w:color="auto"/>
                              </w:divBdr>
                              <w:divsChild>
                                <w:div w:id="1945722007">
                                  <w:marLeft w:val="0"/>
                                  <w:marRight w:val="0"/>
                                  <w:marTop w:val="0"/>
                                  <w:marBottom w:val="0"/>
                                  <w:divBdr>
                                    <w:top w:val="none" w:sz="0" w:space="0" w:color="auto"/>
                                    <w:left w:val="none" w:sz="0" w:space="0" w:color="auto"/>
                                    <w:bottom w:val="none" w:sz="0" w:space="0" w:color="auto"/>
                                    <w:right w:val="none" w:sz="0" w:space="0" w:color="auto"/>
                                  </w:divBdr>
                                  <w:divsChild>
                                    <w:div w:id="220943832">
                                      <w:marLeft w:val="0"/>
                                      <w:marRight w:val="0"/>
                                      <w:marTop w:val="0"/>
                                      <w:marBottom w:val="0"/>
                                      <w:divBdr>
                                        <w:top w:val="none" w:sz="0" w:space="0" w:color="auto"/>
                                        <w:left w:val="none" w:sz="0" w:space="0" w:color="auto"/>
                                        <w:bottom w:val="none" w:sz="0" w:space="0" w:color="auto"/>
                                        <w:right w:val="none" w:sz="0" w:space="0" w:color="auto"/>
                                      </w:divBdr>
                                      <w:divsChild>
                                        <w:div w:id="1236554695">
                                          <w:marLeft w:val="0"/>
                                          <w:marRight w:val="0"/>
                                          <w:marTop w:val="0"/>
                                          <w:marBottom w:val="0"/>
                                          <w:divBdr>
                                            <w:top w:val="none" w:sz="0" w:space="0" w:color="auto"/>
                                            <w:left w:val="none" w:sz="0" w:space="0" w:color="auto"/>
                                            <w:bottom w:val="none" w:sz="0" w:space="0" w:color="auto"/>
                                            <w:right w:val="none" w:sz="0" w:space="0" w:color="auto"/>
                                          </w:divBdr>
                                          <w:divsChild>
                                            <w:div w:id="567769342">
                                              <w:marLeft w:val="0"/>
                                              <w:marRight w:val="0"/>
                                              <w:marTop w:val="90"/>
                                              <w:marBottom w:val="0"/>
                                              <w:divBdr>
                                                <w:top w:val="none" w:sz="0" w:space="0" w:color="auto"/>
                                                <w:left w:val="none" w:sz="0" w:space="0" w:color="auto"/>
                                                <w:bottom w:val="none" w:sz="0" w:space="0" w:color="auto"/>
                                                <w:right w:val="none" w:sz="0" w:space="0" w:color="auto"/>
                                              </w:divBdr>
                                              <w:divsChild>
                                                <w:div w:id="1216548596">
                                                  <w:marLeft w:val="0"/>
                                                  <w:marRight w:val="0"/>
                                                  <w:marTop w:val="0"/>
                                                  <w:marBottom w:val="0"/>
                                                  <w:divBdr>
                                                    <w:top w:val="none" w:sz="0" w:space="0" w:color="auto"/>
                                                    <w:left w:val="none" w:sz="0" w:space="0" w:color="auto"/>
                                                    <w:bottom w:val="none" w:sz="0" w:space="0" w:color="auto"/>
                                                    <w:right w:val="none" w:sz="0" w:space="0" w:color="auto"/>
                                                  </w:divBdr>
                                                  <w:divsChild>
                                                    <w:div w:id="607350040">
                                                      <w:marLeft w:val="0"/>
                                                      <w:marRight w:val="0"/>
                                                      <w:marTop w:val="0"/>
                                                      <w:marBottom w:val="0"/>
                                                      <w:divBdr>
                                                        <w:top w:val="none" w:sz="0" w:space="0" w:color="auto"/>
                                                        <w:left w:val="none" w:sz="0" w:space="0" w:color="auto"/>
                                                        <w:bottom w:val="none" w:sz="0" w:space="0" w:color="auto"/>
                                                        <w:right w:val="none" w:sz="0" w:space="0" w:color="auto"/>
                                                      </w:divBdr>
                                                      <w:divsChild>
                                                        <w:div w:id="239145522">
                                                          <w:marLeft w:val="0"/>
                                                          <w:marRight w:val="0"/>
                                                          <w:marTop w:val="0"/>
                                                          <w:marBottom w:val="390"/>
                                                          <w:divBdr>
                                                            <w:top w:val="none" w:sz="0" w:space="0" w:color="auto"/>
                                                            <w:left w:val="none" w:sz="0" w:space="0" w:color="auto"/>
                                                            <w:bottom w:val="none" w:sz="0" w:space="0" w:color="auto"/>
                                                            <w:right w:val="none" w:sz="0" w:space="0" w:color="auto"/>
                                                          </w:divBdr>
                                                          <w:divsChild>
                                                            <w:div w:id="1753314112">
                                                              <w:marLeft w:val="0"/>
                                                              <w:marRight w:val="0"/>
                                                              <w:marTop w:val="0"/>
                                                              <w:marBottom w:val="0"/>
                                                              <w:divBdr>
                                                                <w:top w:val="none" w:sz="0" w:space="0" w:color="auto"/>
                                                                <w:left w:val="none" w:sz="0" w:space="0" w:color="auto"/>
                                                                <w:bottom w:val="none" w:sz="0" w:space="0" w:color="auto"/>
                                                                <w:right w:val="none" w:sz="0" w:space="0" w:color="auto"/>
                                                              </w:divBdr>
                                                              <w:divsChild>
                                                                <w:div w:id="1717850053">
                                                                  <w:marLeft w:val="0"/>
                                                                  <w:marRight w:val="0"/>
                                                                  <w:marTop w:val="0"/>
                                                                  <w:marBottom w:val="0"/>
                                                                  <w:divBdr>
                                                                    <w:top w:val="none" w:sz="0" w:space="0" w:color="auto"/>
                                                                    <w:left w:val="none" w:sz="0" w:space="0" w:color="auto"/>
                                                                    <w:bottom w:val="none" w:sz="0" w:space="0" w:color="auto"/>
                                                                    <w:right w:val="none" w:sz="0" w:space="0" w:color="auto"/>
                                                                  </w:divBdr>
                                                                  <w:divsChild>
                                                                    <w:div w:id="1201943625">
                                                                      <w:marLeft w:val="0"/>
                                                                      <w:marRight w:val="0"/>
                                                                      <w:marTop w:val="0"/>
                                                                      <w:marBottom w:val="0"/>
                                                                      <w:divBdr>
                                                                        <w:top w:val="none" w:sz="0" w:space="0" w:color="auto"/>
                                                                        <w:left w:val="none" w:sz="0" w:space="0" w:color="auto"/>
                                                                        <w:bottom w:val="none" w:sz="0" w:space="0" w:color="auto"/>
                                                                        <w:right w:val="none" w:sz="0" w:space="0" w:color="auto"/>
                                                                      </w:divBdr>
                                                                      <w:divsChild>
                                                                        <w:div w:id="2082753286">
                                                                          <w:marLeft w:val="0"/>
                                                                          <w:marRight w:val="0"/>
                                                                          <w:marTop w:val="0"/>
                                                                          <w:marBottom w:val="0"/>
                                                                          <w:divBdr>
                                                                            <w:top w:val="none" w:sz="0" w:space="0" w:color="auto"/>
                                                                            <w:left w:val="none" w:sz="0" w:space="0" w:color="auto"/>
                                                                            <w:bottom w:val="none" w:sz="0" w:space="0" w:color="auto"/>
                                                                            <w:right w:val="none" w:sz="0" w:space="0" w:color="auto"/>
                                                                          </w:divBdr>
                                                                          <w:divsChild>
                                                                            <w:div w:id="720590831">
                                                                              <w:marLeft w:val="0"/>
                                                                              <w:marRight w:val="0"/>
                                                                              <w:marTop w:val="0"/>
                                                                              <w:marBottom w:val="0"/>
                                                                              <w:divBdr>
                                                                                <w:top w:val="none" w:sz="0" w:space="0" w:color="auto"/>
                                                                                <w:left w:val="none" w:sz="0" w:space="0" w:color="auto"/>
                                                                                <w:bottom w:val="none" w:sz="0" w:space="0" w:color="auto"/>
                                                                                <w:right w:val="none" w:sz="0" w:space="0" w:color="auto"/>
                                                                              </w:divBdr>
                                                                              <w:divsChild>
                                                                                <w:div w:id="914127194">
                                                                                  <w:marLeft w:val="0"/>
                                                                                  <w:marRight w:val="0"/>
                                                                                  <w:marTop w:val="0"/>
                                                                                  <w:marBottom w:val="0"/>
                                                                                  <w:divBdr>
                                                                                    <w:top w:val="none" w:sz="0" w:space="0" w:color="auto"/>
                                                                                    <w:left w:val="none" w:sz="0" w:space="0" w:color="auto"/>
                                                                                    <w:bottom w:val="none" w:sz="0" w:space="0" w:color="auto"/>
                                                                                    <w:right w:val="none" w:sz="0" w:space="0" w:color="auto"/>
                                                                                  </w:divBdr>
                                                                                  <w:divsChild>
                                                                                    <w:div w:id="1921794558">
                                                                                      <w:marLeft w:val="0"/>
                                                                                      <w:marRight w:val="0"/>
                                                                                      <w:marTop w:val="0"/>
                                                                                      <w:marBottom w:val="0"/>
                                                                                      <w:divBdr>
                                                                                        <w:top w:val="none" w:sz="0" w:space="0" w:color="auto"/>
                                                                                        <w:left w:val="none" w:sz="0" w:space="0" w:color="auto"/>
                                                                                        <w:bottom w:val="none" w:sz="0" w:space="0" w:color="auto"/>
                                                                                        <w:right w:val="none" w:sz="0" w:space="0" w:color="auto"/>
                                                                                      </w:divBdr>
                                                                                      <w:divsChild>
                                                                                        <w:div w:id="9461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101178">
      <w:bodyDiv w:val="1"/>
      <w:marLeft w:val="0"/>
      <w:marRight w:val="0"/>
      <w:marTop w:val="0"/>
      <w:marBottom w:val="0"/>
      <w:divBdr>
        <w:top w:val="none" w:sz="0" w:space="0" w:color="auto"/>
        <w:left w:val="none" w:sz="0" w:space="0" w:color="auto"/>
        <w:bottom w:val="none" w:sz="0" w:space="0" w:color="auto"/>
        <w:right w:val="none" w:sz="0" w:space="0" w:color="auto"/>
      </w:divBdr>
    </w:div>
    <w:div w:id="591160629">
      <w:bodyDiv w:val="1"/>
      <w:marLeft w:val="0"/>
      <w:marRight w:val="0"/>
      <w:marTop w:val="0"/>
      <w:marBottom w:val="0"/>
      <w:divBdr>
        <w:top w:val="none" w:sz="0" w:space="0" w:color="auto"/>
        <w:left w:val="none" w:sz="0" w:space="0" w:color="auto"/>
        <w:bottom w:val="none" w:sz="0" w:space="0" w:color="auto"/>
        <w:right w:val="none" w:sz="0" w:space="0" w:color="auto"/>
      </w:divBdr>
    </w:div>
    <w:div w:id="598562635">
      <w:bodyDiv w:val="1"/>
      <w:marLeft w:val="0"/>
      <w:marRight w:val="0"/>
      <w:marTop w:val="0"/>
      <w:marBottom w:val="0"/>
      <w:divBdr>
        <w:top w:val="none" w:sz="0" w:space="0" w:color="auto"/>
        <w:left w:val="none" w:sz="0" w:space="0" w:color="auto"/>
        <w:bottom w:val="none" w:sz="0" w:space="0" w:color="auto"/>
        <w:right w:val="none" w:sz="0" w:space="0" w:color="auto"/>
      </w:divBdr>
    </w:div>
    <w:div w:id="604652912">
      <w:bodyDiv w:val="1"/>
      <w:marLeft w:val="0"/>
      <w:marRight w:val="0"/>
      <w:marTop w:val="0"/>
      <w:marBottom w:val="0"/>
      <w:divBdr>
        <w:top w:val="none" w:sz="0" w:space="0" w:color="auto"/>
        <w:left w:val="none" w:sz="0" w:space="0" w:color="auto"/>
        <w:bottom w:val="none" w:sz="0" w:space="0" w:color="auto"/>
        <w:right w:val="none" w:sz="0" w:space="0" w:color="auto"/>
      </w:divBdr>
    </w:div>
    <w:div w:id="611013142">
      <w:bodyDiv w:val="1"/>
      <w:marLeft w:val="0"/>
      <w:marRight w:val="0"/>
      <w:marTop w:val="0"/>
      <w:marBottom w:val="0"/>
      <w:divBdr>
        <w:top w:val="none" w:sz="0" w:space="0" w:color="auto"/>
        <w:left w:val="none" w:sz="0" w:space="0" w:color="auto"/>
        <w:bottom w:val="none" w:sz="0" w:space="0" w:color="auto"/>
        <w:right w:val="none" w:sz="0" w:space="0" w:color="auto"/>
      </w:divBdr>
    </w:div>
    <w:div w:id="632830531">
      <w:bodyDiv w:val="1"/>
      <w:marLeft w:val="0"/>
      <w:marRight w:val="0"/>
      <w:marTop w:val="0"/>
      <w:marBottom w:val="0"/>
      <w:divBdr>
        <w:top w:val="none" w:sz="0" w:space="0" w:color="auto"/>
        <w:left w:val="none" w:sz="0" w:space="0" w:color="auto"/>
        <w:bottom w:val="none" w:sz="0" w:space="0" w:color="auto"/>
        <w:right w:val="none" w:sz="0" w:space="0" w:color="auto"/>
      </w:divBdr>
    </w:div>
    <w:div w:id="655842218">
      <w:bodyDiv w:val="1"/>
      <w:marLeft w:val="0"/>
      <w:marRight w:val="0"/>
      <w:marTop w:val="0"/>
      <w:marBottom w:val="0"/>
      <w:divBdr>
        <w:top w:val="none" w:sz="0" w:space="0" w:color="auto"/>
        <w:left w:val="none" w:sz="0" w:space="0" w:color="auto"/>
        <w:bottom w:val="none" w:sz="0" w:space="0" w:color="auto"/>
        <w:right w:val="none" w:sz="0" w:space="0" w:color="auto"/>
      </w:divBdr>
    </w:div>
    <w:div w:id="723718090">
      <w:bodyDiv w:val="1"/>
      <w:marLeft w:val="0"/>
      <w:marRight w:val="0"/>
      <w:marTop w:val="0"/>
      <w:marBottom w:val="0"/>
      <w:divBdr>
        <w:top w:val="none" w:sz="0" w:space="0" w:color="auto"/>
        <w:left w:val="none" w:sz="0" w:space="0" w:color="auto"/>
        <w:bottom w:val="none" w:sz="0" w:space="0" w:color="auto"/>
        <w:right w:val="none" w:sz="0" w:space="0" w:color="auto"/>
      </w:divBdr>
    </w:div>
    <w:div w:id="764495828">
      <w:bodyDiv w:val="1"/>
      <w:marLeft w:val="0"/>
      <w:marRight w:val="0"/>
      <w:marTop w:val="0"/>
      <w:marBottom w:val="0"/>
      <w:divBdr>
        <w:top w:val="none" w:sz="0" w:space="0" w:color="auto"/>
        <w:left w:val="none" w:sz="0" w:space="0" w:color="auto"/>
        <w:bottom w:val="none" w:sz="0" w:space="0" w:color="auto"/>
        <w:right w:val="none" w:sz="0" w:space="0" w:color="auto"/>
      </w:divBdr>
    </w:div>
    <w:div w:id="766073529">
      <w:bodyDiv w:val="1"/>
      <w:marLeft w:val="0"/>
      <w:marRight w:val="0"/>
      <w:marTop w:val="0"/>
      <w:marBottom w:val="0"/>
      <w:divBdr>
        <w:top w:val="none" w:sz="0" w:space="0" w:color="auto"/>
        <w:left w:val="none" w:sz="0" w:space="0" w:color="auto"/>
        <w:bottom w:val="none" w:sz="0" w:space="0" w:color="auto"/>
        <w:right w:val="none" w:sz="0" w:space="0" w:color="auto"/>
      </w:divBdr>
      <w:divsChild>
        <w:div w:id="1380280812">
          <w:marLeft w:val="0"/>
          <w:marRight w:val="0"/>
          <w:marTop w:val="0"/>
          <w:marBottom w:val="0"/>
          <w:divBdr>
            <w:top w:val="none" w:sz="0" w:space="0" w:color="auto"/>
            <w:left w:val="none" w:sz="0" w:space="0" w:color="auto"/>
            <w:bottom w:val="none" w:sz="0" w:space="0" w:color="auto"/>
            <w:right w:val="none" w:sz="0" w:space="0" w:color="auto"/>
          </w:divBdr>
          <w:divsChild>
            <w:div w:id="1629513317">
              <w:marLeft w:val="0"/>
              <w:marRight w:val="0"/>
              <w:marTop w:val="0"/>
              <w:marBottom w:val="0"/>
              <w:divBdr>
                <w:top w:val="none" w:sz="0" w:space="0" w:color="auto"/>
                <w:left w:val="none" w:sz="0" w:space="0" w:color="auto"/>
                <w:bottom w:val="none" w:sz="0" w:space="0" w:color="auto"/>
                <w:right w:val="none" w:sz="0" w:space="0" w:color="auto"/>
              </w:divBdr>
              <w:divsChild>
                <w:div w:id="273630969">
                  <w:marLeft w:val="0"/>
                  <w:marRight w:val="0"/>
                  <w:marTop w:val="0"/>
                  <w:marBottom w:val="0"/>
                  <w:divBdr>
                    <w:top w:val="none" w:sz="0" w:space="0" w:color="auto"/>
                    <w:left w:val="none" w:sz="0" w:space="0" w:color="auto"/>
                    <w:bottom w:val="none" w:sz="0" w:space="0" w:color="auto"/>
                    <w:right w:val="none" w:sz="0" w:space="0" w:color="auto"/>
                  </w:divBdr>
                  <w:divsChild>
                    <w:div w:id="1943683914">
                      <w:marLeft w:val="0"/>
                      <w:marRight w:val="0"/>
                      <w:marTop w:val="0"/>
                      <w:marBottom w:val="0"/>
                      <w:divBdr>
                        <w:top w:val="none" w:sz="0" w:space="0" w:color="auto"/>
                        <w:left w:val="none" w:sz="0" w:space="0" w:color="auto"/>
                        <w:bottom w:val="none" w:sz="0" w:space="0" w:color="auto"/>
                        <w:right w:val="none" w:sz="0" w:space="0" w:color="auto"/>
                      </w:divBdr>
                      <w:divsChild>
                        <w:div w:id="540938194">
                          <w:marLeft w:val="0"/>
                          <w:marRight w:val="0"/>
                          <w:marTop w:val="0"/>
                          <w:marBottom w:val="0"/>
                          <w:divBdr>
                            <w:top w:val="none" w:sz="0" w:space="0" w:color="auto"/>
                            <w:left w:val="none" w:sz="0" w:space="0" w:color="auto"/>
                            <w:bottom w:val="none" w:sz="0" w:space="0" w:color="auto"/>
                            <w:right w:val="none" w:sz="0" w:space="0" w:color="auto"/>
                          </w:divBdr>
                          <w:divsChild>
                            <w:div w:id="255947294">
                              <w:marLeft w:val="0"/>
                              <w:marRight w:val="0"/>
                              <w:marTop w:val="0"/>
                              <w:marBottom w:val="0"/>
                              <w:divBdr>
                                <w:top w:val="none" w:sz="0" w:space="0" w:color="auto"/>
                                <w:left w:val="none" w:sz="0" w:space="0" w:color="auto"/>
                                <w:bottom w:val="none" w:sz="0" w:space="0" w:color="auto"/>
                                <w:right w:val="none" w:sz="0" w:space="0" w:color="auto"/>
                              </w:divBdr>
                              <w:divsChild>
                                <w:div w:id="1628201534">
                                  <w:marLeft w:val="0"/>
                                  <w:marRight w:val="0"/>
                                  <w:marTop w:val="0"/>
                                  <w:marBottom w:val="0"/>
                                  <w:divBdr>
                                    <w:top w:val="none" w:sz="0" w:space="0" w:color="auto"/>
                                    <w:left w:val="none" w:sz="0" w:space="0" w:color="auto"/>
                                    <w:bottom w:val="none" w:sz="0" w:space="0" w:color="auto"/>
                                    <w:right w:val="none" w:sz="0" w:space="0" w:color="auto"/>
                                  </w:divBdr>
                                  <w:divsChild>
                                    <w:div w:id="1699890547">
                                      <w:marLeft w:val="60"/>
                                      <w:marRight w:val="0"/>
                                      <w:marTop w:val="0"/>
                                      <w:marBottom w:val="0"/>
                                      <w:divBdr>
                                        <w:top w:val="none" w:sz="0" w:space="0" w:color="auto"/>
                                        <w:left w:val="none" w:sz="0" w:space="0" w:color="auto"/>
                                        <w:bottom w:val="none" w:sz="0" w:space="0" w:color="auto"/>
                                        <w:right w:val="none" w:sz="0" w:space="0" w:color="auto"/>
                                      </w:divBdr>
                                      <w:divsChild>
                                        <w:div w:id="1957054738">
                                          <w:marLeft w:val="0"/>
                                          <w:marRight w:val="0"/>
                                          <w:marTop w:val="0"/>
                                          <w:marBottom w:val="0"/>
                                          <w:divBdr>
                                            <w:top w:val="none" w:sz="0" w:space="0" w:color="auto"/>
                                            <w:left w:val="none" w:sz="0" w:space="0" w:color="auto"/>
                                            <w:bottom w:val="none" w:sz="0" w:space="0" w:color="auto"/>
                                            <w:right w:val="none" w:sz="0" w:space="0" w:color="auto"/>
                                          </w:divBdr>
                                          <w:divsChild>
                                            <w:div w:id="867372833">
                                              <w:marLeft w:val="0"/>
                                              <w:marRight w:val="0"/>
                                              <w:marTop w:val="0"/>
                                              <w:marBottom w:val="120"/>
                                              <w:divBdr>
                                                <w:top w:val="single" w:sz="6" w:space="0" w:color="F5F5F5"/>
                                                <w:left w:val="single" w:sz="6" w:space="0" w:color="F5F5F5"/>
                                                <w:bottom w:val="single" w:sz="6" w:space="0" w:color="F5F5F5"/>
                                                <w:right w:val="single" w:sz="6" w:space="0" w:color="F5F5F5"/>
                                              </w:divBdr>
                                              <w:divsChild>
                                                <w:div w:id="1512716914">
                                                  <w:marLeft w:val="0"/>
                                                  <w:marRight w:val="0"/>
                                                  <w:marTop w:val="0"/>
                                                  <w:marBottom w:val="0"/>
                                                  <w:divBdr>
                                                    <w:top w:val="none" w:sz="0" w:space="0" w:color="auto"/>
                                                    <w:left w:val="none" w:sz="0" w:space="0" w:color="auto"/>
                                                    <w:bottom w:val="none" w:sz="0" w:space="0" w:color="auto"/>
                                                    <w:right w:val="none" w:sz="0" w:space="0" w:color="auto"/>
                                                  </w:divBdr>
                                                  <w:divsChild>
                                                    <w:div w:id="16222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11508">
      <w:bodyDiv w:val="1"/>
      <w:marLeft w:val="0"/>
      <w:marRight w:val="0"/>
      <w:marTop w:val="0"/>
      <w:marBottom w:val="0"/>
      <w:divBdr>
        <w:top w:val="none" w:sz="0" w:space="0" w:color="auto"/>
        <w:left w:val="none" w:sz="0" w:space="0" w:color="auto"/>
        <w:bottom w:val="none" w:sz="0" w:space="0" w:color="auto"/>
        <w:right w:val="none" w:sz="0" w:space="0" w:color="auto"/>
      </w:divBdr>
    </w:div>
    <w:div w:id="841315770">
      <w:bodyDiv w:val="1"/>
      <w:marLeft w:val="0"/>
      <w:marRight w:val="0"/>
      <w:marTop w:val="0"/>
      <w:marBottom w:val="0"/>
      <w:divBdr>
        <w:top w:val="none" w:sz="0" w:space="0" w:color="auto"/>
        <w:left w:val="none" w:sz="0" w:space="0" w:color="auto"/>
        <w:bottom w:val="none" w:sz="0" w:space="0" w:color="auto"/>
        <w:right w:val="none" w:sz="0" w:space="0" w:color="auto"/>
      </w:divBdr>
    </w:div>
    <w:div w:id="881526961">
      <w:bodyDiv w:val="1"/>
      <w:marLeft w:val="0"/>
      <w:marRight w:val="0"/>
      <w:marTop w:val="0"/>
      <w:marBottom w:val="0"/>
      <w:divBdr>
        <w:top w:val="none" w:sz="0" w:space="0" w:color="auto"/>
        <w:left w:val="none" w:sz="0" w:space="0" w:color="auto"/>
        <w:bottom w:val="none" w:sz="0" w:space="0" w:color="auto"/>
        <w:right w:val="none" w:sz="0" w:space="0" w:color="auto"/>
      </w:divBdr>
    </w:div>
    <w:div w:id="920027070">
      <w:bodyDiv w:val="1"/>
      <w:marLeft w:val="0"/>
      <w:marRight w:val="0"/>
      <w:marTop w:val="0"/>
      <w:marBottom w:val="0"/>
      <w:divBdr>
        <w:top w:val="none" w:sz="0" w:space="0" w:color="auto"/>
        <w:left w:val="none" w:sz="0" w:space="0" w:color="auto"/>
        <w:bottom w:val="none" w:sz="0" w:space="0" w:color="auto"/>
        <w:right w:val="none" w:sz="0" w:space="0" w:color="auto"/>
      </w:divBdr>
    </w:div>
    <w:div w:id="968510384">
      <w:bodyDiv w:val="1"/>
      <w:marLeft w:val="0"/>
      <w:marRight w:val="0"/>
      <w:marTop w:val="0"/>
      <w:marBottom w:val="0"/>
      <w:divBdr>
        <w:top w:val="none" w:sz="0" w:space="0" w:color="auto"/>
        <w:left w:val="none" w:sz="0" w:space="0" w:color="auto"/>
        <w:bottom w:val="none" w:sz="0" w:space="0" w:color="auto"/>
        <w:right w:val="none" w:sz="0" w:space="0" w:color="auto"/>
      </w:divBdr>
    </w:div>
    <w:div w:id="989209756">
      <w:bodyDiv w:val="1"/>
      <w:marLeft w:val="0"/>
      <w:marRight w:val="0"/>
      <w:marTop w:val="0"/>
      <w:marBottom w:val="0"/>
      <w:divBdr>
        <w:top w:val="none" w:sz="0" w:space="0" w:color="auto"/>
        <w:left w:val="none" w:sz="0" w:space="0" w:color="auto"/>
        <w:bottom w:val="none" w:sz="0" w:space="0" w:color="auto"/>
        <w:right w:val="none" w:sz="0" w:space="0" w:color="auto"/>
      </w:divBdr>
    </w:div>
    <w:div w:id="999311022">
      <w:bodyDiv w:val="1"/>
      <w:marLeft w:val="0"/>
      <w:marRight w:val="0"/>
      <w:marTop w:val="0"/>
      <w:marBottom w:val="0"/>
      <w:divBdr>
        <w:top w:val="none" w:sz="0" w:space="0" w:color="auto"/>
        <w:left w:val="none" w:sz="0" w:space="0" w:color="auto"/>
        <w:bottom w:val="none" w:sz="0" w:space="0" w:color="auto"/>
        <w:right w:val="none" w:sz="0" w:space="0" w:color="auto"/>
      </w:divBdr>
    </w:div>
    <w:div w:id="1016149563">
      <w:bodyDiv w:val="1"/>
      <w:marLeft w:val="0"/>
      <w:marRight w:val="0"/>
      <w:marTop w:val="0"/>
      <w:marBottom w:val="0"/>
      <w:divBdr>
        <w:top w:val="none" w:sz="0" w:space="0" w:color="auto"/>
        <w:left w:val="none" w:sz="0" w:space="0" w:color="auto"/>
        <w:bottom w:val="none" w:sz="0" w:space="0" w:color="auto"/>
        <w:right w:val="none" w:sz="0" w:space="0" w:color="auto"/>
      </w:divBdr>
    </w:div>
    <w:div w:id="1066688526">
      <w:bodyDiv w:val="1"/>
      <w:marLeft w:val="0"/>
      <w:marRight w:val="0"/>
      <w:marTop w:val="0"/>
      <w:marBottom w:val="0"/>
      <w:divBdr>
        <w:top w:val="none" w:sz="0" w:space="0" w:color="auto"/>
        <w:left w:val="none" w:sz="0" w:space="0" w:color="auto"/>
        <w:bottom w:val="none" w:sz="0" w:space="0" w:color="auto"/>
        <w:right w:val="none" w:sz="0" w:space="0" w:color="auto"/>
      </w:divBdr>
    </w:div>
    <w:div w:id="1138958340">
      <w:bodyDiv w:val="1"/>
      <w:marLeft w:val="0"/>
      <w:marRight w:val="0"/>
      <w:marTop w:val="0"/>
      <w:marBottom w:val="0"/>
      <w:divBdr>
        <w:top w:val="none" w:sz="0" w:space="0" w:color="auto"/>
        <w:left w:val="none" w:sz="0" w:space="0" w:color="auto"/>
        <w:bottom w:val="none" w:sz="0" w:space="0" w:color="auto"/>
        <w:right w:val="none" w:sz="0" w:space="0" w:color="auto"/>
      </w:divBdr>
      <w:divsChild>
        <w:div w:id="177744098">
          <w:marLeft w:val="0"/>
          <w:marRight w:val="0"/>
          <w:marTop w:val="0"/>
          <w:marBottom w:val="0"/>
          <w:divBdr>
            <w:top w:val="none" w:sz="0" w:space="0" w:color="auto"/>
            <w:left w:val="none" w:sz="0" w:space="0" w:color="auto"/>
            <w:bottom w:val="none" w:sz="0" w:space="0" w:color="auto"/>
            <w:right w:val="none" w:sz="0" w:space="0" w:color="auto"/>
          </w:divBdr>
        </w:div>
        <w:div w:id="369114666">
          <w:marLeft w:val="0"/>
          <w:marRight w:val="0"/>
          <w:marTop w:val="0"/>
          <w:marBottom w:val="0"/>
          <w:divBdr>
            <w:top w:val="none" w:sz="0" w:space="0" w:color="auto"/>
            <w:left w:val="none" w:sz="0" w:space="0" w:color="auto"/>
            <w:bottom w:val="none" w:sz="0" w:space="0" w:color="auto"/>
            <w:right w:val="none" w:sz="0" w:space="0" w:color="auto"/>
          </w:divBdr>
        </w:div>
        <w:div w:id="378170010">
          <w:marLeft w:val="0"/>
          <w:marRight w:val="0"/>
          <w:marTop w:val="0"/>
          <w:marBottom w:val="0"/>
          <w:divBdr>
            <w:top w:val="none" w:sz="0" w:space="0" w:color="auto"/>
            <w:left w:val="none" w:sz="0" w:space="0" w:color="auto"/>
            <w:bottom w:val="none" w:sz="0" w:space="0" w:color="auto"/>
            <w:right w:val="none" w:sz="0" w:space="0" w:color="auto"/>
          </w:divBdr>
        </w:div>
        <w:div w:id="548154389">
          <w:marLeft w:val="0"/>
          <w:marRight w:val="0"/>
          <w:marTop w:val="0"/>
          <w:marBottom w:val="0"/>
          <w:divBdr>
            <w:top w:val="none" w:sz="0" w:space="0" w:color="auto"/>
            <w:left w:val="none" w:sz="0" w:space="0" w:color="auto"/>
            <w:bottom w:val="none" w:sz="0" w:space="0" w:color="auto"/>
            <w:right w:val="none" w:sz="0" w:space="0" w:color="auto"/>
          </w:divBdr>
        </w:div>
        <w:div w:id="756681589">
          <w:marLeft w:val="0"/>
          <w:marRight w:val="0"/>
          <w:marTop w:val="0"/>
          <w:marBottom w:val="0"/>
          <w:divBdr>
            <w:top w:val="none" w:sz="0" w:space="0" w:color="auto"/>
            <w:left w:val="none" w:sz="0" w:space="0" w:color="auto"/>
            <w:bottom w:val="none" w:sz="0" w:space="0" w:color="auto"/>
            <w:right w:val="none" w:sz="0" w:space="0" w:color="auto"/>
          </w:divBdr>
        </w:div>
        <w:div w:id="858008140">
          <w:marLeft w:val="0"/>
          <w:marRight w:val="0"/>
          <w:marTop w:val="0"/>
          <w:marBottom w:val="0"/>
          <w:divBdr>
            <w:top w:val="none" w:sz="0" w:space="0" w:color="auto"/>
            <w:left w:val="none" w:sz="0" w:space="0" w:color="auto"/>
            <w:bottom w:val="none" w:sz="0" w:space="0" w:color="auto"/>
            <w:right w:val="none" w:sz="0" w:space="0" w:color="auto"/>
          </w:divBdr>
        </w:div>
        <w:div w:id="992873493">
          <w:marLeft w:val="0"/>
          <w:marRight w:val="0"/>
          <w:marTop w:val="0"/>
          <w:marBottom w:val="0"/>
          <w:divBdr>
            <w:top w:val="none" w:sz="0" w:space="0" w:color="auto"/>
            <w:left w:val="none" w:sz="0" w:space="0" w:color="auto"/>
            <w:bottom w:val="none" w:sz="0" w:space="0" w:color="auto"/>
            <w:right w:val="none" w:sz="0" w:space="0" w:color="auto"/>
          </w:divBdr>
        </w:div>
        <w:div w:id="1095131420">
          <w:marLeft w:val="0"/>
          <w:marRight w:val="0"/>
          <w:marTop w:val="0"/>
          <w:marBottom w:val="0"/>
          <w:divBdr>
            <w:top w:val="none" w:sz="0" w:space="0" w:color="auto"/>
            <w:left w:val="none" w:sz="0" w:space="0" w:color="auto"/>
            <w:bottom w:val="none" w:sz="0" w:space="0" w:color="auto"/>
            <w:right w:val="none" w:sz="0" w:space="0" w:color="auto"/>
          </w:divBdr>
        </w:div>
        <w:div w:id="1345476382">
          <w:marLeft w:val="0"/>
          <w:marRight w:val="0"/>
          <w:marTop w:val="0"/>
          <w:marBottom w:val="0"/>
          <w:divBdr>
            <w:top w:val="none" w:sz="0" w:space="0" w:color="auto"/>
            <w:left w:val="none" w:sz="0" w:space="0" w:color="auto"/>
            <w:bottom w:val="none" w:sz="0" w:space="0" w:color="auto"/>
            <w:right w:val="none" w:sz="0" w:space="0" w:color="auto"/>
          </w:divBdr>
        </w:div>
        <w:div w:id="1749572781">
          <w:marLeft w:val="0"/>
          <w:marRight w:val="0"/>
          <w:marTop w:val="0"/>
          <w:marBottom w:val="0"/>
          <w:divBdr>
            <w:top w:val="none" w:sz="0" w:space="0" w:color="auto"/>
            <w:left w:val="none" w:sz="0" w:space="0" w:color="auto"/>
            <w:bottom w:val="none" w:sz="0" w:space="0" w:color="auto"/>
            <w:right w:val="none" w:sz="0" w:space="0" w:color="auto"/>
          </w:divBdr>
        </w:div>
        <w:div w:id="1922907271">
          <w:marLeft w:val="0"/>
          <w:marRight w:val="0"/>
          <w:marTop w:val="0"/>
          <w:marBottom w:val="0"/>
          <w:divBdr>
            <w:top w:val="none" w:sz="0" w:space="0" w:color="auto"/>
            <w:left w:val="none" w:sz="0" w:space="0" w:color="auto"/>
            <w:bottom w:val="none" w:sz="0" w:space="0" w:color="auto"/>
            <w:right w:val="none" w:sz="0" w:space="0" w:color="auto"/>
          </w:divBdr>
        </w:div>
        <w:div w:id="2091348664">
          <w:marLeft w:val="0"/>
          <w:marRight w:val="0"/>
          <w:marTop w:val="0"/>
          <w:marBottom w:val="0"/>
          <w:divBdr>
            <w:top w:val="none" w:sz="0" w:space="0" w:color="auto"/>
            <w:left w:val="none" w:sz="0" w:space="0" w:color="auto"/>
            <w:bottom w:val="none" w:sz="0" w:space="0" w:color="auto"/>
            <w:right w:val="none" w:sz="0" w:space="0" w:color="auto"/>
          </w:divBdr>
        </w:div>
      </w:divsChild>
    </w:div>
    <w:div w:id="1165320142">
      <w:bodyDiv w:val="1"/>
      <w:marLeft w:val="0"/>
      <w:marRight w:val="0"/>
      <w:marTop w:val="0"/>
      <w:marBottom w:val="0"/>
      <w:divBdr>
        <w:top w:val="none" w:sz="0" w:space="0" w:color="auto"/>
        <w:left w:val="none" w:sz="0" w:space="0" w:color="auto"/>
        <w:bottom w:val="none" w:sz="0" w:space="0" w:color="auto"/>
        <w:right w:val="none" w:sz="0" w:space="0" w:color="auto"/>
      </w:divBdr>
    </w:div>
    <w:div w:id="1168441471">
      <w:bodyDiv w:val="1"/>
      <w:marLeft w:val="0"/>
      <w:marRight w:val="0"/>
      <w:marTop w:val="0"/>
      <w:marBottom w:val="0"/>
      <w:divBdr>
        <w:top w:val="none" w:sz="0" w:space="0" w:color="auto"/>
        <w:left w:val="none" w:sz="0" w:space="0" w:color="auto"/>
        <w:bottom w:val="none" w:sz="0" w:space="0" w:color="auto"/>
        <w:right w:val="none" w:sz="0" w:space="0" w:color="auto"/>
      </w:divBdr>
    </w:div>
    <w:div w:id="1180658901">
      <w:bodyDiv w:val="1"/>
      <w:marLeft w:val="0"/>
      <w:marRight w:val="0"/>
      <w:marTop w:val="0"/>
      <w:marBottom w:val="0"/>
      <w:divBdr>
        <w:top w:val="none" w:sz="0" w:space="0" w:color="auto"/>
        <w:left w:val="none" w:sz="0" w:space="0" w:color="auto"/>
        <w:bottom w:val="none" w:sz="0" w:space="0" w:color="auto"/>
        <w:right w:val="none" w:sz="0" w:space="0" w:color="auto"/>
      </w:divBdr>
    </w:div>
    <w:div w:id="1183469314">
      <w:bodyDiv w:val="1"/>
      <w:marLeft w:val="0"/>
      <w:marRight w:val="0"/>
      <w:marTop w:val="0"/>
      <w:marBottom w:val="0"/>
      <w:divBdr>
        <w:top w:val="none" w:sz="0" w:space="0" w:color="auto"/>
        <w:left w:val="none" w:sz="0" w:space="0" w:color="auto"/>
        <w:bottom w:val="none" w:sz="0" w:space="0" w:color="auto"/>
        <w:right w:val="none" w:sz="0" w:space="0" w:color="auto"/>
      </w:divBdr>
      <w:divsChild>
        <w:div w:id="630749735">
          <w:marLeft w:val="0"/>
          <w:marRight w:val="0"/>
          <w:marTop w:val="0"/>
          <w:marBottom w:val="0"/>
          <w:divBdr>
            <w:top w:val="none" w:sz="0" w:space="0" w:color="auto"/>
            <w:left w:val="none" w:sz="0" w:space="0" w:color="auto"/>
            <w:bottom w:val="none" w:sz="0" w:space="0" w:color="auto"/>
            <w:right w:val="none" w:sz="0" w:space="0" w:color="auto"/>
          </w:divBdr>
        </w:div>
      </w:divsChild>
    </w:div>
    <w:div w:id="1189761636">
      <w:bodyDiv w:val="1"/>
      <w:marLeft w:val="0"/>
      <w:marRight w:val="0"/>
      <w:marTop w:val="0"/>
      <w:marBottom w:val="0"/>
      <w:divBdr>
        <w:top w:val="none" w:sz="0" w:space="0" w:color="auto"/>
        <w:left w:val="none" w:sz="0" w:space="0" w:color="auto"/>
        <w:bottom w:val="none" w:sz="0" w:space="0" w:color="auto"/>
        <w:right w:val="none" w:sz="0" w:space="0" w:color="auto"/>
      </w:divBdr>
    </w:div>
    <w:div w:id="1194423983">
      <w:bodyDiv w:val="1"/>
      <w:marLeft w:val="0"/>
      <w:marRight w:val="0"/>
      <w:marTop w:val="0"/>
      <w:marBottom w:val="0"/>
      <w:divBdr>
        <w:top w:val="none" w:sz="0" w:space="0" w:color="auto"/>
        <w:left w:val="none" w:sz="0" w:space="0" w:color="auto"/>
        <w:bottom w:val="none" w:sz="0" w:space="0" w:color="auto"/>
        <w:right w:val="none" w:sz="0" w:space="0" w:color="auto"/>
      </w:divBdr>
      <w:divsChild>
        <w:div w:id="719596002">
          <w:marLeft w:val="0"/>
          <w:marRight w:val="0"/>
          <w:marTop w:val="0"/>
          <w:marBottom w:val="0"/>
          <w:divBdr>
            <w:top w:val="none" w:sz="0" w:space="0" w:color="auto"/>
            <w:left w:val="none" w:sz="0" w:space="0" w:color="auto"/>
            <w:bottom w:val="none" w:sz="0" w:space="0" w:color="auto"/>
            <w:right w:val="none" w:sz="0" w:space="0" w:color="auto"/>
          </w:divBdr>
          <w:divsChild>
            <w:div w:id="523179167">
              <w:marLeft w:val="0"/>
              <w:marRight w:val="0"/>
              <w:marTop w:val="0"/>
              <w:marBottom w:val="0"/>
              <w:divBdr>
                <w:top w:val="none" w:sz="0" w:space="0" w:color="auto"/>
                <w:left w:val="none" w:sz="0" w:space="0" w:color="auto"/>
                <w:bottom w:val="none" w:sz="0" w:space="0" w:color="auto"/>
                <w:right w:val="none" w:sz="0" w:space="0" w:color="auto"/>
              </w:divBdr>
              <w:divsChild>
                <w:div w:id="1114060438">
                  <w:marLeft w:val="0"/>
                  <w:marRight w:val="0"/>
                  <w:marTop w:val="0"/>
                  <w:marBottom w:val="0"/>
                  <w:divBdr>
                    <w:top w:val="none" w:sz="0" w:space="0" w:color="auto"/>
                    <w:left w:val="none" w:sz="0" w:space="0" w:color="auto"/>
                    <w:bottom w:val="none" w:sz="0" w:space="0" w:color="auto"/>
                    <w:right w:val="none" w:sz="0" w:space="0" w:color="auto"/>
                  </w:divBdr>
                  <w:divsChild>
                    <w:div w:id="1823695070">
                      <w:marLeft w:val="1"/>
                      <w:marRight w:val="1"/>
                      <w:marTop w:val="0"/>
                      <w:marBottom w:val="0"/>
                      <w:divBdr>
                        <w:top w:val="none" w:sz="0" w:space="0" w:color="auto"/>
                        <w:left w:val="none" w:sz="0" w:space="0" w:color="auto"/>
                        <w:bottom w:val="none" w:sz="0" w:space="0" w:color="auto"/>
                        <w:right w:val="none" w:sz="0" w:space="0" w:color="auto"/>
                      </w:divBdr>
                      <w:divsChild>
                        <w:div w:id="2064791999">
                          <w:marLeft w:val="0"/>
                          <w:marRight w:val="0"/>
                          <w:marTop w:val="0"/>
                          <w:marBottom w:val="0"/>
                          <w:divBdr>
                            <w:top w:val="none" w:sz="0" w:space="0" w:color="auto"/>
                            <w:left w:val="none" w:sz="0" w:space="0" w:color="auto"/>
                            <w:bottom w:val="none" w:sz="0" w:space="0" w:color="auto"/>
                            <w:right w:val="none" w:sz="0" w:space="0" w:color="auto"/>
                          </w:divBdr>
                          <w:divsChild>
                            <w:div w:id="502084004">
                              <w:marLeft w:val="0"/>
                              <w:marRight w:val="0"/>
                              <w:marTop w:val="0"/>
                              <w:marBottom w:val="360"/>
                              <w:divBdr>
                                <w:top w:val="none" w:sz="0" w:space="0" w:color="auto"/>
                                <w:left w:val="none" w:sz="0" w:space="0" w:color="auto"/>
                                <w:bottom w:val="none" w:sz="0" w:space="0" w:color="auto"/>
                                <w:right w:val="none" w:sz="0" w:space="0" w:color="auto"/>
                              </w:divBdr>
                              <w:divsChild>
                                <w:div w:id="1993632136">
                                  <w:marLeft w:val="0"/>
                                  <w:marRight w:val="0"/>
                                  <w:marTop w:val="0"/>
                                  <w:marBottom w:val="0"/>
                                  <w:divBdr>
                                    <w:top w:val="none" w:sz="0" w:space="0" w:color="auto"/>
                                    <w:left w:val="none" w:sz="0" w:space="0" w:color="auto"/>
                                    <w:bottom w:val="none" w:sz="0" w:space="0" w:color="auto"/>
                                    <w:right w:val="none" w:sz="0" w:space="0" w:color="auto"/>
                                  </w:divBdr>
                                  <w:divsChild>
                                    <w:div w:id="1796755588">
                                      <w:marLeft w:val="0"/>
                                      <w:marRight w:val="0"/>
                                      <w:marTop w:val="0"/>
                                      <w:marBottom w:val="0"/>
                                      <w:divBdr>
                                        <w:top w:val="none" w:sz="0" w:space="0" w:color="auto"/>
                                        <w:left w:val="none" w:sz="0" w:space="0" w:color="auto"/>
                                        <w:bottom w:val="none" w:sz="0" w:space="0" w:color="auto"/>
                                        <w:right w:val="none" w:sz="0" w:space="0" w:color="auto"/>
                                      </w:divBdr>
                                      <w:divsChild>
                                        <w:div w:id="2027126088">
                                          <w:marLeft w:val="0"/>
                                          <w:marRight w:val="0"/>
                                          <w:marTop w:val="0"/>
                                          <w:marBottom w:val="0"/>
                                          <w:divBdr>
                                            <w:top w:val="none" w:sz="0" w:space="0" w:color="auto"/>
                                            <w:left w:val="none" w:sz="0" w:space="0" w:color="auto"/>
                                            <w:bottom w:val="none" w:sz="0" w:space="0" w:color="auto"/>
                                            <w:right w:val="none" w:sz="0" w:space="0" w:color="auto"/>
                                          </w:divBdr>
                                          <w:divsChild>
                                            <w:div w:id="288829800">
                                              <w:marLeft w:val="0"/>
                                              <w:marRight w:val="0"/>
                                              <w:marTop w:val="0"/>
                                              <w:marBottom w:val="0"/>
                                              <w:divBdr>
                                                <w:top w:val="none" w:sz="0" w:space="0" w:color="auto"/>
                                                <w:left w:val="none" w:sz="0" w:space="0" w:color="auto"/>
                                                <w:bottom w:val="none" w:sz="0" w:space="0" w:color="auto"/>
                                                <w:right w:val="none" w:sz="0" w:space="0" w:color="auto"/>
                                              </w:divBdr>
                                              <w:divsChild>
                                                <w:div w:id="1224178263">
                                                  <w:marLeft w:val="0"/>
                                                  <w:marRight w:val="0"/>
                                                  <w:marTop w:val="0"/>
                                                  <w:marBottom w:val="0"/>
                                                  <w:divBdr>
                                                    <w:top w:val="none" w:sz="0" w:space="0" w:color="auto"/>
                                                    <w:left w:val="none" w:sz="0" w:space="0" w:color="auto"/>
                                                    <w:bottom w:val="none" w:sz="0" w:space="0" w:color="auto"/>
                                                    <w:right w:val="none" w:sz="0" w:space="0" w:color="auto"/>
                                                  </w:divBdr>
                                                  <w:divsChild>
                                                    <w:div w:id="20668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533150">
      <w:bodyDiv w:val="1"/>
      <w:marLeft w:val="0"/>
      <w:marRight w:val="0"/>
      <w:marTop w:val="0"/>
      <w:marBottom w:val="0"/>
      <w:divBdr>
        <w:top w:val="none" w:sz="0" w:space="0" w:color="auto"/>
        <w:left w:val="none" w:sz="0" w:space="0" w:color="auto"/>
        <w:bottom w:val="none" w:sz="0" w:space="0" w:color="auto"/>
        <w:right w:val="none" w:sz="0" w:space="0" w:color="auto"/>
      </w:divBdr>
    </w:div>
    <w:div w:id="1213662164">
      <w:bodyDiv w:val="1"/>
      <w:marLeft w:val="0"/>
      <w:marRight w:val="0"/>
      <w:marTop w:val="0"/>
      <w:marBottom w:val="0"/>
      <w:divBdr>
        <w:top w:val="none" w:sz="0" w:space="0" w:color="auto"/>
        <w:left w:val="none" w:sz="0" w:space="0" w:color="auto"/>
        <w:bottom w:val="none" w:sz="0" w:space="0" w:color="auto"/>
        <w:right w:val="none" w:sz="0" w:space="0" w:color="auto"/>
      </w:divBdr>
    </w:div>
    <w:div w:id="1246719158">
      <w:bodyDiv w:val="1"/>
      <w:marLeft w:val="0"/>
      <w:marRight w:val="0"/>
      <w:marTop w:val="0"/>
      <w:marBottom w:val="0"/>
      <w:divBdr>
        <w:top w:val="none" w:sz="0" w:space="0" w:color="auto"/>
        <w:left w:val="none" w:sz="0" w:space="0" w:color="auto"/>
        <w:bottom w:val="none" w:sz="0" w:space="0" w:color="auto"/>
        <w:right w:val="none" w:sz="0" w:space="0" w:color="auto"/>
      </w:divBdr>
    </w:div>
    <w:div w:id="1261261308">
      <w:bodyDiv w:val="1"/>
      <w:marLeft w:val="0"/>
      <w:marRight w:val="0"/>
      <w:marTop w:val="0"/>
      <w:marBottom w:val="0"/>
      <w:divBdr>
        <w:top w:val="none" w:sz="0" w:space="0" w:color="auto"/>
        <w:left w:val="none" w:sz="0" w:space="0" w:color="auto"/>
        <w:bottom w:val="none" w:sz="0" w:space="0" w:color="auto"/>
        <w:right w:val="none" w:sz="0" w:space="0" w:color="auto"/>
      </w:divBdr>
    </w:div>
    <w:div w:id="1288510146">
      <w:bodyDiv w:val="1"/>
      <w:marLeft w:val="0"/>
      <w:marRight w:val="0"/>
      <w:marTop w:val="0"/>
      <w:marBottom w:val="0"/>
      <w:divBdr>
        <w:top w:val="none" w:sz="0" w:space="0" w:color="auto"/>
        <w:left w:val="none" w:sz="0" w:space="0" w:color="auto"/>
        <w:bottom w:val="none" w:sz="0" w:space="0" w:color="auto"/>
        <w:right w:val="none" w:sz="0" w:space="0" w:color="auto"/>
      </w:divBdr>
    </w:div>
    <w:div w:id="1322273511">
      <w:bodyDiv w:val="1"/>
      <w:marLeft w:val="0"/>
      <w:marRight w:val="0"/>
      <w:marTop w:val="0"/>
      <w:marBottom w:val="0"/>
      <w:divBdr>
        <w:top w:val="none" w:sz="0" w:space="0" w:color="auto"/>
        <w:left w:val="none" w:sz="0" w:space="0" w:color="auto"/>
        <w:bottom w:val="none" w:sz="0" w:space="0" w:color="auto"/>
        <w:right w:val="none" w:sz="0" w:space="0" w:color="auto"/>
      </w:divBdr>
    </w:div>
    <w:div w:id="1397123583">
      <w:bodyDiv w:val="1"/>
      <w:marLeft w:val="0"/>
      <w:marRight w:val="0"/>
      <w:marTop w:val="0"/>
      <w:marBottom w:val="0"/>
      <w:divBdr>
        <w:top w:val="none" w:sz="0" w:space="0" w:color="auto"/>
        <w:left w:val="none" w:sz="0" w:space="0" w:color="auto"/>
        <w:bottom w:val="none" w:sz="0" w:space="0" w:color="auto"/>
        <w:right w:val="none" w:sz="0" w:space="0" w:color="auto"/>
      </w:divBdr>
    </w:div>
    <w:div w:id="1476533384">
      <w:bodyDiv w:val="1"/>
      <w:marLeft w:val="0"/>
      <w:marRight w:val="0"/>
      <w:marTop w:val="0"/>
      <w:marBottom w:val="0"/>
      <w:divBdr>
        <w:top w:val="none" w:sz="0" w:space="0" w:color="auto"/>
        <w:left w:val="none" w:sz="0" w:space="0" w:color="auto"/>
        <w:bottom w:val="none" w:sz="0" w:space="0" w:color="auto"/>
        <w:right w:val="none" w:sz="0" w:space="0" w:color="auto"/>
      </w:divBdr>
    </w:div>
    <w:div w:id="1479179956">
      <w:bodyDiv w:val="1"/>
      <w:marLeft w:val="0"/>
      <w:marRight w:val="0"/>
      <w:marTop w:val="0"/>
      <w:marBottom w:val="0"/>
      <w:divBdr>
        <w:top w:val="none" w:sz="0" w:space="0" w:color="auto"/>
        <w:left w:val="none" w:sz="0" w:space="0" w:color="auto"/>
        <w:bottom w:val="none" w:sz="0" w:space="0" w:color="auto"/>
        <w:right w:val="none" w:sz="0" w:space="0" w:color="auto"/>
      </w:divBdr>
    </w:div>
    <w:div w:id="1520924622">
      <w:bodyDiv w:val="1"/>
      <w:marLeft w:val="0"/>
      <w:marRight w:val="0"/>
      <w:marTop w:val="0"/>
      <w:marBottom w:val="0"/>
      <w:divBdr>
        <w:top w:val="none" w:sz="0" w:space="0" w:color="auto"/>
        <w:left w:val="none" w:sz="0" w:space="0" w:color="auto"/>
        <w:bottom w:val="none" w:sz="0" w:space="0" w:color="auto"/>
        <w:right w:val="none" w:sz="0" w:space="0" w:color="auto"/>
      </w:divBdr>
    </w:div>
    <w:div w:id="1535190878">
      <w:bodyDiv w:val="1"/>
      <w:marLeft w:val="0"/>
      <w:marRight w:val="0"/>
      <w:marTop w:val="0"/>
      <w:marBottom w:val="0"/>
      <w:divBdr>
        <w:top w:val="none" w:sz="0" w:space="0" w:color="auto"/>
        <w:left w:val="none" w:sz="0" w:space="0" w:color="auto"/>
        <w:bottom w:val="none" w:sz="0" w:space="0" w:color="auto"/>
        <w:right w:val="none" w:sz="0" w:space="0" w:color="auto"/>
      </w:divBdr>
    </w:div>
    <w:div w:id="1548880502">
      <w:bodyDiv w:val="1"/>
      <w:marLeft w:val="0"/>
      <w:marRight w:val="0"/>
      <w:marTop w:val="0"/>
      <w:marBottom w:val="0"/>
      <w:divBdr>
        <w:top w:val="none" w:sz="0" w:space="0" w:color="auto"/>
        <w:left w:val="none" w:sz="0" w:space="0" w:color="auto"/>
        <w:bottom w:val="none" w:sz="0" w:space="0" w:color="auto"/>
        <w:right w:val="none" w:sz="0" w:space="0" w:color="auto"/>
      </w:divBdr>
    </w:div>
    <w:div w:id="1556236791">
      <w:bodyDiv w:val="1"/>
      <w:marLeft w:val="0"/>
      <w:marRight w:val="0"/>
      <w:marTop w:val="0"/>
      <w:marBottom w:val="0"/>
      <w:divBdr>
        <w:top w:val="none" w:sz="0" w:space="0" w:color="auto"/>
        <w:left w:val="none" w:sz="0" w:space="0" w:color="auto"/>
        <w:bottom w:val="none" w:sz="0" w:space="0" w:color="auto"/>
        <w:right w:val="none" w:sz="0" w:space="0" w:color="auto"/>
      </w:divBdr>
    </w:div>
    <w:div w:id="1556626230">
      <w:bodyDiv w:val="1"/>
      <w:marLeft w:val="0"/>
      <w:marRight w:val="0"/>
      <w:marTop w:val="0"/>
      <w:marBottom w:val="0"/>
      <w:divBdr>
        <w:top w:val="none" w:sz="0" w:space="0" w:color="auto"/>
        <w:left w:val="none" w:sz="0" w:space="0" w:color="auto"/>
        <w:bottom w:val="none" w:sz="0" w:space="0" w:color="auto"/>
        <w:right w:val="none" w:sz="0" w:space="0" w:color="auto"/>
      </w:divBdr>
    </w:div>
    <w:div w:id="1561163294">
      <w:bodyDiv w:val="1"/>
      <w:marLeft w:val="0"/>
      <w:marRight w:val="0"/>
      <w:marTop w:val="0"/>
      <w:marBottom w:val="0"/>
      <w:divBdr>
        <w:top w:val="none" w:sz="0" w:space="0" w:color="auto"/>
        <w:left w:val="none" w:sz="0" w:space="0" w:color="auto"/>
        <w:bottom w:val="none" w:sz="0" w:space="0" w:color="auto"/>
        <w:right w:val="none" w:sz="0" w:space="0" w:color="auto"/>
      </w:divBdr>
      <w:divsChild>
        <w:div w:id="1189367566">
          <w:marLeft w:val="0"/>
          <w:marRight w:val="0"/>
          <w:marTop w:val="0"/>
          <w:marBottom w:val="0"/>
          <w:divBdr>
            <w:top w:val="none" w:sz="0" w:space="0" w:color="auto"/>
            <w:left w:val="none" w:sz="0" w:space="0" w:color="auto"/>
            <w:bottom w:val="none" w:sz="0" w:space="0" w:color="auto"/>
            <w:right w:val="none" w:sz="0" w:space="0" w:color="auto"/>
          </w:divBdr>
          <w:divsChild>
            <w:div w:id="357315459">
              <w:marLeft w:val="0"/>
              <w:marRight w:val="0"/>
              <w:marTop w:val="0"/>
              <w:marBottom w:val="0"/>
              <w:divBdr>
                <w:top w:val="none" w:sz="0" w:space="0" w:color="auto"/>
                <w:left w:val="none" w:sz="0" w:space="0" w:color="auto"/>
                <w:bottom w:val="none" w:sz="0" w:space="0" w:color="auto"/>
                <w:right w:val="none" w:sz="0" w:space="0" w:color="auto"/>
              </w:divBdr>
              <w:divsChild>
                <w:div w:id="629894496">
                  <w:marLeft w:val="0"/>
                  <w:marRight w:val="0"/>
                  <w:marTop w:val="0"/>
                  <w:marBottom w:val="0"/>
                  <w:divBdr>
                    <w:top w:val="none" w:sz="0" w:space="0" w:color="auto"/>
                    <w:left w:val="none" w:sz="0" w:space="0" w:color="auto"/>
                    <w:bottom w:val="none" w:sz="0" w:space="0" w:color="auto"/>
                    <w:right w:val="none" w:sz="0" w:space="0" w:color="auto"/>
                  </w:divBdr>
                  <w:divsChild>
                    <w:div w:id="850724869">
                      <w:marLeft w:val="0"/>
                      <w:marRight w:val="0"/>
                      <w:marTop w:val="100"/>
                      <w:marBottom w:val="100"/>
                      <w:divBdr>
                        <w:top w:val="none" w:sz="0" w:space="0" w:color="auto"/>
                        <w:left w:val="none" w:sz="0" w:space="0" w:color="auto"/>
                        <w:bottom w:val="none" w:sz="0" w:space="0" w:color="auto"/>
                        <w:right w:val="none" w:sz="0" w:space="0" w:color="auto"/>
                      </w:divBdr>
                      <w:divsChild>
                        <w:div w:id="1313606501">
                          <w:marLeft w:val="0"/>
                          <w:marRight w:val="0"/>
                          <w:marTop w:val="0"/>
                          <w:marBottom w:val="0"/>
                          <w:divBdr>
                            <w:top w:val="none" w:sz="0" w:space="0" w:color="auto"/>
                            <w:left w:val="none" w:sz="0" w:space="0" w:color="auto"/>
                            <w:bottom w:val="none" w:sz="0" w:space="0" w:color="auto"/>
                            <w:right w:val="none" w:sz="0" w:space="0" w:color="auto"/>
                          </w:divBdr>
                          <w:divsChild>
                            <w:div w:id="507259592">
                              <w:marLeft w:val="0"/>
                              <w:marRight w:val="0"/>
                              <w:marTop w:val="0"/>
                              <w:marBottom w:val="0"/>
                              <w:divBdr>
                                <w:top w:val="none" w:sz="0" w:space="0" w:color="auto"/>
                                <w:left w:val="none" w:sz="0" w:space="0" w:color="auto"/>
                                <w:bottom w:val="none" w:sz="0" w:space="0" w:color="auto"/>
                                <w:right w:val="none" w:sz="0" w:space="0" w:color="auto"/>
                              </w:divBdr>
                              <w:divsChild>
                                <w:div w:id="11150224">
                                  <w:marLeft w:val="0"/>
                                  <w:marRight w:val="0"/>
                                  <w:marTop w:val="0"/>
                                  <w:marBottom w:val="0"/>
                                  <w:divBdr>
                                    <w:top w:val="none" w:sz="0" w:space="0" w:color="auto"/>
                                    <w:left w:val="none" w:sz="0" w:space="0" w:color="auto"/>
                                    <w:bottom w:val="none" w:sz="0" w:space="0" w:color="auto"/>
                                    <w:right w:val="none" w:sz="0" w:space="0" w:color="auto"/>
                                  </w:divBdr>
                                </w:div>
                                <w:div w:id="34699040">
                                  <w:marLeft w:val="0"/>
                                  <w:marRight w:val="0"/>
                                  <w:marTop w:val="0"/>
                                  <w:marBottom w:val="0"/>
                                  <w:divBdr>
                                    <w:top w:val="none" w:sz="0" w:space="0" w:color="auto"/>
                                    <w:left w:val="none" w:sz="0" w:space="0" w:color="auto"/>
                                    <w:bottom w:val="none" w:sz="0" w:space="0" w:color="auto"/>
                                    <w:right w:val="none" w:sz="0" w:space="0" w:color="auto"/>
                                  </w:divBdr>
                                  <w:divsChild>
                                    <w:div w:id="1779327183">
                                      <w:marLeft w:val="0"/>
                                      <w:marRight w:val="0"/>
                                      <w:marTop w:val="0"/>
                                      <w:marBottom w:val="0"/>
                                      <w:divBdr>
                                        <w:top w:val="none" w:sz="0" w:space="0" w:color="auto"/>
                                        <w:left w:val="none" w:sz="0" w:space="0" w:color="auto"/>
                                        <w:bottom w:val="none" w:sz="0" w:space="0" w:color="auto"/>
                                        <w:right w:val="none" w:sz="0" w:space="0" w:color="auto"/>
                                      </w:divBdr>
                                    </w:div>
                                  </w:divsChild>
                                </w:div>
                                <w:div w:id="1020618133">
                                  <w:marLeft w:val="0"/>
                                  <w:marRight w:val="0"/>
                                  <w:marTop w:val="0"/>
                                  <w:marBottom w:val="0"/>
                                  <w:divBdr>
                                    <w:top w:val="none" w:sz="0" w:space="0" w:color="auto"/>
                                    <w:left w:val="none" w:sz="0" w:space="0" w:color="auto"/>
                                    <w:bottom w:val="none" w:sz="0" w:space="0" w:color="auto"/>
                                    <w:right w:val="none" w:sz="0" w:space="0" w:color="auto"/>
                                  </w:divBdr>
                                  <w:divsChild>
                                    <w:div w:id="9927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720263">
      <w:bodyDiv w:val="1"/>
      <w:marLeft w:val="0"/>
      <w:marRight w:val="0"/>
      <w:marTop w:val="0"/>
      <w:marBottom w:val="0"/>
      <w:divBdr>
        <w:top w:val="none" w:sz="0" w:space="0" w:color="auto"/>
        <w:left w:val="none" w:sz="0" w:space="0" w:color="auto"/>
        <w:bottom w:val="none" w:sz="0" w:space="0" w:color="auto"/>
        <w:right w:val="none" w:sz="0" w:space="0" w:color="auto"/>
      </w:divBdr>
    </w:div>
    <w:div w:id="1651326602">
      <w:bodyDiv w:val="1"/>
      <w:marLeft w:val="0"/>
      <w:marRight w:val="0"/>
      <w:marTop w:val="0"/>
      <w:marBottom w:val="0"/>
      <w:divBdr>
        <w:top w:val="none" w:sz="0" w:space="0" w:color="auto"/>
        <w:left w:val="none" w:sz="0" w:space="0" w:color="auto"/>
        <w:bottom w:val="none" w:sz="0" w:space="0" w:color="auto"/>
        <w:right w:val="none" w:sz="0" w:space="0" w:color="auto"/>
      </w:divBdr>
    </w:div>
    <w:div w:id="1673527830">
      <w:bodyDiv w:val="1"/>
      <w:marLeft w:val="0"/>
      <w:marRight w:val="0"/>
      <w:marTop w:val="0"/>
      <w:marBottom w:val="0"/>
      <w:divBdr>
        <w:top w:val="none" w:sz="0" w:space="0" w:color="auto"/>
        <w:left w:val="none" w:sz="0" w:space="0" w:color="auto"/>
        <w:bottom w:val="none" w:sz="0" w:space="0" w:color="auto"/>
        <w:right w:val="none" w:sz="0" w:space="0" w:color="auto"/>
      </w:divBdr>
    </w:div>
    <w:div w:id="1675574250">
      <w:bodyDiv w:val="1"/>
      <w:marLeft w:val="0"/>
      <w:marRight w:val="0"/>
      <w:marTop w:val="0"/>
      <w:marBottom w:val="0"/>
      <w:divBdr>
        <w:top w:val="none" w:sz="0" w:space="0" w:color="auto"/>
        <w:left w:val="none" w:sz="0" w:space="0" w:color="auto"/>
        <w:bottom w:val="none" w:sz="0" w:space="0" w:color="auto"/>
        <w:right w:val="none" w:sz="0" w:space="0" w:color="auto"/>
      </w:divBdr>
    </w:div>
    <w:div w:id="1704360219">
      <w:bodyDiv w:val="1"/>
      <w:marLeft w:val="0"/>
      <w:marRight w:val="0"/>
      <w:marTop w:val="0"/>
      <w:marBottom w:val="0"/>
      <w:divBdr>
        <w:top w:val="none" w:sz="0" w:space="0" w:color="auto"/>
        <w:left w:val="none" w:sz="0" w:space="0" w:color="auto"/>
        <w:bottom w:val="none" w:sz="0" w:space="0" w:color="auto"/>
        <w:right w:val="none" w:sz="0" w:space="0" w:color="auto"/>
      </w:divBdr>
    </w:div>
    <w:div w:id="1742944707">
      <w:bodyDiv w:val="1"/>
      <w:marLeft w:val="0"/>
      <w:marRight w:val="0"/>
      <w:marTop w:val="0"/>
      <w:marBottom w:val="0"/>
      <w:divBdr>
        <w:top w:val="none" w:sz="0" w:space="0" w:color="auto"/>
        <w:left w:val="none" w:sz="0" w:space="0" w:color="auto"/>
        <w:bottom w:val="none" w:sz="0" w:space="0" w:color="auto"/>
        <w:right w:val="none" w:sz="0" w:space="0" w:color="auto"/>
      </w:divBdr>
    </w:div>
    <w:div w:id="1753818692">
      <w:bodyDiv w:val="1"/>
      <w:marLeft w:val="0"/>
      <w:marRight w:val="0"/>
      <w:marTop w:val="0"/>
      <w:marBottom w:val="0"/>
      <w:divBdr>
        <w:top w:val="none" w:sz="0" w:space="0" w:color="auto"/>
        <w:left w:val="none" w:sz="0" w:space="0" w:color="auto"/>
        <w:bottom w:val="none" w:sz="0" w:space="0" w:color="auto"/>
        <w:right w:val="none" w:sz="0" w:space="0" w:color="auto"/>
      </w:divBdr>
    </w:div>
    <w:div w:id="1806266951">
      <w:bodyDiv w:val="1"/>
      <w:marLeft w:val="0"/>
      <w:marRight w:val="0"/>
      <w:marTop w:val="0"/>
      <w:marBottom w:val="0"/>
      <w:divBdr>
        <w:top w:val="none" w:sz="0" w:space="0" w:color="auto"/>
        <w:left w:val="none" w:sz="0" w:space="0" w:color="auto"/>
        <w:bottom w:val="none" w:sz="0" w:space="0" w:color="auto"/>
        <w:right w:val="none" w:sz="0" w:space="0" w:color="auto"/>
      </w:divBdr>
    </w:div>
    <w:div w:id="1822498398">
      <w:bodyDiv w:val="1"/>
      <w:marLeft w:val="0"/>
      <w:marRight w:val="0"/>
      <w:marTop w:val="0"/>
      <w:marBottom w:val="0"/>
      <w:divBdr>
        <w:top w:val="none" w:sz="0" w:space="0" w:color="auto"/>
        <w:left w:val="none" w:sz="0" w:space="0" w:color="auto"/>
        <w:bottom w:val="none" w:sz="0" w:space="0" w:color="auto"/>
        <w:right w:val="none" w:sz="0" w:space="0" w:color="auto"/>
      </w:divBdr>
    </w:div>
    <w:div w:id="1886595319">
      <w:bodyDiv w:val="1"/>
      <w:marLeft w:val="0"/>
      <w:marRight w:val="0"/>
      <w:marTop w:val="0"/>
      <w:marBottom w:val="0"/>
      <w:divBdr>
        <w:top w:val="none" w:sz="0" w:space="0" w:color="auto"/>
        <w:left w:val="none" w:sz="0" w:space="0" w:color="auto"/>
        <w:bottom w:val="none" w:sz="0" w:space="0" w:color="auto"/>
        <w:right w:val="none" w:sz="0" w:space="0" w:color="auto"/>
      </w:divBdr>
    </w:div>
    <w:div w:id="1903564498">
      <w:bodyDiv w:val="1"/>
      <w:marLeft w:val="0"/>
      <w:marRight w:val="0"/>
      <w:marTop w:val="0"/>
      <w:marBottom w:val="0"/>
      <w:divBdr>
        <w:top w:val="none" w:sz="0" w:space="0" w:color="auto"/>
        <w:left w:val="none" w:sz="0" w:space="0" w:color="auto"/>
        <w:bottom w:val="none" w:sz="0" w:space="0" w:color="auto"/>
        <w:right w:val="none" w:sz="0" w:space="0" w:color="auto"/>
      </w:divBdr>
    </w:div>
    <w:div w:id="1910188360">
      <w:bodyDiv w:val="1"/>
      <w:marLeft w:val="0"/>
      <w:marRight w:val="0"/>
      <w:marTop w:val="0"/>
      <w:marBottom w:val="0"/>
      <w:divBdr>
        <w:top w:val="none" w:sz="0" w:space="0" w:color="auto"/>
        <w:left w:val="none" w:sz="0" w:space="0" w:color="auto"/>
        <w:bottom w:val="none" w:sz="0" w:space="0" w:color="auto"/>
        <w:right w:val="none" w:sz="0" w:space="0" w:color="auto"/>
      </w:divBdr>
    </w:div>
    <w:div w:id="1952079950">
      <w:bodyDiv w:val="1"/>
      <w:marLeft w:val="0"/>
      <w:marRight w:val="0"/>
      <w:marTop w:val="0"/>
      <w:marBottom w:val="0"/>
      <w:divBdr>
        <w:top w:val="none" w:sz="0" w:space="0" w:color="auto"/>
        <w:left w:val="none" w:sz="0" w:space="0" w:color="auto"/>
        <w:bottom w:val="none" w:sz="0" w:space="0" w:color="auto"/>
        <w:right w:val="none" w:sz="0" w:space="0" w:color="auto"/>
      </w:divBdr>
    </w:div>
    <w:div w:id="1954752215">
      <w:bodyDiv w:val="1"/>
      <w:marLeft w:val="0"/>
      <w:marRight w:val="0"/>
      <w:marTop w:val="0"/>
      <w:marBottom w:val="0"/>
      <w:divBdr>
        <w:top w:val="none" w:sz="0" w:space="0" w:color="auto"/>
        <w:left w:val="none" w:sz="0" w:space="0" w:color="auto"/>
        <w:bottom w:val="none" w:sz="0" w:space="0" w:color="auto"/>
        <w:right w:val="none" w:sz="0" w:space="0" w:color="auto"/>
      </w:divBdr>
    </w:div>
    <w:div w:id="1956011716">
      <w:bodyDiv w:val="1"/>
      <w:marLeft w:val="0"/>
      <w:marRight w:val="0"/>
      <w:marTop w:val="0"/>
      <w:marBottom w:val="0"/>
      <w:divBdr>
        <w:top w:val="none" w:sz="0" w:space="0" w:color="auto"/>
        <w:left w:val="none" w:sz="0" w:space="0" w:color="auto"/>
        <w:bottom w:val="none" w:sz="0" w:space="0" w:color="auto"/>
        <w:right w:val="none" w:sz="0" w:space="0" w:color="auto"/>
      </w:divBdr>
    </w:div>
    <w:div w:id="1958827675">
      <w:bodyDiv w:val="1"/>
      <w:marLeft w:val="0"/>
      <w:marRight w:val="0"/>
      <w:marTop w:val="0"/>
      <w:marBottom w:val="0"/>
      <w:divBdr>
        <w:top w:val="none" w:sz="0" w:space="0" w:color="auto"/>
        <w:left w:val="none" w:sz="0" w:space="0" w:color="auto"/>
        <w:bottom w:val="none" w:sz="0" w:space="0" w:color="auto"/>
        <w:right w:val="none" w:sz="0" w:space="0" w:color="auto"/>
      </w:divBdr>
    </w:div>
    <w:div w:id="1989245301">
      <w:bodyDiv w:val="1"/>
      <w:marLeft w:val="390"/>
      <w:marRight w:val="390"/>
      <w:marTop w:val="0"/>
      <w:marBottom w:val="0"/>
      <w:divBdr>
        <w:top w:val="none" w:sz="0" w:space="0" w:color="auto"/>
        <w:left w:val="none" w:sz="0" w:space="0" w:color="auto"/>
        <w:bottom w:val="none" w:sz="0" w:space="0" w:color="auto"/>
        <w:right w:val="none" w:sz="0" w:space="0" w:color="auto"/>
      </w:divBdr>
    </w:div>
    <w:div w:id="2011059629">
      <w:bodyDiv w:val="1"/>
      <w:marLeft w:val="0"/>
      <w:marRight w:val="0"/>
      <w:marTop w:val="0"/>
      <w:marBottom w:val="0"/>
      <w:divBdr>
        <w:top w:val="none" w:sz="0" w:space="0" w:color="auto"/>
        <w:left w:val="none" w:sz="0" w:space="0" w:color="auto"/>
        <w:bottom w:val="none" w:sz="0" w:space="0" w:color="auto"/>
        <w:right w:val="none" w:sz="0" w:space="0" w:color="auto"/>
      </w:divBdr>
      <w:divsChild>
        <w:div w:id="816725726">
          <w:marLeft w:val="0"/>
          <w:marRight w:val="0"/>
          <w:marTop w:val="0"/>
          <w:marBottom w:val="0"/>
          <w:divBdr>
            <w:top w:val="none" w:sz="0" w:space="0" w:color="auto"/>
            <w:left w:val="none" w:sz="0" w:space="0" w:color="auto"/>
            <w:bottom w:val="none" w:sz="0" w:space="0" w:color="auto"/>
            <w:right w:val="none" w:sz="0" w:space="0" w:color="auto"/>
          </w:divBdr>
          <w:divsChild>
            <w:div w:id="1603684955">
              <w:marLeft w:val="0"/>
              <w:marRight w:val="0"/>
              <w:marTop w:val="0"/>
              <w:marBottom w:val="0"/>
              <w:divBdr>
                <w:top w:val="none" w:sz="0" w:space="0" w:color="auto"/>
                <w:left w:val="none" w:sz="0" w:space="0" w:color="auto"/>
                <w:bottom w:val="none" w:sz="0" w:space="0" w:color="auto"/>
                <w:right w:val="none" w:sz="0" w:space="0" w:color="auto"/>
              </w:divBdr>
              <w:divsChild>
                <w:div w:id="1869102624">
                  <w:marLeft w:val="0"/>
                  <w:marRight w:val="0"/>
                  <w:marTop w:val="0"/>
                  <w:marBottom w:val="0"/>
                  <w:divBdr>
                    <w:top w:val="none" w:sz="0" w:space="0" w:color="auto"/>
                    <w:left w:val="none" w:sz="0" w:space="0" w:color="auto"/>
                    <w:bottom w:val="none" w:sz="0" w:space="0" w:color="auto"/>
                    <w:right w:val="none" w:sz="0" w:space="0" w:color="auto"/>
                  </w:divBdr>
                  <w:divsChild>
                    <w:div w:id="1211258819">
                      <w:marLeft w:val="0"/>
                      <w:marRight w:val="0"/>
                      <w:marTop w:val="0"/>
                      <w:marBottom w:val="0"/>
                      <w:divBdr>
                        <w:top w:val="none" w:sz="0" w:space="0" w:color="auto"/>
                        <w:left w:val="none" w:sz="0" w:space="0" w:color="auto"/>
                        <w:bottom w:val="none" w:sz="0" w:space="0" w:color="auto"/>
                        <w:right w:val="none" w:sz="0" w:space="0" w:color="auto"/>
                      </w:divBdr>
                      <w:divsChild>
                        <w:div w:id="2115055234">
                          <w:marLeft w:val="0"/>
                          <w:marRight w:val="0"/>
                          <w:marTop w:val="0"/>
                          <w:marBottom w:val="0"/>
                          <w:divBdr>
                            <w:top w:val="none" w:sz="0" w:space="0" w:color="auto"/>
                            <w:left w:val="none" w:sz="0" w:space="0" w:color="auto"/>
                            <w:bottom w:val="none" w:sz="0" w:space="0" w:color="auto"/>
                            <w:right w:val="none" w:sz="0" w:space="0" w:color="auto"/>
                          </w:divBdr>
                          <w:divsChild>
                            <w:div w:id="1070620055">
                              <w:marLeft w:val="0"/>
                              <w:marRight w:val="0"/>
                              <w:marTop w:val="0"/>
                              <w:marBottom w:val="0"/>
                              <w:divBdr>
                                <w:top w:val="none" w:sz="0" w:space="0" w:color="auto"/>
                                <w:left w:val="none" w:sz="0" w:space="0" w:color="auto"/>
                                <w:bottom w:val="none" w:sz="0" w:space="0" w:color="auto"/>
                                <w:right w:val="none" w:sz="0" w:space="0" w:color="auto"/>
                              </w:divBdr>
                              <w:divsChild>
                                <w:div w:id="969289703">
                                  <w:marLeft w:val="0"/>
                                  <w:marRight w:val="0"/>
                                  <w:marTop w:val="0"/>
                                  <w:marBottom w:val="0"/>
                                  <w:divBdr>
                                    <w:top w:val="none" w:sz="0" w:space="0" w:color="auto"/>
                                    <w:left w:val="none" w:sz="0" w:space="0" w:color="auto"/>
                                    <w:bottom w:val="none" w:sz="0" w:space="0" w:color="auto"/>
                                    <w:right w:val="none" w:sz="0" w:space="0" w:color="auto"/>
                                  </w:divBdr>
                                  <w:divsChild>
                                    <w:div w:id="368117308">
                                      <w:marLeft w:val="60"/>
                                      <w:marRight w:val="0"/>
                                      <w:marTop w:val="0"/>
                                      <w:marBottom w:val="0"/>
                                      <w:divBdr>
                                        <w:top w:val="none" w:sz="0" w:space="0" w:color="auto"/>
                                        <w:left w:val="none" w:sz="0" w:space="0" w:color="auto"/>
                                        <w:bottom w:val="none" w:sz="0" w:space="0" w:color="auto"/>
                                        <w:right w:val="none" w:sz="0" w:space="0" w:color="auto"/>
                                      </w:divBdr>
                                      <w:divsChild>
                                        <w:div w:id="1800607873">
                                          <w:marLeft w:val="0"/>
                                          <w:marRight w:val="0"/>
                                          <w:marTop w:val="0"/>
                                          <w:marBottom w:val="0"/>
                                          <w:divBdr>
                                            <w:top w:val="none" w:sz="0" w:space="0" w:color="auto"/>
                                            <w:left w:val="none" w:sz="0" w:space="0" w:color="auto"/>
                                            <w:bottom w:val="none" w:sz="0" w:space="0" w:color="auto"/>
                                            <w:right w:val="none" w:sz="0" w:space="0" w:color="auto"/>
                                          </w:divBdr>
                                          <w:divsChild>
                                            <w:div w:id="2107769672">
                                              <w:marLeft w:val="0"/>
                                              <w:marRight w:val="0"/>
                                              <w:marTop w:val="0"/>
                                              <w:marBottom w:val="120"/>
                                              <w:divBdr>
                                                <w:top w:val="single" w:sz="6" w:space="0" w:color="F5F5F5"/>
                                                <w:left w:val="single" w:sz="6" w:space="0" w:color="F5F5F5"/>
                                                <w:bottom w:val="single" w:sz="6" w:space="0" w:color="F5F5F5"/>
                                                <w:right w:val="single" w:sz="6" w:space="0" w:color="F5F5F5"/>
                                              </w:divBdr>
                                              <w:divsChild>
                                                <w:div w:id="2052076074">
                                                  <w:marLeft w:val="0"/>
                                                  <w:marRight w:val="0"/>
                                                  <w:marTop w:val="0"/>
                                                  <w:marBottom w:val="0"/>
                                                  <w:divBdr>
                                                    <w:top w:val="none" w:sz="0" w:space="0" w:color="auto"/>
                                                    <w:left w:val="none" w:sz="0" w:space="0" w:color="auto"/>
                                                    <w:bottom w:val="none" w:sz="0" w:space="0" w:color="auto"/>
                                                    <w:right w:val="none" w:sz="0" w:space="0" w:color="auto"/>
                                                  </w:divBdr>
                                                  <w:divsChild>
                                                    <w:div w:id="13155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666552">
                                  <w:marLeft w:val="0"/>
                                  <w:marRight w:val="0"/>
                                  <w:marTop w:val="0"/>
                                  <w:marBottom w:val="0"/>
                                  <w:divBdr>
                                    <w:top w:val="none" w:sz="0" w:space="0" w:color="auto"/>
                                    <w:left w:val="none" w:sz="0" w:space="0" w:color="auto"/>
                                    <w:bottom w:val="none" w:sz="0" w:space="0" w:color="auto"/>
                                    <w:right w:val="none" w:sz="0" w:space="0" w:color="auto"/>
                                  </w:divBdr>
                                  <w:divsChild>
                                    <w:div w:id="1966152173">
                                      <w:marLeft w:val="0"/>
                                      <w:marRight w:val="60"/>
                                      <w:marTop w:val="0"/>
                                      <w:marBottom w:val="0"/>
                                      <w:divBdr>
                                        <w:top w:val="none" w:sz="0" w:space="0" w:color="auto"/>
                                        <w:left w:val="none" w:sz="0" w:space="0" w:color="auto"/>
                                        <w:bottom w:val="none" w:sz="0" w:space="0" w:color="auto"/>
                                        <w:right w:val="none" w:sz="0" w:space="0" w:color="auto"/>
                                      </w:divBdr>
                                      <w:divsChild>
                                        <w:div w:id="60913975">
                                          <w:marLeft w:val="0"/>
                                          <w:marRight w:val="0"/>
                                          <w:marTop w:val="0"/>
                                          <w:marBottom w:val="120"/>
                                          <w:divBdr>
                                            <w:top w:val="none" w:sz="0" w:space="0" w:color="auto"/>
                                            <w:left w:val="none" w:sz="0" w:space="0" w:color="auto"/>
                                            <w:bottom w:val="none" w:sz="0" w:space="0" w:color="auto"/>
                                            <w:right w:val="none" w:sz="0" w:space="0" w:color="auto"/>
                                          </w:divBdr>
                                          <w:divsChild>
                                            <w:div w:id="89737962">
                                              <w:marLeft w:val="0"/>
                                              <w:marRight w:val="0"/>
                                              <w:marTop w:val="0"/>
                                              <w:marBottom w:val="0"/>
                                              <w:divBdr>
                                                <w:top w:val="none" w:sz="0" w:space="0" w:color="auto"/>
                                                <w:left w:val="none" w:sz="0" w:space="0" w:color="auto"/>
                                                <w:bottom w:val="none" w:sz="0" w:space="0" w:color="auto"/>
                                                <w:right w:val="none" w:sz="0" w:space="0" w:color="auto"/>
                                              </w:divBdr>
                                            </w:div>
                                            <w:div w:id="574507532">
                                              <w:marLeft w:val="0"/>
                                              <w:marRight w:val="0"/>
                                              <w:marTop w:val="0"/>
                                              <w:marBottom w:val="0"/>
                                              <w:divBdr>
                                                <w:top w:val="none" w:sz="0" w:space="0" w:color="auto"/>
                                                <w:left w:val="none" w:sz="0" w:space="0" w:color="auto"/>
                                                <w:bottom w:val="none" w:sz="0" w:space="0" w:color="auto"/>
                                                <w:right w:val="none" w:sz="0" w:space="0" w:color="auto"/>
                                              </w:divBdr>
                                            </w:div>
                                            <w:div w:id="1413354547">
                                              <w:marLeft w:val="0"/>
                                              <w:marRight w:val="0"/>
                                              <w:marTop w:val="0"/>
                                              <w:marBottom w:val="0"/>
                                              <w:divBdr>
                                                <w:top w:val="none" w:sz="0" w:space="0" w:color="auto"/>
                                                <w:left w:val="none" w:sz="0" w:space="0" w:color="auto"/>
                                                <w:bottom w:val="none" w:sz="0" w:space="0" w:color="auto"/>
                                                <w:right w:val="none" w:sz="0" w:space="0" w:color="auto"/>
                                              </w:divBdr>
                                            </w:div>
                                          </w:divsChild>
                                        </w:div>
                                        <w:div w:id="502088383">
                                          <w:marLeft w:val="0"/>
                                          <w:marRight w:val="0"/>
                                          <w:marTop w:val="0"/>
                                          <w:marBottom w:val="0"/>
                                          <w:divBdr>
                                            <w:top w:val="single" w:sz="6" w:space="12" w:color="999999"/>
                                            <w:left w:val="single" w:sz="6" w:space="12" w:color="999999"/>
                                            <w:bottom w:val="single" w:sz="6" w:space="12" w:color="999999"/>
                                            <w:right w:val="single" w:sz="6" w:space="12" w:color="999999"/>
                                          </w:divBdr>
                                          <w:divsChild>
                                            <w:div w:id="1785495301">
                                              <w:marLeft w:val="0"/>
                                              <w:marRight w:val="0"/>
                                              <w:marTop w:val="0"/>
                                              <w:marBottom w:val="0"/>
                                              <w:divBdr>
                                                <w:top w:val="none" w:sz="0" w:space="0" w:color="auto"/>
                                                <w:left w:val="none" w:sz="0" w:space="0" w:color="auto"/>
                                                <w:bottom w:val="none" w:sz="0" w:space="0" w:color="auto"/>
                                                <w:right w:val="none" w:sz="0" w:space="0" w:color="auto"/>
                                              </w:divBdr>
                                            </w:div>
                                          </w:divsChild>
                                        </w:div>
                                        <w:div w:id="588657851">
                                          <w:marLeft w:val="0"/>
                                          <w:marRight w:val="0"/>
                                          <w:marTop w:val="0"/>
                                          <w:marBottom w:val="0"/>
                                          <w:divBdr>
                                            <w:top w:val="none" w:sz="0" w:space="0" w:color="auto"/>
                                            <w:left w:val="none" w:sz="0" w:space="0" w:color="auto"/>
                                            <w:bottom w:val="none" w:sz="0" w:space="0" w:color="auto"/>
                                            <w:right w:val="none" w:sz="0" w:space="0" w:color="auto"/>
                                          </w:divBdr>
                                        </w:div>
                                        <w:div w:id="1569920264">
                                          <w:marLeft w:val="0"/>
                                          <w:marRight w:val="0"/>
                                          <w:marTop w:val="0"/>
                                          <w:marBottom w:val="0"/>
                                          <w:divBdr>
                                            <w:top w:val="none" w:sz="0" w:space="0" w:color="auto"/>
                                            <w:left w:val="none" w:sz="0" w:space="0" w:color="auto"/>
                                            <w:bottom w:val="none" w:sz="0" w:space="0" w:color="auto"/>
                                            <w:right w:val="none" w:sz="0" w:space="0" w:color="auto"/>
                                          </w:divBdr>
                                        </w:div>
                                      </w:divsChild>
                                    </w:div>
                                    <w:div w:id="2103378388">
                                      <w:marLeft w:val="0"/>
                                      <w:marRight w:val="60"/>
                                      <w:marTop w:val="0"/>
                                      <w:marBottom w:val="0"/>
                                      <w:divBdr>
                                        <w:top w:val="single" w:sz="6" w:space="0" w:color="D9D9D9"/>
                                        <w:left w:val="single" w:sz="6" w:space="0" w:color="D9D9D9"/>
                                        <w:bottom w:val="single" w:sz="6" w:space="0" w:color="D9D9D9"/>
                                        <w:right w:val="single" w:sz="6" w:space="0" w:color="D9D9D9"/>
                                      </w:divBdr>
                                      <w:divsChild>
                                        <w:div w:id="1868833267">
                                          <w:marLeft w:val="0"/>
                                          <w:marRight w:val="0"/>
                                          <w:marTop w:val="0"/>
                                          <w:marBottom w:val="0"/>
                                          <w:divBdr>
                                            <w:top w:val="none" w:sz="0" w:space="0" w:color="auto"/>
                                            <w:left w:val="none" w:sz="0" w:space="0" w:color="auto"/>
                                            <w:bottom w:val="none" w:sz="0" w:space="0" w:color="auto"/>
                                            <w:right w:val="none" w:sz="0" w:space="0" w:color="auto"/>
                                          </w:divBdr>
                                          <w:divsChild>
                                            <w:div w:id="8580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6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yperlink" Target="http://news.sky.com/story/1046315/holocaust-denier-ordered-to-visit-memorial" TargetMode="External"/><Relationship Id="rId3" Type="http://schemas.openxmlformats.org/officeDocument/2006/relationships/styles" Target="styles.xml"/><Relationship Id="rId21" Type="http://schemas.openxmlformats.org/officeDocument/2006/relationships/hyperlink" Target="https://www.kozbeszerzes.hu/adatbazisok/tajekoztatok-hnt-dontesekro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globalpost.com/dispatch/news/afp/130201/auschwitz-or-museum-trip-hungary-holocaust-denie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olitics.hu/20130131/forced-visit-to-memorials-ban-on-attending-political-rallies-among-punishments-in-first-final-sentence-given-hungarian-for-holocaust-denial/"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oecd.org/corruption/oecdantibriberyconvention.htm"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sz.hu/storage/files/files/jelentes/2019/19030.pdf" TargetMode="External"/><Relationship Id="rId13" Type="http://schemas.openxmlformats.org/officeDocument/2006/relationships/hyperlink" Target="https://www.ksh.hu/docs/hun/eurostat_tablak/tabl/t2020_50.html" TargetMode="External"/><Relationship Id="rId3" Type="http://schemas.openxmlformats.org/officeDocument/2006/relationships/hyperlink" Target="http://www.codices.coe.int/NXT/gateway.dll/CODICES/precis/eng/eur/hun/hun-2010-3-008?fn=document-frameset.htm$f=templates$3.0" TargetMode="External"/><Relationship Id="rId7" Type="http://schemas.openxmlformats.org/officeDocument/2006/relationships/hyperlink" Target="https://www.venice.coe.int/webforms/documents/default.aspx?pdffile=CDL-AD(2012)008-e" TargetMode="External"/><Relationship Id="rId12" Type="http://schemas.openxmlformats.org/officeDocument/2006/relationships/hyperlink" Target="https://www.osce.org/odihr/elections/hungary/385959?download=true" TargetMode="External"/><Relationship Id="rId2" Type="http://schemas.openxmlformats.org/officeDocument/2006/relationships/hyperlink" Target="https://net.jogtar.hu/jogszabaly?docid=A1300036.TV" TargetMode="External"/><Relationship Id="rId1" Type="http://schemas.openxmlformats.org/officeDocument/2006/relationships/hyperlink" Target="https://www.venice.coe.int/webforms/documents/default.aspx?pdffile=CDL-AD(2011)001-e" TargetMode="External"/><Relationship Id="rId6" Type="http://schemas.openxmlformats.org/officeDocument/2006/relationships/hyperlink" Target="https://ec.europa.eu/commfrontoffice/publicopinion/index.cfm/survey/getsurveydetail/instruments/special/surveyky/2235" TargetMode="External"/><Relationship Id="rId11" Type="http://schemas.openxmlformats.org/officeDocument/2006/relationships/hyperlink" Target="http://www3.weforum.org/docs/GCR2017-2018/05FullReport/TheGlobalCompetitivenessReport2017%E2%80%932018.pdf" TargetMode="External"/><Relationship Id="rId5" Type="http://schemas.openxmlformats.org/officeDocument/2006/relationships/hyperlink" Target="https://www.osce.org/odihr/77812?download=true" TargetMode="External"/><Relationship Id="rId15" Type="http://schemas.openxmlformats.org/officeDocument/2006/relationships/hyperlink" Target="https://ec.europa.eu/eurostat/databrowser/view/tespm030/default/table?lang=en" TargetMode="External"/><Relationship Id="rId10" Type="http://schemas.openxmlformats.org/officeDocument/2006/relationships/hyperlink" Target="https://ec.europa.eu/anti-fraud/sites/antifraud/files/olaf_report_2018_en.pdf" TargetMode="External"/><Relationship Id="rId4" Type="http://schemas.openxmlformats.org/officeDocument/2006/relationships/hyperlink" Target="https://www.venice.coe.int/webforms/documents/default.aspx?pdffile=CDL-AD(2010)024-e" TargetMode="External"/><Relationship Id="rId9" Type="http://schemas.openxmlformats.org/officeDocument/2006/relationships/hyperlink" Target="https://www.asz.hu/hu/sajtokozlemenyek/partoknak-es-partalapitvanyoknak-szervez-kepzest-az-asz" TargetMode="External"/><Relationship Id="rId14" Type="http://schemas.openxmlformats.org/officeDocument/2006/relationships/hyperlink" Target="http://www.ksh.hu/docs/hun/xftp/idoszaki/munkerohelyz/munkerohelyz10.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Proportion</a:t>
            </a:r>
            <a:r>
              <a:rPr lang="hu-HU" baseline="0"/>
              <a:t> of negotiated procedures without prior publication 2015-2018</a:t>
            </a:r>
            <a:endParaRPr lang="hu-HU"/>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Munka1!$A$1:$D$1</c:f>
              <c:numCache>
                <c:formatCode>General</c:formatCode>
                <c:ptCount val="4"/>
                <c:pt idx="0">
                  <c:v>2015</c:v>
                </c:pt>
                <c:pt idx="1">
                  <c:v>2016</c:v>
                </c:pt>
                <c:pt idx="2">
                  <c:v>2017</c:v>
                </c:pt>
                <c:pt idx="3">
                  <c:v>2018</c:v>
                </c:pt>
              </c:numCache>
            </c:numRef>
          </c:cat>
          <c:val>
            <c:numRef>
              <c:f>Munka1!$A$2:$D$2</c:f>
              <c:numCache>
                <c:formatCode>0%</c:formatCode>
                <c:ptCount val="4"/>
                <c:pt idx="0">
                  <c:v>0.15</c:v>
                </c:pt>
                <c:pt idx="1">
                  <c:v>0.09</c:v>
                </c:pt>
                <c:pt idx="2">
                  <c:v>0.08</c:v>
                </c:pt>
                <c:pt idx="3">
                  <c:v>0.05</c:v>
                </c:pt>
              </c:numCache>
            </c:numRef>
          </c:val>
          <c:extLst>
            <c:ext xmlns:c16="http://schemas.microsoft.com/office/drawing/2014/chart" uri="{C3380CC4-5D6E-409C-BE32-E72D297353CC}">
              <c16:uniqueId val="{00000000-EEB3-402C-9716-B06C9A90E47F}"/>
            </c:ext>
          </c:extLst>
        </c:ser>
        <c:dLbls>
          <c:showLegendKey val="0"/>
          <c:showVal val="0"/>
          <c:showCatName val="0"/>
          <c:showSerName val="0"/>
          <c:showPercent val="0"/>
          <c:showBubbleSize val="0"/>
        </c:dLbls>
        <c:gapWidth val="150"/>
        <c:axId val="-1273417728"/>
        <c:axId val="-1249361616"/>
      </c:barChart>
      <c:catAx>
        <c:axId val="-1273417728"/>
        <c:scaling>
          <c:orientation val="minMax"/>
        </c:scaling>
        <c:delete val="0"/>
        <c:axPos val="b"/>
        <c:numFmt formatCode="General" sourceLinked="1"/>
        <c:majorTickMark val="out"/>
        <c:minorTickMark val="none"/>
        <c:tickLblPos val="nextTo"/>
        <c:crossAx val="-1249361616"/>
        <c:crosses val="autoZero"/>
        <c:auto val="1"/>
        <c:lblAlgn val="ctr"/>
        <c:lblOffset val="100"/>
        <c:noMultiLvlLbl val="0"/>
      </c:catAx>
      <c:valAx>
        <c:axId val="-1249361616"/>
        <c:scaling>
          <c:orientation val="minMax"/>
          <c:max val="0.2"/>
        </c:scaling>
        <c:delete val="0"/>
        <c:axPos val="l"/>
        <c:numFmt formatCode="0%" sourceLinked="1"/>
        <c:majorTickMark val="out"/>
        <c:minorTickMark val="none"/>
        <c:tickLblPos val="nextTo"/>
        <c:crossAx val="-1273417728"/>
        <c:crosses val="autoZero"/>
        <c:crossBetween val="between"/>
        <c:majorUnit val="0.05"/>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E09D3-DE4E-4F5B-B06A-F8D3DC3D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69269</Words>
  <Characters>394838</Characters>
  <Application>Microsoft Office Word</Application>
  <DocSecurity>0</DocSecurity>
  <Lines>3290</Lines>
  <Paragraphs>926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463181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Borzsák Levente Dr.</dc:creator>
  <cp:lastModifiedBy>Tom Daly</cp:lastModifiedBy>
  <cp:revision>2</cp:revision>
  <cp:lastPrinted>2019-09-12T12:37:00Z</cp:lastPrinted>
  <dcterms:created xsi:type="dcterms:W3CDTF">2019-09-17T07:44:00Z</dcterms:created>
  <dcterms:modified xsi:type="dcterms:W3CDTF">2019-09-17T07:44:00Z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DocuWrite 4.3.4, Build 20190719</vt:lpwstr>
  </property>
  <property fmtid="{D5CDD505-2E9C-101B-9397-08002B2CF9AE}" pid="3" name="Last edited using">
    <vt:lpwstr>DocuWrite 4.3.4, Build 20190719</vt:lpwstr>
  </property>
</Properties>
</file>